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 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32" w:lineRule="exact"/>
        <w:rPr>
          <w:sz w:val="24"/>
          <w:szCs w:val="24"/>
          <w:color w:val="auto"/>
        </w:rPr>
      </w:pPr>
    </w:p>
    <w:p>
      <w:pPr>
        <w:ind w:left="4220" w:right="3200" w:hanging="1011"/>
        <w:spacing w:after="0" w:line="257" w:lineRule="auto"/>
        <w:tabs>
          <w:tab w:leader="none" w:pos="3410" w:val="left"/>
        </w:tabs>
        <w:numPr>
          <w:ilvl w:val="1"/>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ANNUAL REPORT PURSUANT TO SECTION 13 OR 15(d) OF THE SECURITIES EXCHANGE ACT OF 1934</w:t>
      </w:r>
    </w:p>
    <w:p>
      <w:pPr>
        <w:ind w:left="4240"/>
        <w:spacing w:after="0"/>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xml:space="preserve">For the fiscal year ended </w:t>
      </w:r>
      <w:r>
        <w:rPr>
          <w:rFonts w:ascii="Times New Roman" w:cs="Times New Roman" w:eastAsia="Times New Roman" w:hAnsi="Times New Roman"/>
          <w:sz w:val="15"/>
          <w:szCs w:val="15"/>
          <w:u w:val="single" w:color="auto"/>
          <w:color w:val="auto"/>
        </w:rPr>
        <w:t>December 31, 2024</w:t>
      </w:r>
    </w:p>
    <w:p>
      <w:pPr>
        <w:spacing w:after="0" w:line="9" w:lineRule="exact"/>
        <w:rPr>
          <w:rFonts w:ascii="MS PGothic" w:cs="MS PGothic" w:eastAsia="MS PGothic" w:hAnsi="MS PGothic"/>
          <w:sz w:val="15"/>
          <w:szCs w:val="15"/>
          <w:color w:val="auto"/>
        </w:rPr>
      </w:pPr>
    </w:p>
    <w:p>
      <w:pPr>
        <w:ind w:left="5520"/>
        <w:spacing w:after="0"/>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OR</w:t>
      </w:r>
    </w:p>
    <w:p>
      <w:pPr>
        <w:spacing w:after="0" w:line="16" w:lineRule="exact"/>
        <w:rPr>
          <w:rFonts w:ascii="MS PGothic" w:cs="MS PGothic" w:eastAsia="MS PGothic" w:hAnsi="MS PGothic"/>
          <w:sz w:val="15"/>
          <w:szCs w:val="15"/>
          <w:color w:val="auto"/>
        </w:rPr>
      </w:pPr>
    </w:p>
    <w:p>
      <w:pPr>
        <w:ind w:left="4220" w:right="3040" w:hanging="1171"/>
        <w:spacing w:after="0" w:line="253" w:lineRule="auto"/>
        <w:tabs>
          <w:tab w:leader="none" w:pos="3256"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5"/>
          <w:szCs w:val="15"/>
          <w:color w:val="auto"/>
        </w:rPr>
        <w:t xml:space="preserve">For the transition period from </w:t>
      </w:r>
      <w:r>
        <w:rPr>
          <w:rFonts w:ascii="Times New Roman" w:cs="Times New Roman" w:eastAsia="Times New Roman" w:hAnsi="Times New Roman"/>
          <w:sz w:val="15"/>
          <w:szCs w:val="15"/>
          <w:b w:val="1"/>
          <w:bCs w:val="1"/>
          <w:color w:val="auto"/>
        </w:rPr>
        <w:t>______</w:t>
      </w:r>
      <w:r>
        <w:rPr>
          <w:rFonts w:ascii="Times New Roman" w:cs="Times New Roman" w:eastAsia="Times New Roman" w:hAnsi="Times New Roman"/>
          <w:sz w:val="15"/>
          <w:szCs w:val="15"/>
          <w:color w:val="auto"/>
        </w:rPr>
        <w:t xml:space="preserve"> to </w:t>
      </w:r>
      <w:r>
        <w:rPr>
          <w:rFonts w:ascii="Times New Roman" w:cs="Times New Roman" w:eastAsia="Times New Roman" w:hAnsi="Times New Roman"/>
          <w:sz w:val="15"/>
          <w:szCs w:val="15"/>
          <w:b w:val="1"/>
          <w:bCs w:val="1"/>
          <w:color w:val="auto"/>
        </w:rPr>
        <w:t>______</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Commission File Number 001-00368</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Chevron Corporation</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5"/>
          <w:szCs w:val="15"/>
          <w:color w:val="auto"/>
        </w:rPr>
        <w:t>Exact name of registrant as specified in its charter)</w:t>
      </w: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760" w:type="dxa"/>
            <w:vAlign w:val="bottom"/>
          </w:tcPr>
          <w:p>
            <w:pPr>
              <w:jc w:val="center"/>
              <w:ind w:right="1064"/>
              <w:spacing w:after="0"/>
              <w:rPr>
                <w:sz w:val="20"/>
                <w:szCs w:val="20"/>
                <w:color w:val="auto"/>
              </w:rPr>
            </w:pPr>
            <w:r>
              <w:rPr>
                <w:rFonts w:ascii="Times New Roman" w:cs="Times New Roman" w:eastAsia="Times New Roman" w:hAnsi="Times New Roman"/>
                <w:sz w:val="15"/>
                <w:szCs w:val="15"/>
                <w:color w:val="auto"/>
              </w:rPr>
              <w:t>1400 Smith Street</w:t>
            </w:r>
          </w:p>
        </w:tc>
        <w:tc>
          <w:tcPr>
            <w:tcW w:w="20" w:type="dxa"/>
            <w:vAlign w:val="bottom"/>
          </w:tcPr>
          <w:p>
            <w:pPr>
              <w:spacing w:after="0"/>
              <w:rPr>
                <w:sz w:val="17"/>
                <w:szCs w:val="17"/>
                <w:color w:val="auto"/>
              </w:rPr>
            </w:pPr>
          </w:p>
        </w:tc>
      </w:tr>
      <w:tr>
        <w:trPr>
          <w:trHeight w:val="207"/>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60" w:type="dxa"/>
            <w:vAlign w:val="bottom"/>
          </w:tcPr>
          <w:p>
            <w:pPr>
              <w:jc w:val="center"/>
              <w:ind w:right="124"/>
              <w:spacing w:after="0"/>
              <w:rPr>
                <w:sz w:val="20"/>
                <w:szCs w:val="20"/>
                <w:color w:val="auto"/>
              </w:rPr>
            </w:pPr>
            <w:r>
              <w:rPr>
                <w:rFonts w:ascii="Times New Roman" w:cs="Times New Roman" w:eastAsia="Times New Roman" w:hAnsi="Times New Roman"/>
                <w:sz w:val="15"/>
                <w:szCs w:val="15"/>
                <w:color w:val="auto"/>
              </w:rPr>
              <w:t>Delaware</w:t>
            </w:r>
          </w:p>
        </w:tc>
        <w:tc>
          <w:tcPr>
            <w:tcW w:w="2700" w:type="dxa"/>
            <w:vAlign w:val="bottom"/>
            <w:gridSpan w:val="5"/>
          </w:tcPr>
          <w:p>
            <w:pPr>
              <w:jc w:val="center"/>
              <w:ind w:left="444"/>
              <w:spacing w:after="0"/>
              <w:rPr>
                <w:sz w:val="20"/>
                <w:szCs w:val="20"/>
                <w:color w:val="auto"/>
              </w:rPr>
            </w:pPr>
            <w:r>
              <w:rPr>
                <w:rFonts w:ascii="Times New Roman" w:cs="Times New Roman" w:eastAsia="Times New Roman" w:hAnsi="Times New Roman"/>
                <w:sz w:val="15"/>
                <w:szCs w:val="15"/>
                <w:color w:val="auto"/>
              </w:rPr>
              <w:t>94-0890210</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760" w:type="dxa"/>
            <w:vAlign w:val="bottom"/>
          </w:tcPr>
          <w:p>
            <w:pPr>
              <w:jc w:val="center"/>
              <w:ind w:right="1064"/>
              <w:spacing w:after="0"/>
              <w:rPr>
                <w:sz w:val="20"/>
                <w:szCs w:val="20"/>
                <w:color w:val="auto"/>
              </w:rPr>
            </w:pPr>
            <w:r>
              <w:rPr>
                <w:rFonts w:ascii="Times New Roman" w:cs="Times New Roman" w:eastAsia="Times New Roman" w:hAnsi="Times New Roman"/>
                <w:sz w:val="15"/>
                <w:szCs w:val="15"/>
                <w:color w:val="auto"/>
              </w:rPr>
              <w:t>Houston, TX 77002-7327</w:t>
            </w:r>
          </w:p>
        </w:tc>
        <w:tc>
          <w:tcPr>
            <w:tcW w:w="20" w:type="dxa"/>
            <w:vAlign w:val="bottom"/>
          </w:tcPr>
          <w:p>
            <w:pPr>
              <w:spacing w:after="0"/>
              <w:rPr>
                <w:sz w:val="17"/>
                <w:szCs w:val="17"/>
                <w:color w:val="auto"/>
              </w:rPr>
            </w:pPr>
          </w:p>
        </w:tc>
      </w:tr>
      <w:tr>
        <w:trPr>
          <w:trHeight w:val="146"/>
        </w:trPr>
        <w:tc>
          <w:tcPr>
            <w:tcW w:w="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860" w:type="dxa"/>
            <w:vAlign w:val="bottom"/>
            <w:tcBorders>
              <w:top w:val="single" w:sz="8" w:color="auto"/>
            </w:tcBorders>
          </w:tcPr>
          <w:p>
            <w:pPr>
              <w:jc w:val="center"/>
              <w:ind w:right="164"/>
              <w:spacing w:after="0" w:line="146" w:lineRule="exact"/>
              <w:rPr>
                <w:sz w:val="20"/>
                <w:szCs w:val="20"/>
                <w:color w:val="auto"/>
              </w:rPr>
            </w:pPr>
            <w:r>
              <w:rPr>
                <w:rFonts w:ascii="Times New Roman" w:cs="Times New Roman" w:eastAsia="Times New Roman" w:hAnsi="Times New Roman"/>
                <w:sz w:val="15"/>
                <w:szCs w:val="15"/>
                <w:color w:val="auto"/>
              </w:rPr>
              <w:t>(State or other jurisdiction of</w:t>
            </w:r>
          </w:p>
        </w:tc>
        <w:tc>
          <w:tcPr>
            <w:tcW w:w="3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tcPr>
          <w:p>
            <w:pPr>
              <w:jc w:val="center"/>
              <w:ind w:right="344"/>
              <w:spacing w:after="0" w:line="146" w:lineRule="exact"/>
              <w:rPr>
                <w:sz w:val="20"/>
                <w:szCs w:val="20"/>
                <w:color w:val="auto"/>
              </w:rPr>
            </w:pPr>
            <w:r>
              <w:rPr>
                <w:rFonts w:ascii="Times New Roman" w:cs="Times New Roman" w:eastAsia="Times New Roman" w:hAnsi="Times New Roman"/>
                <w:sz w:val="15"/>
                <w:szCs w:val="15"/>
                <w:color w:val="auto"/>
              </w:rPr>
              <w:t>(I.R.S. Employer</w:t>
            </w:r>
          </w:p>
        </w:tc>
        <w:tc>
          <w:tcPr>
            <w:tcW w:w="1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760" w:type="dxa"/>
            <w:vAlign w:val="bottom"/>
            <w:tcBorders>
              <w:top w:val="single" w:sz="8" w:color="auto"/>
            </w:tcBorders>
          </w:tcPr>
          <w:p>
            <w:pPr>
              <w:jc w:val="center"/>
              <w:ind w:right="1104"/>
              <w:spacing w:after="0" w:line="146" w:lineRule="exact"/>
              <w:rPr>
                <w:sz w:val="20"/>
                <w:szCs w:val="20"/>
                <w:color w:val="auto"/>
              </w:rPr>
            </w:pPr>
            <w:r>
              <w:rPr>
                <w:rFonts w:ascii="Times New Roman" w:cs="Times New Roman" w:eastAsia="Times New Roman" w:hAnsi="Times New Roman"/>
                <w:sz w:val="15"/>
                <w:szCs w:val="15"/>
                <w:color w:val="auto"/>
              </w:rPr>
              <w:t>(Address of principal executive offices)</w:t>
            </w:r>
          </w:p>
        </w:tc>
        <w:tc>
          <w:tcPr>
            <w:tcW w:w="20" w:type="dxa"/>
            <w:vAlign w:val="bottom"/>
          </w:tcPr>
          <w:p>
            <w:pPr>
              <w:spacing w:after="0"/>
              <w:rPr>
                <w:sz w:val="12"/>
                <w:szCs w:val="12"/>
                <w:color w:val="auto"/>
              </w:rPr>
            </w:pPr>
          </w:p>
        </w:tc>
      </w:tr>
      <w:tr>
        <w:trPr>
          <w:trHeight w:val="198"/>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60" w:type="dxa"/>
            <w:vAlign w:val="bottom"/>
          </w:tcPr>
          <w:p>
            <w:pPr>
              <w:jc w:val="center"/>
              <w:ind w:right="144"/>
              <w:spacing w:after="0"/>
              <w:rPr>
                <w:sz w:val="20"/>
                <w:szCs w:val="20"/>
                <w:color w:val="auto"/>
              </w:rPr>
            </w:pPr>
            <w:r>
              <w:rPr>
                <w:rFonts w:ascii="Times New Roman" w:cs="Times New Roman" w:eastAsia="Times New Roman" w:hAnsi="Times New Roman"/>
                <w:sz w:val="15"/>
                <w:szCs w:val="15"/>
                <w:color w:val="auto"/>
              </w:rPr>
              <w:t>incorporation or organization)</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gridSpan w:val="5"/>
          </w:tcPr>
          <w:p>
            <w:pPr>
              <w:jc w:val="center"/>
              <w:ind w:right="1680"/>
              <w:spacing w:after="0"/>
              <w:rPr>
                <w:sz w:val="20"/>
                <w:szCs w:val="20"/>
                <w:color w:val="auto"/>
              </w:rPr>
            </w:pPr>
            <w:r>
              <w:rPr>
                <w:rFonts w:ascii="Times New Roman" w:cs="Times New Roman" w:eastAsia="Times New Roman" w:hAnsi="Times New Roman"/>
                <w:sz w:val="15"/>
                <w:szCs w:val="15"/>
                <w:color w:val="auto"/>
              </w:rPr>
              <w:t>Identification No.)</w:t>
            </w:r>
          </w:p>
        </w:tc>
        <w:tc>
          <w:tcPr>
            <w:tcW w:w="3760" w:type="dxa"/>
            <w:vAlign w:val="bottom"/>
          </w:tcPr>
          <w:p>
            <w:pPr>
              <w:jc w:val="center"/>
              <w:ind w:right="1064"/>
              <w:spacing w:after="0"/>
              <w:rPr>
                <w:sz w:val="20"/>
                <w:szCs w:val="20"/>
                <w:color w:val="auto"/>
              </w:rPr>
            </w:pPr>
            <w:r>
              <w:rPr>
                <w:rFonts w:ascii="Times New Roman" w:cs="Times New Roman" w:eastAsia="Times New Roman" w:hAnsi="Times New Roman"/>
                <w:sz w:val="15"/>
                <w:szCs w:val="15"/>
                <w:color w:val="auto"/>
                <w:w w:val="99"/>
              </w:rPr>
              <w:t>(Zip Code)</w:t>
            </w:r>
          </w:p>
        </w:tc>
        <w:tc>
          <w:tcPr>
            <w:tcW w:w="20" w:type="dxa"/>
            <w:vAlign w:val="bottom"/>
          </w:tcPr>
          <w:p>
            <w:pPr>
              <w:spacing w:after="0"/>
              <w:rPr>
                <w:sz w:val="17"/>
                <w:szCs w:val="17"/>
                <w:color w:val="auto"/>
              </w:rPr>
            </w:pPr>
          </w:p>
        </w:tc>
      </w:tr>
      <w:tr>
        <w:trPr>
          <w:trHeight w:val="509"/>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760" w:type="dxa"/>
            <w:vAlign w:val="bottom"/>
            <w:gridSpan w:val="10"/>
          </w:tcPr>
          <w:p>
            <w:pPr>
              <w:jc w:val="center"/>
              <w:ind w:right="3364"/>
              <w:spacing w:after="0"/>
              <w:rPr>
                <w:sz w:val="20"/>
                <w:szCs w:val="20"/>
                <w:color w:val="auto"/>
              </w:rPr>
            </w:pPr>
            <w:r>
              <w:rPr>
                <w:rFonts w:ascii="Times New Roman" w:cs="Times New Roman" w:eastAsia="Times New Roman" w:hAnsi="Times New Roman"/>
                <w:sz w:val="15"/>
                <w:szCs w:val="15"/>
                <w:color w:val="auto"/>
              </w:rPr>
              <w:t>Registrant’s telephone number, including area code (832) 854-1000</w:t>
            </w:r>
          </w:p>
        </w:tc>
        <w:tc>
          <w:tcPr>
            <w:tcW w:w="20" w:type="dxa"/>
            <w:vAlign w:val="bottom"/>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40" w:type="dxa"/>
            <w:vAlign w:val="bottom"/>
            <w:gridSpan w:val="8"/>
          </w:tcPr>
          <w:p>
            <w:pPr>
              <w:jc w:val="center"/>
              <w:ind w:right="40"/>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c>
          <w:tcPr>
            <w:tcW w:w="3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09"/>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60" w:type="dxa"/>
            <w:vAlign w:val="bottom"/>
          </w:tcPr>
          <w:p>
            <w:pPr>
              <w:jc w:val="center"/>
              <w:ind w:left="84"/>
              <w:spacing w:after="0"/>
              <w:rPr>
                <w:sz w:val="20"/>
                <w:szCs w:val="20"/>
                <w:color w:val="auto"/>
              </w:rPr>
            </w:pPr>
            <w:r>
              <w:rPr>
                <w:rFonts w:ascii="Times New Roman" w:cs="Times New Roman" w:eastAsia="Times New Roman" w:hAnsi="Times New Roman"/>
                <w:sz w:val="15"/>
                <w:szCs w:val="15"/>
                <w:color w:val="auto"/>
              </w:rPr>
              <w:t>Title of each class</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00" w:type="dxa"/>
            <w:vAlign w:val="bottom"/>
            <w:gridSpan w:val="5"/>
          </w:tcPr>
          <w:p>
            <w:pPr>
              <w:jc w:val="center"/>
              <w:ind w:right="640"/>
              <w:spacing w:after="0"/>
              <w:rPr>
                <w:sz w:val="20"/>
                <w:szCs w:val="20"/>
                <w:color w:val="auto"/>
              </w:rPr>
            </w:pPr>
            <w:r>
              <w:rPr>
                <w:rFonts w:ascii="Times New Roman" w:cs="Times New Roman" w:eastAsia="Times New Roman" w:hAnsi="Times New Roman"/>
                <w:sz w:val="15"/>
                <w:szCs w:val="15"/>
                <w:color w:val="auto"/>
              </w:rPr>
              <w:t>Trading Symbol</w:t>
            </w:r>
          </w:p>
        </w:tc>
        <w:tc>
          <w:tcPr>
            <w:tcW w:w="3760" w:type="dxa"/>
            <w:vAlign w:val="bottom"/>
          </w:tcPr>
          <w:p>
            <w:pPr>
              <w:jc w:val="center"/>
              <w:ind w:right="384"/>
              <w:spacing w:after="0"/>
              <w:rPr>
                <w:sz w:val="20"/>
                <w:szCs w:val="20"/>
                <w:color w:val="auto"/>
              </w:rPr>
            </w:pPr>
            <w:r>
              <w:rPr>
                <w:rFonts w:ascii="Times New Roman" w:cs="Times New Roman" w:eastAsia="Times New Roman" w:hAnsi="Times New Roman"/>
                <w:sz w:val="15"/>
                <w:szCs w:val="15"/>
                <w:color w:val="auto"/>
              </w:rPr>
              <w:t>Name of each exchange on which registered</w:t>
            </w:r>
          </w:p>
        </w:tc>
        <w:tc>
          <w:tcPr>
            <w:tcW w:w="20" w:type="dxa"/>
            <w:vAlign w:val="bottom"/>
          </w:tcPr>
          <w:p>
            <w:pPr>
              <w:spacing w:after="0"/>
              <w:rPr>
                <w:sz w:val="24"/>
                <w:szCs w:val="24"/>
                <w:color w:val="auto"/>
              </w:rPr>
            </w:pPr>
          </w:p>
        </w:tc>
      </w:tr>
      <w:tr>
        <w:trPr>
          <w:trHeight w:val="196"/>
        </w:trPr>
        <w:tc>
          <w:tcPr>
            <w:tcW w:w="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860" w:type="dxa"/>
            <w:vAlign w:val="bottom"/>
            <w:tcBorders>
              <w:top w:val="single" w:sz="8" w:color="auto"/>
            </w:tcBorders>
          </w:tcPr>
          <w:p>
            <w:pPr>
              <w:jc w:val="center"/>
              <w:ind w:left="84"/>
              <w:spacing w:after="0"/>
              <w:rPr>
                <w:sz w:val="20"/>
                <w:szCs w:val="20"/>
                <w:color w:val="auto"/>
              </w:rPr>
            </w:pPr>
            <w:r>
              <w:rPr>
                <w:rFonts w:ascii="Times New Roman" w:cs="Times New Roman" w:eastAsia="Times New Roman" w:hAnsi="Times New Roman"/>
                <w:sz w:val="15"/>
                <w:szCs w:val="15"/>
                <w:color w:val="auto"/>
              </w:rPr>
              <w:t>Common stock, par value $.75 per share</w:t>
            </w:r>
          </w:p>
        </w:tc>
        <w:tc>
          <w:tcPr>
            <w:tcW w:w="3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5"/>
                <w:szCs w:val="15"/>
                <w:color w:val="auto"/>
              </w:rPr>
              <w:t>CVX</w:t>
            </w:r>
          </w:p>
        </w:tc>
        <w:tc>
          <w:tcPr>
            <w:tcW w:w="16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3760" w:type="dxa"/>
            <w:vAlign w:val="bottom"/>
            <w:tcBorders>
              <w:top w:val="single" w:sz="8" w:color="auto"/>
            </w:tcBorders>
          </w:tcPr>
          <w:p>
            <w:pPr>
              <w:jc w:val="center"/>
              <w:ind w:right="384"/>
              <w:spacing w:after="0"/>
              <w:rPr>
                <w:sz w:val="20"/>
                <w:szCs w:val="20"/>
                <w:color w:val="auto"/>
              </w:rPr>
            </w:pPr>
            <w:r>
              <w:rPr>
                <w:rFonts w:ascii="Times New Roman" w:cs="Times New Roman" w:eastAsia="Times New Roman" w:hAnsi="Times New Roman"/>
                <w:sz w:val="15"/>
                <w:szCs w:val="15"/>
                <w:color w:val="auto"/>
              </w:rPr>
              <w:t>New York Stock Exchange</w:t>
            </w:r>
          </w:p>
        </w:tc>
        <w:tc>
          <w:tcPr>
            <w:tcW w:w="20" w:type="dxa"/>
            <w:vAlign w:val="bottom"/>
            <w:tcBorders>
              <w:top w:val="single" w:sz="8" w:color="auto"/>
            </w:tcBorders>
          </w:tcPr>
          <w:p>
            <w:pPr>
              <w:spacing w:after="0"/>
              <w:rPr>
                <w:sz w:val="17"/>
                <w:szCs w:val="17"/>
                <w:color w:val="auto"/>
              </w:rPr>
            </w:pPr>
          </w:p>
        </w:tc>
      </w:tr>
      <w:tr>
        <w:trPr>
          <w:trHeight w:val="220"/>
        </w:trPr>
        <w:tc>
          <w:tcPr>
            <w:tcW w:w="7460" w:type="dxa"/>
            <w:vAlign w:val="bottom"/>
            <w:gridSpan w:val="12"/>
          </w:tcPr>
          <w:p>
            <w:pPr>
              <w:spacing w:after="0"/>
              <w:rPr>
                <w:sz w:val="20"/>
                <w:szCs w:val="20"/>
                <w:color w:val="auto"/>
              </w:rPr>
            </w:pPr>
            <w:r>
              <w:rPr>
                <w:rFonts w:ascii="Times New Roman" w:cs="Times New Roman" w:eastAsia="Times New Roman" w:hAnsi="Times New Roman"/>
                <w:sz w:val="15"/>
                <w:szCs w:val="15"/>
                <w:color w:val="auto"/>
              </w:rPr>
              <w:t>Indicate by check mark if the registrant is a well-known seasoned issuer, as defined in Rule 405 of the Securities Act.</w:t>
            </w:r>
          </w:p>
        </w:tc>
        <w:tc>
          <w:tcPr>
            <w:tcW w:w="3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9"/>
        </w:trPr>
        <w:tc>
          <w:tcPr>
            <w:tcW w:w="600" w:type="dxa"/>
            <w:vAlign w:val="bottom"/>
            <w:gridSpan w:val="2"/>
          </w:tcPr>
          <w:p>
            <w:pPr>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p>
        </w:tc>
        <w:tc>
          <w:tcPr>
            <w:tcW w:w="28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 xml:space="preserve">No </w:t>
            </w:r>
            <w:r>
              <w:rPr>
                <w:rFonts w:ascii="Wingdings" w:cs="Wingdings" w:eastAsia="Wingdings" w:hAnsi="Wingdings"/>
                <w:sz w:val="15"/>
                <w:szCs w:val="15"/>
                <w:b w:val="1"/>
                <w:bCs w:val="1"/>
                <w:color w:val="auto"/>
              </w:rPr>
              <w:t>o</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52"/>
        </w:trPr>
        <w:tc>
          <w:tcPr>
            <w:tcW w:w="7460" w:type="dxa"/>
            <w:vAlign w:val="bottom"/>
            <w:gridSpan w:val="12"/>
          </w:tcPr>
          <w:p>
            <w:pPr>
              <w:spacing w:after="0" w:line="152" w:lineRule="exact"/>
              <w:rPr>
                <w:sz w:val="20"/>
                <w:szCs w:val="20"/>
                <w:color w:val="auto"/>
              </w:rPr>
            </w:pPr>
            <w:r>
              <w:rPr>
                <w:rFonts w:ascii="Times New Roman" w:cs="Times New Roman" w:eastAsia="Times New Roman" w:hAnsi="Times New Roman"/>
                <w:sz w:val="15"/>
                <w:szCs w:val="15"/>
                <w:color w:val="auto"/>
              </w:rPr>
              <w:t>Indicate by check mark if the registrant is not required to file reports pursuant to Section 13 or Section 15(d) of the Act.</w:t>
            </w:r>
          </w:p>
        </w:tc>
        <w:tc>
          <w:tcPr>
            <w:tcW w:w="37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55"/>
        </w:trPr>
        <w:tc>
          <w:tcPr>
            <w:tcW w:w="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xml:space="preserve">Yes </w:t>
            </w:r>
            <w:r>
              <w:rPr>
                <w:rFonts w:ascii="Wingdings" w:cs="Wingdings" w:eastAsia="Wingdings" w:hAnsi="Wingdings"/>
                <w:sz w:val="15"/>
                <w:szCs w:val="15"/>
                <w:b w:val="1"/>
                <w:bCs w:val="1"/>
                <w:color w:val="auto"/>
              </w:rPr>
              <w:t>o</w:t>
            </w:r>
          </w:p>
        </w:tc>
        <w:tc>
          <w:tcPr>
            <w:tcW w:w="2860" w:type="dxa"/>
            <w:vAlign w:val="bottom"/>
          </w:tcPr>
          <w:p>
            <w:pPr>
              <w:ind w:left="180"/>
              <w:spacing w:after="0" w:line="173" w:lineRule="exact"/>
              <w:rPr>
                <w:sz w:val="20"/>
                <w:szCs w:val="20"/>
                <w:color w:val="auto"/>
              </w:rPr>
            </w:pP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20" w:type="dxa"/>
            <w:vAlign w:val="bottom"/>
          </w:tcPr>
          <w:p>
            <w:pPr>
              <w:spacing w:after="0"/>
              <w:rPr>
                <w:sz w:val="22"/>
                <w:szCs w:val="22"/>
                <w:color w:val="auto"/>
              </w:rPr>
            </w:pPr>
          </w:p>
        </w:tc>
      </w:tr>
    </w:tbl>
    <w:p>
      <w:pPr>
        <w:jc w:val="both"/>
        <w:ind w:right="20"/>
        <w:spacing w:after="0" w:line="212" w:lineRule="auto"/>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73" w:lineRule="exact"/>
        <w:tabs>
          <w:tab w:leader="none" w:pos="760" w:val="left"/>
        </w:tabs>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Wingdings" w:cs="Wingdings" w:eastAsia="Wingdings" w:hAnsi="Wingdings"/>
          <w:sz w:val="15"/>
          <w:szCs w:val="15"/>
          <w:b w:val="1"/>
          <w:bCs w:val="1"/>
          <w:color w:val="auto"/>
        </w:rPr>
        <w:t>o</w:t>
      </w:r>
    </w:p>
    <w:p>
      <w:pPr>
        <w:spacing w:after="0" w:line="60" w:lineRule="exact"/>
        <w:rPr>
          <w:sz w:val="24"/>
          <w:szCs w:val="24"/>
          <w:color w:val="auto"/>
        </w:rPr>
      </w:pPr>
    </w:p>
    <w:p>
      <w:pPr>
        <w:jc w:val="both"/>
        <w:ind w:right="20"/>
        <w:spacing w:after="0" w:line="213" w:lineRule="auto"/>
        <w:rPr>
          <w:sz w:val="20"/>
          <w:szCs w:val="20"/>
          <w:color w:val="auto"/>
        </w:rPr>
      </w:pPr>
      <w:r>
        <w:rPr>
          <w:rFonts w:ascii="Times New Roman" w:cs="Times New Roman" w:eastAsia="Times New Roman" w:hAnsi="Times New Roman"/>
          <w:sz w:val="15"/>
          <w:szCs w:val="15"/>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73" w:lineRule="exact"/>
        <w:tabs>
          <w:tab w:leader="none" w:pos="760" w:val="left"/>
        </w:tabs>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Wingdings" w:cs="Wingdings" w:eastAsia="Wingdings" w:hAnsi="Wingdings"/>
          <w:sz w:val="15"/>
          <w:szCs w:val="15"/>
          <w:b w:val="1"/>
          <w:bCs w:val="1"/>
          <w:color w:val="auto"/>
        </w:rPr>
        <w:t>o</w:t>
      </w:r>
    </w:p>
    <w:p>
      <w:pPr>
        <w:spacing w:after="0" w:line="60" w:lineRule="exact"/>
        <w:rPr>
          <w:sz w:val="24"/>
          <w:szCs w:val="24"/>
          <w:color w:val="auto"/>
        </w:rPr>
      </w:pPr>
    </w:p>
    <w:p>
      <w:pPr>
        <w:jc w:val="both"/>
        <w:spacing w:after="0" w:line="250"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72"/>
        </w:trPr>
        <w:tc>
          <w:tcPr>
            <w:tcW w:w="180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900" w:type="dxa"/>
            <w:vAlign w:val="bottom"/>
          </w:tcPr>
          <w:p>
            <w:pPr>
              <w:ind w:left="420"/>
              <w:spacing w:after="0" w:line="151" w:lineRule="exact"/>
              <w:rPr>
                <w:sz w:val="20"/>
                <w:szCs w:val="20"/>
                <w:color w:val="auto"/>
              </w:rPr>
            </w:pPr>
            <w:r>
              <w:rPr>
                <w:rFonts w:ascii="MS PGothic" w:cs="MS PGothic" w:eastAsia="MS PGothic" w:hAnsi="MS PGothic"/>
                <w:sz w:val="15"/>
                <w:szCs w:val="15"/>
                <w:color w:val="auto"/>
              </w:rPr>
              <w:t>☑</w:t>
            </w:r>
          </w:p>
        </w:tc>
        <w:tc>
          <w:tcPr>
            <w:tcW w:w="5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Accelerated filer</w:t>
            </w:r>
          </w:p>
        </w:tc>
        <w:tc>
          <w:tcPr>
            <w:tcW w:w="200" w:type="dxa"/>
            <w:vAlign w:val="bottom"/>
          </w:tcPr>
          <w:p>
            <w:pPr>
              <w:ind w:left="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03"/>
        </w:trPr>
        <w:tc>
          <w:tcPr>
            <w:tcW w:w="180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900" w:type="dxa"/>
            <w:vAlign w:val="bottom"/>
          </w:tcPr>
          <w:p>
            <w:pPr>
              <w:ind w:left="420"/>
              <w:spacing w:after="0" w:line="151" w:lineRule="exact"/>
              <w:rPr>
                <w:sz w:val="20"/>
                <w:szCs w:val="20"/>
                <w:color w:val="auto"/>
              </w:rPr>
            </w:pPr>
            <w:r>
              <w:rPr>
                <w:rFonts w:ascii="MS PGothic" w:cs="MS PGothic" w:eastAsia="MS PGothic" w:hAnsi="MS PGothic"/>
                <w:sz w:val="15"/>
                <w:szCs w:val="15"/>
                <w:color w:val="auto"/>
              </w:rPr>
              <w:t>☐</w:t>
            </w:r>
          </w:p>
        </w:tc>
        <w:tc>
          <w:tcPr>
            <w:tcW w:w="5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Smaller reporting company</w:t>
            </w:r>
          </w:p>
        </w:tc>
        <w:tc>
          <w:tcPr>
            <w:tcW w:w="200" w:type="dxa"/>
            <w:vAlign w:val="bottom"/>
          </w:tcPr>
          <w:p>
            <w:pPr>
              <w:ind w:left="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8"/>
        </w:trPr>
        <w:tc>
          <w:tcPr>
            <w:tcW w:w="18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5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Emerging growth company</w:t>
            </w:r>
          </w:p>
        </w:tc>
        <w:tc>
          <w:tcPr>
            <w:tcW w:w="200" w:type="dxa"/>
            <w:vAlign w:val="bottom"/>
          </w:tcPr>
          <w:p>
            <w:pPr>
              <w:ind w:left="6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48" w:lineRule="exact"/>
        <w:rPr>
          <w:sz w:val="24"/>
          <w:szCs w:val="24"/>
          <w:color w:val="auto"/>
        </w:rPr>
      </w:pPr>
    </w:p>
    <w:p>
      <w:pPr>
        <w:ind w:right="20"/>
        <w:spacing w:after="0" w:line="242" w:lineRule="auto"/>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5"/>
          <w:szCs w:val="15"/>
          <w:b w:val="1"/>
          <w:bCs w:val="1"/>
          <w:color w:val="auto"/>
        </w:rPr>
        <w:t>o</w:t>
      </w:r>
    </w:p>
    <w:p>
      <w:pPr>
        <w:spacing w:after="0" w:line="44" w:lineRule="exact"/>
        <w:rPr>
          <w:sz w:val="24"/>
          <w:szCs w:val="24"/>
          <w:color w:val="auto"/>
        </w:rPr>
      </w:pPr>
    </w:p>
    <w:p>
      <w:pPr>
        <w:ind w:right="20"/>
        <w:spacing w:after="0" w:line="18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controls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22"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5"/>
          <w:szCs w:val="15"/>
          <w:b w:val="1"/>
          <w:bCs w:val="1"/>
          <w:color w:val="auto"/>
        </w:rPr>
        <w:t>o</w:t>
      </w:r>
    </w:p>
    <w:p>
      <w:pPr>
        <w:spacing w:after="0" w:line="30" w:lineRule="exact"/>
        <w:rPr>
          <w:sz w:val="24"/>
          <w:szCs w:val="24"/>
          <w:color w:val="auto"/>
        </w:rPr>
      </w:pPr>
    </w:p>
    <w:p>
      <w:pPr>
        <w:ind w:right="20"/>
        <w:spacing w:after="0" w:line="242" w:lineRule="auto"/>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5"/>
          <w:szCs w:val="15"/>
          <w:b w:val="1"/>
          <w:bCs w:val="1"/>
          <w:color w:val="auto"/>
        </w:rPr>
        <w:t>o</w:t>
      </w:r>
    </w:p>
    <w:p>
      <w:pPr>
        <w:spacing w:after="0" w:line="8" w:lineRule="exact"/>
        <w:rPr>
          <w:sz w:val="24"/>
          <w:szCs w:val="24"/>
          <w:color w:val="auto"/>
        </w:rPr>
      </w:pPr>
    </w:p>
    <w:p>
      <w:pPr>
        <w:spacing w:after="0" w:line="173" w:lineRule="exact"/>
        <w:tabs>
          <w:tab w:leader="none" w:pos="6520" w:val="left"/>
          <w:tab w:leader="none" w:pos="7180" w:val="left"/>
        </w:tabs>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Act).</w:t>
        <w:tab/>
        <w:t xml:space="preserve">Yes </w:t>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p>
      <w:pPr>
        <w:spacing w:after="0" w:line="106" w:lineRule="exact"/>
        <w:rPr>
          <w:sz w:val="24"/>
          <w:szCs w:val="24"/>
          <w:color w:val="auto"/>
        </w:rPr>
      </w:pPr>
    </w:p>
    <w:p>
      <w:pPr>
        <w:jc w:val="both"/>
        <w:spacing w:after="0" w:line="227" w:lineRule="auto"/>
        <w:rPr>
          <w:sz w:val="20"/>
          <w:szCs w:val="20"/>
          <w:color w:val="auto"/>
        </w:rPr>
      </w:pPr>
      <w:r>
        <w:rPr>
          <w:rFonts w:ascii="Times New Roman" w:cs="Times New Roman" w:eastAsia="Times New Roman" w:hAnsi="Times New Roman"/>
          <w:sz w:val="15"/>
          <w:szCs w:val="15"/>
          <w:color w:val="auto"/>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 $286.1 billion (As of June 28,</w:t>
      </w:r>
    </w:p>
    <w:p>
      <w:pPr>
        <w:spacing w:after="0"/>
        <w:rPr>
          <w:sz w:val="20"/>
          <w:szCs w:val="20"/>
          <w:color w:val="auto"/>
        </w:rPr>
      </w:pPr>
      <w:r>
        <w:rPr>
          <w:rFonts w:ascii="Times New Roman" w:cs="Times New Roman" w:eastAsia="Times New Roman" w:hAnsi="Times New Roman"/>
          <w:sz w:val="15"/>
          <w:szCs w:val="15"/>
          <w:color w:val="auto"/>
        </w:rPr>
        <w:t>2024)</w:t>
      </w:r>
    </w:p>
    <w:p>
      <w:pPr>
        <w:spacing w:after="0" w:line="68"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5"/>
          <w:szCs w:val="15"/>
          <w:color w:val="auto"/>
        </w:rPr>
        <w:t>Number of Shares of Common Stock outstanding as of February 7, 2025 — 1,760,598,537</w:t>
      </w:r>
    </w:p>
    <w:p>
      <w:pPr>
        <w:spacing w:after="0" w:line="57"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5"/>
          <w:szCs w:val="15"/>
          <w:color w:val="auto"/>
        </w:rPr>
        <w:t>DOCUMENTS INCORPORATED BY REFERENCE</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(To The Extent Indicated Herein)</w:t>
      </w:r>
    </w:p>
    <w:p>
      <w:pPr>
        <w:spacing w:after="0" w:line="14" w:lineRule="exact"/>
        <w:rPr>
          <w:sz w:val="24"/>
          <w:szCs w:val="24"/>
          <w:color w:val="auto"/>
        </w:rPr>
      </w:pPr>
    </w:p>
    <w:p>
      <w:pPr>
        <w:ind w:right="280"/>
        <w:spacing w:after="0" w:line="242" w:lineRule="auto"/>
        <w:rPr>
          <w:sz w:val="20"/>
          <w:szCs w:val="20"/>
          <w:color w:val="auto"/>
        </w:rPr>
      </w:pPr>
      <w:r>
        <w:rPr>
          <w:rFonts w:ascii="Times New Roman" w:cs="Times New Roman" w:eastAsia="Times New Roman" w:hAnsi="Times New Roman"/>
          <w:sz w:val="15"/>
          <w:szCs w:val="15"/>
          <w:color w:val="auto"/>
        </w:rPr>
        <w:t>Notice of the 2025 Annual Meeting and 2025 Proxy Statement, to be filed pursuant to Rule 14a-6(b) under the Securities Exchange Act of 1934, in connection with the company’s 2025 Annual Meeting of Stockholders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574675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8820" w:type="dxa"/>
            <w:vAlign w:val="bottom"/>
          </w:tcPr>
          <w:p>
            <w:pPr>
              <w:ind w:left="4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58"/>
        </w:trPr>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w:t>
            </w:r>
          </w:p>
        </w:tc>
        <w:tc>
          <w:tcPr>
            <w:tcW w:w="8820" w:type="dxa"/>
            <w:vAlign w:val="bottom"/>
          </w:tcPr>
          <w:p>
            <w:pPr>
              <w:spacing w:after="0"/>
              <w:rPr>
                <w:sz w:val="24"/>
                <w:szCs w:val="24"/>
                <w:color w:val="auto"/>
              </w:rPr>
            </w:pPr>
          </w:p>
        </w:tc>
        <w:tc>
          <w:tcPr>
            <w:tcW w:w="186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PAGE</w:t>
            </w:r>
          </w:p>
        </w:tc>
      </w:tr>
      <w:tr>
        <w:trPr>
          <w:trHeight w:val="209"/>
        </w:trPr>
        <w:tc>
          <w:tcPr>
            <w:tcW w:w="560" w:type="dxa"/>
            <w:vAlign w:val="bottom"/>
            <w:tcBorders>
              <w:top w:val="single" w:sz="8" w:color="auto"/>
            </w:tcBorders>
          </w:tcPr>
          <w:p>
            <w:pPr>
              <w:spacing w:after="0"/>
              <w:rPr>
                <w:sz w:val="18"/>
                <w:szCs w:val="18"/>
                <w:color w:val="auto"/>
              </w:rPr>
            </w:pPr>
          </w:p>
        </w:tc>
        <w:tc>
          <w:tcPr>
            <w:tcW w:w="8820" w:type="dxa"/>
            <w:vAlign w:val="bottom"/>
            <w:tcBorders>
              <w:top w:val="single" w:sz="8" w:color="auto"/>
            </w:tcBorders>
          </w:tcPr>
          <w:p>
            <w:pPr>
              <w:jc w:val="center"/>
              <w:ind w:left="1139"/>
              <w:spacing w:after="0"/>
              <w:rPr>
                <w:sz w:val="20"/>
                <w:szCs w:val="20"/>
                <w:color w:val="auto"/>
              </w:rPr>
            </w:pPr>
            <w:r>
              <w:rPr>
                <w:rFonts w:ascii="Times New Roman" w:cs="Times New Roman" w:eastAsia="Times New Roman" w:hAnsi="Times New Roman"/>
                <w:sz w:val="16"/>
                <w:szCs w:val="16"/>
                <w:b w:val="1"/>
                <w:bCs w:val="1"/>
                <w:color w:val="auto"/>
                <w:w w:val="96"/>
              </w:rPr>
              <w:t>PART I</w:t>
            </w: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w:t>
            </w:r>
          </w:p>
        </w:tc>
        <w:tc>
          <w:tcPr>
            <w:tcW w:w="8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Business</w:t>
            </w:r>
          </w:p>
        </w:tc>
        <w:tc>
          <w:tcPr>
            <w:tcW w:w="1760" w:type="dxa"/>
            <w:vAlign w:val="bottom"/>
          </w:tcPr>
          <w:p>
            <w:pPr>
              <w:jc w:val="center"/>
              <w:ind w:left="919"/>
              <w:spacing w:after="0"/>
              <w:rPr>
                <w:sz w:val="20"/>
                <w:szCs w:val="20"/>
                <w:color w:val="auto"/>
              </w:rPr>
            </w:pPr>
            <w:r>
              <w:rPr>
                <w:rFonts w:ascii="Times New Roman" w:cs="Times New Roman" w:eastAsia="Times New Roman" w:hAnsi="Times New Roman"/>
                <w:sz w:val="16"/>
                <w:szCs w:val="16"/>
                <w:color w:val="0000FF"/>
                <w:w w:val="99"/>
              </w:rPr>
              <w:t>3</w:t>
            </w:r>
          </w:p>
        </w:tc>
        <w:tc>
          <w:tcPr>
            <w:tcW w:w="10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8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General Development of Business</w:t>
            </w:r>
          </w:p>
        </w:tc>
        <w:tc>
          <w:tcPr>
            <w:tcW w:w="1760" w:type="dxa"/>
            <w:vAlign w:val="bottom"/>
          </w:tcPr>
          <w:p>
            <w:pPr>
              <w:jc w:val="center"/>
              <w:ind w:left="919"/>
              <w:spacing w:after="0"/>
              <w:rPr>
                <w:sz w:val="20"/>
                <w:szCs w:val="20"/>
                <w:color w:val="auto"/>
              </w:rPr>
            </w:pPr>
            <w:r>
              <w:rPr>
                <w:rFonts w:ascii="Times New Roman" w:cs="Times New Roman" w:eastAsia="Times New Roman" w:hAnsi="Times New Roman"/>
                <w:sz w:val="16"/>
                <w:szCs w:val="16"/>
                <w:color w:val="0000FF"/>
                <w:w w:val="99"/>
              </w:rPr>
              <w:t>3</w:t>
            </w:r>
          </w:p>
        </w:tc>
        <w:tc>
          <w:tcPr>
            <w:tcW w:w="10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8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Description of Business and Properties</w:t>
            </w:r>
          </w:p>
        </w:tc>
        <w:tc>
          <w:tcPr>
            <w:tcW w:w="1760" w:type="dxa"/>
            <w:vAlign w:val="bottom"/>
          </w:tcPr>
          <w:p>
            <w:pPr>
              <w:jc w:val="center"/>
              <w:ind w:left="919"/>
              <w:spacing w:after="0"/>
              <w:rPr>
                <w:sz w:val="20"/>
                <w:szCs w:val="20"/>
                <w:color w:val="auto"/>
              </w:rPr>
            </w:pPr>
            <w:r>
              <w:rPr>
                <w:rFonts w:ascii="Times New Roman" w:cs="Times New Roman" w:eastAsia="Times New Roman" w:hAnsi="Times New Roman"/>
                <w:sz w:val="16"/>
                <w:szCs w:val="16"/>
                <w:color w:val="0000FF"/>
                <w:w w:val="99"/>
              </w:rPr>
              <w:t>6</w:t>
            </w:r>
          </w:p>
        </w:tc>
        <w:tc>
          <w:tcPr>
            <w:tcW w:w="10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88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Upstream</w:t>
            </w:r>
          </w:p>
        </w:tc>
        <w:tc>
          <w:tcPr>
            <w:tcW w:w="1760" w:type="dxa"/>
            <w:vAlign w:val="bottom"/>
          </w:tcPr>
          <w:p>
            <w:pPr>
              <w:jc w:val="center"/>
              <w:ind w:left="919"/>
              <w:spacing w:after="0"/>
              <w:rPr>
                <w:sz w:val="20"/>
                <w:szCs w:val="20"/>
                <w:color w:val="auto"/>
              </w:rPr>
            </w:pPr>
            <w:r>
              <w:rPr>
                <w:rFonts w:ascii="Times New Roman" w:cs="Times New Roman" w:eastAsia="Times New Roman" w:hAnsi="Times New Roman"/>
                <w:sz w:val="16"/>
                <w:szCs w:val="16"/>
                <w:color w:val="0000FF"/>
                <w:w w:val="99"/>
              </w:rPr>
              <w:t>6</w:t>
            </w:r>
          </w:p>
        </w:tc>
        <w:tc>
          <w:tcPr>
            <w:tcW w:w="10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88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Downstream</w:t>
            </w:r>
          </w:p>
        </w:tc>
        <w:tc>
          <w:tcPr>
            <w:tcW w:w="1760" w:type="dxa"/>
            <w:vAlign w:val="bottom"/>
          </w:tcPr>
          <w:p>
            <w:pPr>
              <w:jc w:val="center"/>
              <w:ind w:left="919"/>
              <w:spacing w:after="0"/>
              <w:rPr>
                <w:sz w:val="20"/>
                <w:szCs w:val="20"/>
                <w:color w:val="auto"/>
              </w:rPr>
            </w:pPr>
            <w:r>
              <w:rPr>
                <w:rFonts w:ascii="Times New Roman" w:cs="Times New Roman" w:eastAsia="Times New Roman" w:hAnsi="Times New Roman"/>
                <w:sz w:val="16"/>
                <w:szCs w:val="16"/>
                <w:color w:val="0000FF"/>
                <w:w w:val="99"/>
              </w:rPr>
              <w:t>17</w:t>
            </w:r>
          </w:p>
        </w:tc>
        <w:tc>
          <w:tcPr>
            <w:tcW w:w="10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88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Other Businesses</w:t>
            </w:r>
          </w:p>
        </w:tc>
        <w:tc>
          <w:tcPr>
            <w:tcW w:w="1760" w:type="dxa"/>
            <w:vAlign w:val="bottom"/>
          </w:tcPr>
          <w:p>
            <w:pPr>
              <w:jc w:val="center"/>
              <w:ind w:left="919"/>
              <w:spacing w:after="0"/>
              <w:rPr>
                <w:sz w:val="20"/>
                <w:szCs w:val="20"/>
                <w:color w:val="auto"/>
              </w:rPr>
            </w:pPr>
            <w:r>
              <w:rPr>
                <w:rFonts w:ascii="Times New Roman" w:cs="Times New Roman" w:eastAsia="Times New Roman" w:hAnsi="Times New Roman"/>
                <w:sz w:val="16"/>
                <w:szCs w:val="16"/>
                <w:color w:val="0000FF"/>
                <w:w w:val="99"/>
              </w:rPr>
              <w:t>19</w:t>
            </w:r>
          </w:p>
        </w:tc>
        <w:tc>
          <w:tcPr>
            <w:tcW w:w="100" w:type="dxa"/>
            <w:vAlign w:val="bottom"/>
          </w:tcPr>
          <w:p>
            <w:pPr>
              <w:spacing w:after="0"/>
              <w:rPr>
                <w:sz w:val="18"/>
                <w:szCs w:val="18"/>
                <w:color w:val="auto"/>
              </w:rPr>
            </w:pPr>
          </w:p>
        </w:tc>
      </w:tr>
      <w:tr>
        <w:trPr>
          <w:trHeight w:val="216"/>
        </w:trPr>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1A.</w:t>
            </w:r>
          </w:p>
        </w:tc>
        <w:tc>
          <w:tcPr>
            <w:tcW w:w="8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Risk Factors</w:t>
            </w:r>
          </w:p>
        </w:tc>
        <w:tc>
          <w:tcPr>
            <w:tcW w:w="1760" w:type="dxa"/>
            <w:vAlign w:val="bottom"/>
          </w:tcPr>
          <w:p>
            <w:pPr>
              <w:jc w:val="center"/>
              <w:ind w:left="919"/>
              <w:spacing w:after="0"/>
              <w:rPr>
                <w:sz w:val="20"/>
                <w:szCs w:val="20"/>
                <w:color w:val="auto"/>
              </w:rPr>
            </w:pPr>
            <w:r>
              <w:rPr>
                <w:rFonts w:ascii="Times New Roman" w:cs="Times New Roman" w:eastAsia="Times New Roman" w:hAnsi="Times New Roman"/>
                <w:sz w:val="16"/>
                <w:szCs w:val="16"/>
                <w:color w:val="0000FF"/>
                <w:w w:val="99"/>
              </w:rPr>
              <w:t>20</w:t>
            </w:r>
          </w:p>
        </w:tc>
        <w:tc>
          <w:tcPr>
            <w:tcW w:w="100" w:type="dxa"/>
            <w:vAlign w:val="bottom"/>
          </w:tcPr>
          <w:p>
            <w:pPr>
              <w:spacing w:after="0"/>
              <w:rPr>
                <w:sz w:val="18"/>
                <w:szCs w:val="18"/>
                <w:color w:val="auto"/>
              </w:rPr>
            </w:pPr>
          </w:p>
        </w:tc>
      </w:tr>
      <w:tr>
        <w:trPr>
          <w:trHeight w:val="216"/>
        </w:trPr>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1B.</w:t>
            </w:r>
          </w:p>
        </w:tc>
        <w:tc>
          <w:tcPr>
            <w:tcW w:w="8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Unresolved Staff Comments</w:t>
            </w:r>
          </w:p>
        </w:tc>
        <w:tc>
          <w:tcPr>
            <w:tcW w:w="1760" w:type="dxa"/>
            <w:vAlign w:val="bottom"/>
          </w:tcPr>
          <w:p>
            <w:pPr>
              <w:jc w:val="center"/>
              <w:ind w:left="919"/>
              <w:spacing w:after="0"/>
              <w:rPr>
                <w:sz w:val="20"/>
                <w:szCs w:val="20"/>
                <w:color w:val="auto"/>
              </w:rPr>
            </w:pPr>
            <w:r>
              <w:rPr>
                <w:rFonts w:ascii="Times New Roman" w:cs="Times New Roman" w:eastAsia="Times New Roman" w:hAnsi="Times New Roman"/>
                <w:sz w:val="16"/>
                <w:szCs w:val="16"/>
                <w:color w:val="0000FF"/>
                <w:w w:val="99"/>
              </w:rPr>
              <w:t>27</w:t>
            </w:r>
          </w:p>
        </w:tc>
        <w:tc>
          <w:tcPr>
            <w:tcW w:w="100" w:type="dxa"/>
            <w:vAlign w:val="bottom"/>
          </w:tcPr>
          <w:p>
            <w:pPr>
              <w:spacing w:after="0"/>
              <w:rPr>
                <w:sz w:val="18"/>
                <w:szCs w:val="18"/>
                <w:color w:val="auto"/>
              </w:rPr>
            </w:pPr>
          </w:p>
        </w:tc>
      </w:tr>
      <w:tr>
        <w:trPr>
          <w:trHeight w:val="216"/>
        </w:trPr>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1C.</w:t>
            </w:r>
          </w:p>
        </w:tc>
        <w:tc>
          <w:tcPr>
            <w:tcW w:w="8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Cybersecurity</w:t>
            </w:r>
          </w:p>
        </w:tc>
        <w:tc>
          <w:tcPr>
            <w:tcW w:w="1760" w:type="dxa"/>
            <w:vAlign w:val="bottom"/>
          </w:tcPr>
          <w:p>
            <w:pPr>
              <w:jc w:val="center"/>
              <w:ind w:left="919"/>
              <w:spacing w:after="0"/>
              <w:rPr>
                <w:sz w:val="20"/>
                <w:szCs w:val="20"/>
                <w:color w:val="auto"/>
              </w:rPr>
            </w:pPr>
            <w:r>
              <w:rPr>
                <w:rFonts w:ascii="Times New Roman" w:cs="Times New Roman" w:eastAsia="Times New Roman" w:hAnsi="Times New Roman"/>
                <w:sz w:val="16"/>
                <w:szCs w:val="16"/>
                <w:color w:val="0000FF"/>
                <w:w w:val="99"/>
              </w:rPr>
              <w:t>27</w:t>
            </w:r>
          </w:p>
        </w:tc>
        <w:tc>
          <w:tcPr>
            <w:tcW w:w="100" w:type="dxa"/>
            <w:vAlign w:val="bottom"/>
          </w:tcPr>
          <w:p>
            <w:pPr>
              <w:spacing w:after="0"/>
              <w:rPr>
                <w:sz w:val="18"/>
                <w:szCs w:val="18"/>
                <w:color w:val="auto"/>
              </w:rPr>
            </w:pPr>
          </w:p>
        </w:tc>
      </w:tr>
      <w:tr>
        <w:trPr>
          <w:trHeight w:val="216"/>
        </w:trPr>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w:t>
            </w:r>
          </w:p>
        </w:tc>
        <w:tc>
          <w:tcPr>
            <w:tcW w:w="8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Properties</w:t>
            </w:r>
          </w:p>
        </w:tc>
        <w:tc>
          <w:tcPr>
            <w:tcW w:w="1760" w:type="dxa"/>
            <w:vAlign w:val="bottom"/>
          </w:tcPr>
          <w:p>
            <w:pPr>
              <w:jc w:val="center"/>
              <w:ind w:left="919"/>
              <w:spacing w:after="0"/>
              <w:rPr>
                <w:sz w:val="20"/>
                <w:szCs w:val="20"/>
                <w:color w:val="auto"/>
              </w:rPr>
            </w:pPr>
            <w:r>
              <w:rPr>
                <w:rFonts w:ascii="Times New Roman" w:cs="Times New Roman" w:eastAsia="Times New Roman" w:hAnsi="Times New Roman"/>
                <w:sz w:val="16"/>
                <w:szCs w:val="16"/>
                <w:color w:val="0000FF"/>
                <w:w w:val="99"/>
              </w:rPr>
              <w:t>28</w:t>
            </w:r>
          </w:p>
        </w:tc>
        <w:tc>
          <w:tcPr>
            <w:tcW w:w="100" w:type="dxa"/>
            <w:vAlign w:val="bottom"/>
          </w:tcPr>
          <w:p>
            <w:pPr>
              <w:spacing w:after="0"/>
              <w:rPr>
                <w:sz w:val="18"/>
                <w:szCs w:val="18"/>
                <w:color w:val="auto"/>
              </w:rPr>
            </w:pPr>
          </w:p>
        </w:tc>
      </w:tr>
      <w:tr>
        <w:trPr>
          <w:trHeight w:val="216"/>
        </w:trPr>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w:t>
            </w:r>
          </w:p>
        </w:tc>
        <w:tc>
          <w:tcPr>
            <w:tcW w:w="8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Legal Proceedings</w:t>
            </w:r>
          </w:p>
        </w:tc>
        <w:tc>
          <w:tcPr>
            <w:tcW w:w="1760" w:type="dxa"/>
            <w:vAlign w:val="bottom"/>
          </w:tcPr>
          <w:p>
            <w:pPr>
              <w:jc w:val="center"/>
              <w:ind w:left="919"/>
              <w:spacing w:after="0"/>
              <w:rPr>
                <w:sz w:val="20"/>
                <w:szCs w:val="20"/>
                <w:color w:val="auto"/>
              </w:rPr>
            </w:pPr>
            <w:r>
              <w:rPr>
                <w:rFonts w:ascii="Times New Roman" w:cs="Times New Roman" w:eastAsia="Times New Roman" w:hAnsi="Times New Roman"/>
                <w:sz w:val="16"/>
                <w:szCs w:val="16"/>
                <w:color w:val="0000FF"/>
                <w:w w:val="99"/>
              </w:rPr>
              <w:t>29</w:t>
            </w:r>
          </w:p>
        </w:tc>
        <w:tc>
          <w:tcPr>
            <w:tcW w:w="100" w:type="dxa"/>
            <w:vAlign w:val="bottom"/>
          </w:tcPr>
          <w:p>
            <w:pPr>
              <w:spacing w:after="0"/>
              <w:rPr>
                <w:sz w:val="18"/>
                <w:szCs w:val="18"/>
                <w:color w:val="auto"/>
              </w:rPr>
            </w:pPr>
          </w:p>
        </w:tc>
      </w:tr>
      <w:tr>
        <w:trPr>
          <w:trHeight w:val="216"/>
        </w:trPr>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w:t>
            </w:r>
          </w:p>
        </w:tc>
        <w:tc>
          <w:tcPr>
            <w:tcW w:w="8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Mine Safety Disclosures</w:t>
            </w:r>
          </w:p>
        </w:tc>
        <w:tc>
          <w:tcPr>
            <w:tcW w:w="1760" w:type="dxa"/>
            <w:vAlign w:val="bottom"/>
          </w:tcPr>
          <w:p>
            <w:pPr>
              <w:jc w:val="center"/>
              <w:ind w:left="919"/>
              <w:spacing w:after="0"/>
              <w:rPr>
                <w:sz w:val="20"/>
                <w:szCs w:val="20"/>
                <w:color w:val="auto"/>
              </w:rPr>
            </w:pPr>
            <w:r>
              <w:rPr>
                <w:rFonts w:ascii="Times New Roman" w:cs="Times New Roman" w:eastAsia="Times New Roman" w:hAnsi="Times New Roman"/>
                <w:sz w:val="16"/>
                <w:szCs w:val="16"/>
                <w:color w:val="0000FF"/>
                <w:w w:val="99"/>
              </w:rPr>
              <w:t>29</w:t>
            </w:r>
          </w:p>
        </w:tc>
        <w:tc>
          <w:tcPr>
            <w:tcW w:w="10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8820" w:type="dxa"/>
            <w:vAlign w:val="bottom"/>
          </w:tcPr>
          <w:p>
            <w:pPr>
              <w:jc w:val="center"/>
              <w:ind w:left="1139"/>
              <w:spacing w:after="0"/>
              <w:rPr>
                <w:sz w:val="20"/>
                <w:szCs w:val="20"/>
                <w:color w:val="auto"/>
              </w:rPr>
            </w:pPr>
            <w:r>
              <w:rPr>
                <w:rFonts w:ascii="Times New Roman" w:cs="Times New Roman" w:eastAsia="Times New Roman" w:hAnsi="Times New Roman"/>
                <w:sz w:val="16"/>
                <w:szCs w:val="16"/>
                <w:b w:val="1"/>
                <w:bCs w:val="1"/>
                <w:color w:val="auto"/>
                <w:w w:val="99"/>
              </w:rPr>
              <w:t>PART II</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w:t>
            </w:r>
          </w:p>
        </w:tc>
        <w:tc>
          <w:tcPr>
            <w:tcW w:w="8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Market for the Registrant’s Common Equity, Related Stockholder Matters and Issuer Purchases of Equity Securities</w:t>
            </w:r>
          </w:p>
        </w:tc>
        <w:tc>
          <w:tcPr>
            <w:tcW w:w="1760" w:type="dxa"/>
            <w:vAlign w:val="bottom"/>
          </w:tcPr>
          <w:p>
            <w:pPr>
              <w:jc w:val="center"/>
              <w:ind w:left="919"/>
              <w:spacing w:after="0"/>
              <w:rPr>
                <w:sz w:val="20"/>
                <w:szCs w:val="20"/>
                <w:color w:val="auto"/>
              </w:rPr>
            </w:pPr>
            <w:r>
              <w:rPr>
                <w:rFonts w:ascii="Times New Roman" w:cs="Times New Roman" w:eastAsia="Times New Roman" w:hAnsi="Times New Roman"/>
                <w:sz w:val="16"/>
                <w:szCs w:val="16"/>
                <w:color w:val="0000FF"/>
                <w:w w:val="99"/>
              </w:rPr>
              <w:t>30</w:t>
            </w:r>
          </w:p>
        </w:tc>
        <w:tc>
          <w:tcPr>
            <w:tcW w:w="100" w:type="dxa"/>
            <w:vAlign w:val="bottom"/>
          </w:tcPr>
          <w:p>
            <w:pPr>
              <w:spacing w:after="0"/>
              <w:rPr>
                <w:sz w:val="18"/>
                <w:szCs w:val="18"/>
                <w:color w:val="auto"/>
              </w:rPr>
            </w:pPr>
          </w:p>
        </w:tc>
      </w:tr>
      <w:tr>
        <w:trPr>
          <w:trHeight w:val="216"/>
        </w:trPr>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w:t>
            </w:r>
          </w:p>
        </w:tc>
        <w:tc>
          <w:tcPr>
            <w:tcW w:w="8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[Reserved]</w:t>
            </w:r>
          </w:p>
        </w:tc>
        <w:tc>
          <w:tcPr>
            <w:tcW w:w="1760" w:type="dxa"/>
            <w:vAlign w:val="bottom"/>
          </w:tcPr>
          <w:p>
            <w:pPr>
              <w:jc w:val="center"/>
              <w:ind w:left="919"/>
              <w:spacing w:after="0"/>
              <w:rPr>
                <w:sz w:val="20"/>
                <w:szCs w:val="20"/>
                <w:color w:val="auto"/>
              </w:rPr>
            </w:pPr>
            <w:r>
              <w:rPr>
                <w:rFonts w:ascii="Times New Roman" w:cs="Times New Roman" w:eastAsia="Times New Roman" w:hAnsi="Times New Roman"/>
                <w:sz w:val="16"/>
                <w:szCs w:val="16"/>
                <w:color w:val="0000FF"/>
                <w:w w:val="99"/>
              </w:rPr>
              <w:t>30</w:t>
            </w:r>
          </w:p>
        </w:tc>
        <w:tc>
          <w:tcPr>
            <w:tcW w:w="100" w:type="dxa"/>
            <w:vAlign w:val="bottom"/>
          </w:tcPr>
          <w:p>
            <w:pPr>
              <w:spacing w:after="0"/>
              <w:rPr>
                <w:sz w:val="18"/>
                <w:szCs w:val="18"/>
                <w:color w:val="auto"/>
              </w:rPr>
            </w:pPr>
          </w:p>
        </w:tc>
      </w:tr>
      <w:tr>
        <w:trPr>
          <w:trHeight w:val="216"/>
        </w:trPr>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w:t>
            </w:r>
          </w:p>
        </w:tc>
        <w:tc>
          <w:tcPr>
            <w:tcW w:w="8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Management’s Discussion and Analysis of Financial Condition and Results of Operations</w:t>
            </w:r>
          </w:p>
        </w:tc>
        <w:tc>
          <w:tcPr>
            <w:tcW w:w="1760" w:type="dxa"/>
            <w:vAlign w:val="bottom"/>
          </w:tcPr>
          <w:p>
            <w:pPr>
              <w:jc w:val="center"/>
              <w:ind w:left="919"/>
              <w:spacing w:after="0"/>
              <w:rPr>
                <w:sz w:val="20"/>
                <w:szCs w:val="20"/>
                <w:color w:val="auto"/>
              </w:rPr>
            </w:pPr>
            <w:r>
              <w:rPr>
                <w:rFonts w:ascii="Times New Roman" w:cs="Times New Roman" w:eastAsia="Times New Roman" w:hAnsi="Times New Roman"/>
                <w:sz w:val="16"/>
                <w:szCs w:val="16"/>
                <w:color w:val="0000FF"/>
                <w:w w:val="99"/>
              </w:rPr>
              <w:t>30</w:t>
            </w:r>
          </w:p>
        </w:tc>
        <w:tc>
          <w:tcPr>
            <w:tcW w:w="100" w:type="dxa"/>
            <w:vAlign w:val="bottom"/>
          </w:tcPr>
          <w:p>
            <w:pPr>
              <w:spacing w:after="0"/>
              <w:rPr>
                <w:sz w:val="18"/>
                <w:szCs w:val="18"/>
                <w:color w:val="auto"/>
              </w:rPr>
            </w:pPr>
          </w:p>
        </w:tc>
      </w:tr>
      <w:tr>
        <w:trPr>
          <w:trHeight w:val="216"/>
        </w:trPr>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7A.</w:t>
            </w:r>
          </w:p>
        </w:tc>
        <w:tc>
          <w:tcPr>
            <w:tcW w:w="8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Quantitative and Qualitative Disclosures About Market Risk</w:t>
            </w:r>
          </w:p>
        </w:tc>
        <w:tc>
          <w:tcPr>
            <w:tcW w:w="1760" w:type="dxa"/>
            <w:vAlign w:val="bottom"/>
          </w:tcPr>
          <w:p>
            <w:pPr>
              <w:jc w:val="center"/>
              <w:ind w:left="919"/>
              <w:spacing w:after="0"/>
              <w:rPr>
                <w:sz w:val="20"/>
                <w:szCs w:val="20"/>
                <w:color w:val="auto"/>
              </w:rPr>
            </w:pPr>
            <w:r>
              <w:rPr>
                <w:rFonts w:ascii="Times New Roman" w:cs="Times New Roman" w:eastAsia="Times New Roman" w:hAnsi="Times New Roman"/>
                <w:sz w:val="16"/>
                <w:szCs w:val="16"/>
                <w:color w:val="0000FF"/>
                <w:w w:val="99"/>
              </w:rPr>
              <w:t>30</w:t>
            </w:r>
          </w:p>
        </w:tc>
        <w:tc>
          <w:tcPr>
            <w:tcW w:w="100" w:type="dxa"/>
            <w:vAlign w:val="bottom"/>
          </w:tcPr>
          <w:p>
            <w:pPr>
              <w:spacing w:after="0"/>
              <w:rPr>
                <w:sz w:val="18"/>
                <w:szCs w:val="18"/>
                <w:color w:val="auto"/>
              </w:rPr>
            </w:pPr>
          </w:p>
        </w:tc>
      </w:tr>
      <w:tr>
        <w:trPr>
          <w:trHeight w:val="216"/>
        </w:trPr>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8.</w:t>
            </w:r>
          </w:p>
        </w:tc>
        <w:tc>
          <w:tcPr>
            <w:tcW w:w="8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Financial Statements and Supplementary Data</w:t>
            </w:r>
          </w:p>
        </w:tc>
        <w:tc>
          <w:tcPr>
            <w:tcW w:w="1760" w:type="dxa"/>
            <w:vAlign w:val="bottom"/>
          </w:tcPr>
          <w:p>
            <w:pPr>
              <w:jc w:val="center"/>
              <w:ind w:left="919"/>
              <w:spacing w:after="0"/>
              <w:rPr>
                <w:sz w:val="20"/>
                <w:szCs w:val="20"/>
                <w:color w:val="auto"/>
              </w:rPr>
            </w:pPr>
            <w:r>
              <w:rPr>
                <w:rFonts w:ascii="Times New Roman" w:cs="Times New Roman" w:eastAsia="Times New Roman" w:hAnsi="Times New Roman"/>
                <w:sz w:val="16"/>
                <w:szCs w:val="16"/>
                <w:color w:val="0000FF"/>
                <w:w w:val="99"/>
              </w:rPr>
              <w:t>30</w:t>
            </w:r>
          </w:p>
        </w:tc>
        <w:tc>
          <w:tcPr>
            <w:tcW w:w="100" w:type="dxa"/>
            <w:vAlign w:val="bottom"/>
          </w:tcPr>
          <w:p>
            <w:pPr>
              <w:spacing w:after="0"/>
              <w:rPr>
                <w:sz w:val="18"/>
                <w:szCs w:val="18"/>
                <w:color w:val="auto"/>
              </w:rPr>
            </w:pPr>
          </w:p>
        </w:tc>
      </w:tr>
      <w:tr>
        <w:trPr>
          <w:trHeight w:val="216"/>
        </w:trPr>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w:t>
            </w:r>
          </w:p>
        </w:tc>
        <w:tc>
          <w:tcPr>
            <w:tcW w:w="8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Changes in and Disagreements With Accountants on Accounting and Financial Disclosure</w:t>
            </w:r>
          </w:p>
        </w:tc>
        <w:tc>
          <w:tcPr>
            <w:tcW w:w="1760" w:type="dxa"/>
            <w:vAlign w:val="bottom"/>
          </w:tcPr>
          <w:p>
            <w:pPr>
              <w:jc w:val="center"/>
              <w:ind w:left="919"/>
              <w:spacing w:after="0"/>
              <w:rPr>
                <w:sz w:val="20"/>
                <w:szCs w:val="20"/>
                <w:color w:val="auto"/>
              </w:rPr>
            </w:pPr>
            <w:r>
              <w:rPr>
                <w:rFonts w:ascii="Times New Roman" w:cs="Times New Roman" w:eastAsia="Times New Roman" w:hAnsi="Times New Roman"/>
                <w:sz w:val="16"/>
                <w:szCs w:val="16"/>
                <w:color w:val="0000FF"/>
                <w:w w:val="99"/>
              </w:rPr>
              <w:t>30</w:t>
            </w:r>
          </w:p>
        </w:tc>
        <w:tc>
          <w:tcPr>
            <w:tcW w:w="100" w:type="dxa"/>
            <w:vAlign w:val="bottom"/>
          </w:tcPr>
          <w:p>
            <w:pPr>
              <w:spacing w:after="0"/>
              <w:rPr>
                <w:sz w:val="18"/>
                <w:szCs w:val="18"/>
                <w:color w:val="auto"/>
              </w:rPr>
            </w:pPr>
          </w:p>
        </w:tc>
      </w:tr>
      <w:tr>
        <w:trPr>
          <w:trHeight w:val="216"/>
        </w:trPr>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9A.</w:t>
            </w:r>
          </w:p>
        </w:tc>
        <w:tc>
          <w:tcPr>
            <w:tcW w:w="8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Controls and Procedures</w:t>
            </w:r>
          </w:p>
        </w:tc>
        <w:tc>
          <w:tcPr>
            <w:tcW w:w="1760" w:type="dxa"/>
            <w:vAlign w:val="bottom"/>
          </w:tcPr>
          <w:p>
            <w:pPr>
              <w:jc w:val="center"/>
              <w:ind w:left="919"/>
              <w:spacing w:after="0"/>
              <w:rPr>
                <w:sz w:val="20"/>
                <w:szCs w:val="20"/>
                <w:color w:val="auto"/>
              </w:rPr>
            </w:pPr>
            <w:r>
              <w:rPr>
                <w:rFonts w:ascii="Times New Roman" w:cs="Times New Roman" w:eastAsia="Times New Roman" w:hAnsi="Times New Roman"/>
                <w:sz w:val="16"/>
                <w:szCs w:val="16"/>
                <w:color w:val="0000FF"/>
                <w:w w:val="99"/>
              </w:rPr>
              <w:t>30</w:t>
            </w:r>
          </w:p>
        </w:tc>
        <w:tc>
          <w:tcPr>
            <w:tcW w:w="100" w:type="dxa"/>
            <w:vAlign w:val="bottom"/>
          </w:tcPr>
          <w:p>
            <w:pPr>
              <w:spacing w:after="0"/>
              <w:rPr>
                <w:sz w:val="18"/>
                <w:szCs w:val="18"/>
                <w:color w:val="auto"/>
              </w:rPr>
            </w:pPr>
          </w:p>
        </w:tc>
      </w:tr>
      <w:tr>
        <w:trPr>
          <w:trHeight w:val="216"/>
        </w:trPr>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9B.</w:t>
            </w:r>
          </w:p>
        </w:tc>
        <w:tc>
          <w:tcPr>
            <w:tcW w:w="8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Information</w:t>
            </w:r>
          </w:p>
        </w:tc>
        <w:tc>
          <w:tcPr>
            <w:tcW w:w="1760" w:type="dxa"/>
            <w:vAlign w:val="bottom"/>
          </w:tcPr>
          <w:p>
            <w:pPr>
              <w:jc w:val="center"/>
              <w:ind w:left="919"/>
              <w:spacing w:after="0"/>
              <w:rPr>
                <w:sz w:val="20"/>
                <w:szCs w:val="20"/>
                <w:color w:val="auto"/>
              </w:rPr>
            </w:pPr>
            <w:r>
              <w:rPr>
                <w:rFonts w:ascii="Times New Roman" w:cs="Times New Roman" w:eastAsia="Times New Roman" w:hAnsi="Times New Roman"/>
                <w:sz w:val="16"/>
                <w:szCs w:val="16"/>
                <w:color w:val="0000FF"/>
                <w:w w:val="99"/>
              </w:rPr>
              <w:t>31</w:t>
            </w:r>
          </w:p>
        </w:tc>
        <w:tc>
          <w:tcPr>
            <w:tcW w:w="100" w:type="dxa"/>
            <w:vAlign w:val="bottom"/>
          </w:tcPr>
          <w:p>
            <w:pPr>
              <w:spacing w:after="0"/>
              <w:rPr>
                <w:sz w:val="18"/>
                <w:szCs w:val="18"/>
                <w:color w:val="auto"/>
              </w:rPr>
            </w:pPr>
          </w:p>
        </w:tc>
      </w:tr>
      <w:tr>
        <w:trPr>
          <w:trHeight w:val="216"/>
        </w:trPr>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9C.</w:t>
            </w:r>
          </w:p>
        </w:tc>
        <w:tc>
          <w:tcPr>
            <w:tcW w:w="8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Disclosure Regarding Foreign Jurisdictions that Prevent Inspections</w:t>
            </w:r>
          </w:p>
        </w:tc>
        <w:tc>
          <w:tcPr>
            <w:tcW w:w="1760" w:type="dxa"/>
            <w:vAlign w:val="bottom"/>
          </w:tcPr>
          <w:p>
            <w:pPr>
              <w:jc w:val="center"/>
              <w:ind w:left="919"/>
              <w:spacing w:after="0"/>
              <w:rPr>
                <w:sz w:val="20"/>
                <w:szCs w:val="20"/>
                <w:color w:val="auto"/>
              </w:rPr>
            </w:pPr>
            <w:r>
              <w:rPr>
                <w:rFonts w:ascii="Times New Roman" w:cs="Times New Roman" w:eastAsia="Times New Roman" w:hAnsi="Times New Roman"/>
                <w:sz w:val="16"/>
                <w:szCs w:val="16"/>
                <w:color w:val="0000FF"/>
                <w:w w:val="99"/>
              </w:rPr>
              <w:t>31</w:t>
            </w:r>
          </w:p>
        </w:tc>
        <w:tc>
          <w:tcPr>
            <w:tcW w:w="10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8820" w:type="dxa"/>
            <w:vAlign w:val="bottom"/>
          </w:tcPr>
          <w:p>
            <w:pPr>
              <w:jc w:val="center"/>
              <w:ind w:left="1139"/>
              <w:spacing w:after="0"/>
              <w:rPr>
                <w:sz w:val="20"/>
                <w:szCs w:val="20"/>
                <w:color w:val="auto"/>
              </w:rPr>
            </w:pPr>
            <w:r>
              <w:rPr>
                <w:rFonts w:ascii="Times New Roman" w:cs="Times New Roman" w:eastAsia="Times New Roman" w:hAnsi="Times New Roman"/>
                <w:sz w:val="16"/>
                <w:szCs w:val="16"/>
                <w:b w:val="1"/>
                <w:bCs w:val="1"/>
                <w:color w:val="auto"/>
                <w:w w:val="96"/>
              </w:rPr>
              <w:t>PART III</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w:t>
            </w:r>
          </w:p>
        </w:tc>
        <w:tc>
          <w:tcPr>
            <w:tcW w:w="8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Directors, Executive Officers and Corporate Governance</w:t>
            </w:r>
          </w:p>
        </w:tc>
        <w:tc>
          <w:tcPr>
            <w:tcW w:w="1760" w:type="dxa"/>
            <w:vAlign w:val="bottom"/>
          </w:tcPr>
          <w:p>
            <w:pPr>
              <w:jc w:val="center"/>
              <w:ind w:left="919"/>
              <w:spacing w:after="0"/>
              <w:rPr>
                <w:sz w:val="20"/>
                <w:szCs w:val="20"/>
                <w:color w:val="auto"/>
              </w:rPr>
            </w:pPr>
            <w:r>
              <w:rPr>
                <w:rFonts w:ascii="Times New Roman" w:cs="Times New Roman" w:eastAsia="Times New Roman" w:hAnsi="Times New Roman"/>
                <w:sz w:val="16"/>
                <w:szCs w:val="16"/>
                <w:color w:val="0000FF"/>
                <w:w w:val="99"/>
              </w:rPr>
              <w:t>32</w:t>
            </w:r>
          </w:p>
        </w:tc>
        <w:tc>
          <w:tcPr>
            <w:tcW w:w="100" w:type="dxa"/>
            <w:vAlign w:val="bottom"/>
          </w:tcPr>
          <w:p>
            <w:pPr>
              <w:spacing w:after="0"/>
              <w:rPr>
                <w:sz w:val="18"/>
                <w:szCs w:val="18"/>
                <w:color w:val="auto"/>
              </w:rPr>
            </w:pPr>
          </w:p>
        </w:tc>
      </w:tr>
      <w:tr>
        <w:trPr>
          <w:trHeight w:val="216"/>
        </w:trPr>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11.</w:t>
            </w:r>
          </w:p>
        </w:tc>
        <w:tc>
          <w:tcPr>
            <w:tcW w:w="8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Executive Compensation</w:t>
            </w:r>
          </w:p>
        </w:tc>
        <w:tc>
          <w:tcPr>
            <w:tcW w:w="1760" w:type="dxa"/>
            <w:vAlign w:val="bottom"/>
          </w:tcPr>
          <w:p>
            <w:pPr>
              <w:jc w:val="center"/>
              <w:ind w:left="919"/>
              <w:spacing w:after="0"/>
              <w:rPr>
                <w:sz w:val="20"/>
                <w:szCs w:val="20"/>
                <w:color w:val="auto"/>
              </w:rPr>
            </w:pPr>
            <w:r>
              <w:rPr>
                <w:rFonts w:ascii="Times New Roman" w:cs="Times New Roman" w:eastAsia="Times New Roman" w:hAnsi="Times New Roman"/>
                <w:sz w:val="16"/>
                <w:szCs w:val="16"/>
                <w:color w:val="0000FF"/>
                <w:w w:val="99"/>
              </w:rPr>
              <w:t>32</w:t>
            </w:r>
          </w:p>
        </w:tc>
        <w:tc>
          <w:tcPr>
            <w:tcW w:w="100" w:type="dxa"/>
            <w:vAlign w:val="bottom"/>
          </w:tcPr>
          <w:p>
            <w:pPr>
              <w:spacing w:after="0"/>
              <w:rPr>
                <w:sz w:val="18"/>
                <w:szCs w:val="18"/>
                <w:color w:val="auto"/>
              </w:rPr>
            </w:pPr>
          </w:p>
        </w:tc>
      </w:tr>
      <w:tr>
        <w:trPr>
          <w:trHeight w:val="216"/>
        </w:trPr>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12.</w:t>
            </w:r>
          </w:p>
        </w:tc>
        <w:tc>
          <w:tcPr>
            <w:tcW w:w="8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Security Ownership of Certain Beneficial Owners and Management and Related Stockholder Matters</w:t>
            </w:r>
          </w:p>
        </w:tc>
        <w:tc>
          <w:tcPr>
            <w:tcW w:w="1760" w:type="dxa"/>
            <w:vAlign w:val="bottom"/>
          </w:tcPr>
          <w:p>
            <w:pPr>
              <w:jc w:val="center"/>
              <w:ind w:left="919"/>
              <w:spacing w:after="0"/>
              <w:rPr>
                <w:sz w:val="20"/>
                <w:szCs w:val="20"/>
                <w:color w:val="auto"/>
              </w:rPr>
            </w:pPr>
            <w:r>
              <w:rPr>
                <w:rFonts w:ascii="Times New Roman" w:cs="Times New Roman" w:eastAsia="Times New Roman" w:hAnsi="Times New Roman"/>
                <w:sz w:val="16"/>
                <w:szCs w:val="16"/>
                <w:color w:val="0000FF"/>
                <w:w w:val="99"/>
              </w:rPr>
              <w:t>33</w:t>
            </w:r>
          </w:p>
        </w:tc>
        <w:tc>
          <w:tcPr>
            <w:tcW w:w="100" w:type="dxa"/>
            <w:vAlign w:val="bottom"/>
          </w:tcPr>
          <w:p>
            <w:pPr>
              <w:spacing w:after="0"/>
              <w:rPr>
                <w:sz w:val="18"/>
                <w:szCs w:val="18"/>
                <w:color w:val="auto"/>
              </w:rPr>
            </w:pPr>
          </w:p>
        </w:tc>
      </w:tr>
      <w:tr>
        <w:trPr>
          <w:trHeight w:val="216"/>
        </w:trPr>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13.</w:t>
            </w:r>
          </w:p>
        </w:tc>
        <w:tc>
          <w:tcPr>
            <w:tcW w:w="8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Certain Relationships and Related Transactions, and Director Independence</w:t>
            </w:r>
          </w:p>
        </w:tc>
        <w:tc>
          <w:tcPr>
            <w:tcW w:w="1760" w:type="dxa"/>
            <w:vAlign w:val="bottom"/>
          </w:tcPr>
          <w:p>
            <w:pPr>
              <w:jc w:val="center"/>
              <w:ind w:left="919"/>
              <w:spacing w:after="0"/>
              <w:rPr>
                <w:sz w:val="20"/>
                <w:szCs w:val="20"/>
                <w:color w:val="auto"/>
              </w:rPr>
            </w:pPr>
            <w:r>
              <w:rPr>
                <w:rFonts w:ascii="Times New Roman" w:cs="Times New Roman" w:eastAsia="Times New Roman" w:hAnsi="Times New Roman"/>
                <w:sz w:val="16"/>
                <w:szCs w:val="16"/>
                <w:color w:val="0000FF"/>
                <w:w w:val="99"/>
              </w:rPr>
              <w:t>33</w:t>
            </w:r>
          </w:p>
        </w:tc>
        <w:tc>
          <w:tcPr>
            <w:tcW w:w="100" w:type="dxa"/>
            <w:vAlign w:val="bottom"/>
          </w:tcPr>
          <w:p>
            <w:pPr>
              <w:spacing w:after="0"/>
              <w:rPr>
                <w:sz w:val="18"/>
                <w:szCs w:val="18"/>
                <w:color w:val="auto"/>
              </w:rPr>
            </w:pPr>
          </w:p>
        </w:tc>
      </w:tr>
      <w:tr>
        <w:trPr>
          <w:trHeight w:val="216"/>
        </w:trPr>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14.</w:t>
            </w:r>
          </w:p>
        </w:tc>
        <w:tc>
          <w:tcPr>
            <w:tcW w:w="8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Principal Accountant Fees and Services</w:t>
            </w:r>
          </w:p>
        </w:tc>
        <w:tc>
          <w:tcPr>
            <w:tcW w:w="1760" w:type="dxa"/>
            <w:vAlign w:val="bottom"/>
          </w:tcPr>
          <w:p>
            <w:pPr>
              <w:jc w:val="center"/>
              <w:ind w:left="919"/>
              <w:spacing w:after="0"/>
              <w:rPr>
                <w:sz w:val="20"/>
                <w:szCs w:val="20"/>
                <w:color w:val="auto"/>
              </w:rPr>
            </w:pPr>
            <w:r>
              <w:rPr>
                <w:rFonts w:ascii="Times New Roman" w:cs="Times New Roman" w:eastAsia="Times New Roman" w:hAnsi="Times New Roman"/>
                <w:sz w:val="16"/>
                <w:szCs w:val="16"/>
                <w:color w:val="0000FF"/>
                <w:w w:val="99"/>
              </w:rPr>
              <w:t>33</w:t>
            </w:r>
          </w:p>
        </w:tc>
        <w:tc>
          <w:tcPr>
            <w:tcW w:w="10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8820" w:type="dxa"/>
            <w:vAlign w:val="bottom"/>
          </w:tcPr>
          <w:p>
            <w:pPr>
              <w:jc w:val="center"/>
              <w:ind w:left="1139"/>
              <w:spacing w:after="0"/>
              <w:rPr>
                <w:sz w:val="20"/>
                <w:szCs w:val="20"/>
                <w:color w:val="auto"/>
              </w:rPr>
            </w:pPr>
            <w:r>
              <w:rPr>
                <w:rFonts w:ascii="Times New Roman" w:cs="Times New Roman" w:eastAsia="Times New Roman" w:hAnsi="Times New Roman"/>
                <w:sz w:val="16"/>
                <w:szCs w:val="16"/>
                <w:b w:val="1"/>
                <w:bCs w:val="1"/>
                <w:color w:val="auto"/>
                <w:w w:val="97"/>
              </w:rPr>
              <w:t>PART IV</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15.</w:t>
            </w:r>
          </w:p>
        </w:tc>
        <w:tc>
          <w:tcPr>
            <w:tcW w:w="8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Exhibit and Financial Statement Schedules</w:t>
            </w:r>
          </w:p>
        </w:tc>
        <w:tc>
          <w:tcPr>
            <w:tcW w:w="1760" w:type="dxa"/>
            <w:vAlign w:val="bottom"/>
          </w:tcPr>
          <w:p>
            <w:pPr>
              <w:jc w:val="center"/>
              <w:ind w:left="919"/>
              <w:spacing w:after="0"/>
              <w:rPr>
                <w:sz w:val="20"/>
                <w:szCs w:val="20"/>
                <w:color w:val="auto"/>
              </w:rPr>
            </w:pPr>
            <w:r>
              <w:rPr>
                <w:rFonts w:ascii="Times New Roman" w:cs="Times New Roman" w:eastAsia="Times New Roman" w:hAnsi="Times New Roman"/>
                <w:sz w:val="16"/>
                <w:szCs w:val="16"/>
                <w:color w:val="0000FF"/>
                <w:w w:val="99"/>
              </w:rPr>
              <w:t>117</w:t>
            </w:r>
          </w:p>
        </w:tc>
        <w:tc>
          <w:tcPr>
            <w:tcW w:w="10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8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Schedule II — Valuation and Qualifying Accounts</w:t>
            </w:r>
          </w:p>
        </w:tc>
        <w:tc>
          <w:tcPr>
            <w:tcW w:w="1760" w:type="dxa"/>
            <w:vAlign w:val="bottom"/>
          </w:tcPr>
          <w:p>
            <w:pPr>
              <w:jc w:val="center"/>
              <w:ind w:left="919"/>
              <w:spacing w:after="0"/>
              <w:rPr>
                <w:sz w:val="20"/>
                <w:szCs w:val="20"/>
                <w:color w:val="auto"/>
              </w:rPr>
            </w:pPr>
            <w:r>
              <w:rPr>
                <w:rFonts w:ascii="Times New Roman" w:cs="Times New Roman" w:eastAsia="Times New Roman" w:hAnsi="Times New Roman"/>
                <w:sz w:val="16"/>
                <w:szCs w:val="16"/>
                <w:color w:val="0000FF"/>
                <w:w w:val="99"/>
              </w:rPr>
              <w:t>117</w:t>
            </w:r>
          </w:p>
        </w:tc>
        <w:tc>
          <w:tcPr>
            <w:tcW w:w="100" w:type="dxa"/>
            <w:vAlign w:val="bottom"/>
          </w:tcPr>
          <w:p>
            <w:pPr>
              <w:spacing w:after="0"/>
              <w:rPr>
                <w:sz w:val="18"/>
                <w:szCs w:val="18"/>
                <w:color w:val="auto"/>
              </w:rPr>
            </w:pPr>
          </w:p>
        </w:tc>
      </w:tr>
      <w:tr>
        <w:trPr>
          <w:trHeight w:val="216"/>
        </w:trPr>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16.</w:t>
            </w:r>
          </w:p>
        </w:tc>
        <w:tc>
          <w:tcPr>
            <w:tcW w:w="8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Form 10-K Summary</w:t>
            </w:r>
          </w:p>
        </w:tc>
        <w:tc>
          <w:tcPr>
            <w:tcW w:w="1760" w:type="dxa"/>
            <w:vAlign w:val="bottom"/>
          </w:tcPr>
          <w:p>
            <w:pPr>
              <w:jc w:val="center"/>
              <w:ind w:left="919"/>
              <w:spacing w:after="0"/>
              <w:rPr>
                <w:sz w:val="20"/>
                <w:szCs w:val="20"/>
                <w:color w:val="auto"/>
              </w:rPr>
            </w:pPr>
            <w:r>
              <w:rPr>
                <w:rFonts w:ascii="Times New Roman" w:cs="Times New Roman" w:eastAsia="Times New Roman" w:hAnsi="Times New Roman"/>
                <w:sz w:val="16"/>
                <w:szCs w:val="16"/>
                <w:color w:val="0000FF"/>
                <w:w w:val="99"/>
              </w:rPr>
              <w:t>117</w:t>
            </w:r>
          </w:p>
        </w:tc>
        <w:tc>
          <w:tcPr>
            <w:tcW w:w="10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8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Signatures</w:t>
            </w:r>
          </w:p>
        </w:tc>
        <w:tc>
          <w:tcPr>
            <w:tcW w:w="1760" w:type="dxa"/>
            <w:vAlign w:val="bottom"/>
          </w:tcPr>
          <w:p>
            <w:pPr>
              <w:jc w:val="center"/>
              <w:ind w:left="919"/>
              <w:spacing w:after="0"/>
              <w:rPr>
                <w:sz w:val="20"/>
                <w:szCs w:val="20"/>
                <w:color w:val="auto"/>
              </w:rPr>
            </w:pPr>
            <w:r>
              <w:rPr>
                <w:rFonts w:ascii="Times New Roman" w:cs="Times New Roman" w:eastAsia="Times New Roman" w:hAnsi="Times New Roman"/>
                <w:sz w:val="16"/>
                <w:szCs w:val="16"/>
                <w:color w:val="0000FF"/>
                <w:w w:val="99"/>
              </w:rPr>
              <w:t>121</w:t>
            </w:r>
          </w:p>
        </w:tc>
        <w:tc>
          <w:tcPr>
            <w:tcW w:w="100" w:type="dxa"/>
            <w:vAlign w:val="bottom"/>
          </w:tcPr>
          <w:p>
            <w:pPr>
              <w:spacing w:after="0"/>
              <w:rPr>
                <w:sz w:val="18"/>
                <w:szCs w:val="18"/>
                <w:color w:val="auto"/>
              </w:rPr>
            </w:pPr>
          </w:p>
        </w:tc>
      </w:tr>
      <w:tr>
        <w:trPr>
          <w:trHeight w:val="918"/>
        </w:trPr>
        <w:tc>
          <w:tcPr>
            <w:tcW w:w="560" w:type="dxa"/>
            <w:vAlign w:val="bottom"/>
          </w:tcPr>
          <w:p>
            <w:pPr>
              <w:spacing w:after="0"/>
              <w:rPr>
                <w:sz w:val="24"/>
                <w:szCs w:val="24"/>
                <w:color w:val="auto"/>
              </w:rPr>
            </w:pPr>
          </w:p>
        </w:tc>
        <w:tc>
          <w:tcPr>
            <w:tcW w:w="8820" w:type="dxa"/>
            <w:vAlign w:val="bottom"/>
          </w:tcPr>
          <w:p>
            <w:pPr>
              <w:ind w:left="5020"/>
              <w:spacing w:after="0"/>
              <w:rPr>
                <w:sz w:val="20"/>
                <w:szCs w:val="20"/>
                <w:color w:val="auto"/>
              </w:rPr>
            </w:pPr>
            <w:r>
              <w:rPr>
                <w:rFonts w:ascii="Times New Roman" w:cs="Times New Roman" w:eastAsia="Times New Roman" w:hAnsi="Times New Roman"/>
                <w:sz w:val="16"/>
                <w:szCs w:val="16"/>
                <w:color w:val="auto"/>
              </w:rPr>
              <w:t>1</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8"/>
        </w:trPr>
        <w:tc>
          <w:tcPr>
            <w:tcW w:w="560" w:type="dxa"/>
            <w:vAlign w:val="bottom"/>
            <w:tcBorders>
              <w:bottom w:val="single" w:sz="8" w:color="9A9A9A"/>
            </w:tcBorders>
          </w:tcPr>
          <w:p>
            <w:pPr>
              <w:spacing w:after="0"/>
              <w:rPr>
                <w:sz w:val="9"/>
                <w:szCs w:val="9"/>
                <w:color w:val="auto"/>
              </w:rPr>
            </w:pPr>
          </w:p>
        </w:tc>
        <w:tc>
          <w:tcPr>
            <w:tcW w:w="882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STATEMENTS RELEVANT TO FORWARD-LOOKING INFORMATION</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PURPOSE OF “SAFE HARBOR” PROVISIONS OF THE PRIVATE SECURITIES</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REFORM ACT OF 1995</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This </w:t>
      </w:r>
      <w:r>
        <w:rPr>
          <w:rFonts w:ascii="Times New Roman" w:cs="Times New Roman" w:eastAsia="Times New Roman" w:hAnsi="Times New Roman"/>
          <w:sz w:val="17"/>
          <w:szCs w:val="17"/>
          <w:i w:val="1"/>
          <w:iCs w:val="1"/>
          <w:color w:val="auto"/>
        </w:rPr>
        <w:t>Annual Report on Form 10-K</w:t>
      </w:r>
      <w:r>
        <w:rPr>
          <w:rFonts w:ascii="Times New Roman" w:cs="Times New Roman" w:eastAsia="Times New Roman" w:hAnsi="Times New Roman"/>
          <w:sz w:val="17"/>
          <w:szCs w:val="17"/>
          <w:color w:val="auto"/>
        </w:rPr>
        <w:t xml:space="preserve"> of Chevron Corporation contains forward-looking statements relating to Chevron’s operations, assets, and strategy that are based on management’s current expectations, estimates and projections about the petroleum, chemicals and other energy-related industries. Words or phrases such as “anticipates,” “expects,” “intends,” “plans,” “targets,” “advances,” “commits,” “drives,” “aims,” “forecasts,” “projects,” “believes,” “approaches,” “seeks,” “schedules,” “estimates,” “positions,” “pursues,” “progress,” “may,” “can,” “could,” “should,” “will,” “budgets,” “outlook,” “trends,” “guidance,” “focus,” “on track,” “goals,” “objectives,” “strategies,” “opportunities,” “poised,” “potential,” “ambitions,” “future,” “aspires” and similar expressions, and variations or negatives of these words, are intended to identify such forward-looking statements, but not all forward-looking statements include such words. These statements are not guarantees of future performance and are subject to numerous risks, uncertainties and other factors, many of which are beyond the company’s control and are difficult to predict. Therefore, actual outcomes and results may differ materially from what is expressed or forecasted in such forward-looking statements. The reader should not place undue reliance on these forward-looking statements, which speak only as of the date of this report. Unless legally required, Chevron undertakes no obligation to update publicly any forward-looking statements, whether as a result of new information, future events or otherwise.</w:t>
      </w:r>
    </w:p>
    <w:p>
      <w:pPr>
        <w:spacing w:after="0" w:line="2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Among the important factors that could cause actual results to differ materially from those in the forward-looking statements are: changing crude oil and natural gas prices and demand for the company’s products, and production curtailments due to market conditions; crude oil production quotas or other actions that might be imposed by the Organization of Petroleum Exporting Countries and other producing countries; technological advancements; changes to government policies in the countries in which the company operates; public health crises, such as pandemics and epidemics, and any related government policies and actions; disruptions in the company’s global supply chain, including supply chain constraints and escalation of the cost of goods and services; changing economic, regulatory and political environments in the various countries in which the company operates; general domestic and international economic, market and political conditions, including the military conflict between Russia and Ukraine, the conflict in the Middle East and the global response to these hostilities; changing refining, marketing and chemicals margins; the company’s ability to realize anticipated cost savings and efficiencies associated with enterprise structural cost reduction initiatives; actions of competitors or regulators; timing of exploration expenses; changes in projected future cash flows; timing of crude oil liftings; uncertainties about the estimated quantities of crude oil, natural gas liquids and natural gas reserves; the competitiveness of alternate-energy sources or product substitutes; pace and scale of the development of large carbon capture and offset markets; the results of operations and financial condition of the company’s suppliers, vendors, partners and equity affiliates; the inability or failure of the company’s joint-venture partners to fund their share of operations and development activities; the potential failure to achieve expected net production from existing and future crude oil and natural gas development projects; potential delays in the development, construction or start-up of planned projects; the potential disruption or interruption of the company’s operations due to war, accidents, political events, civil unrest, severe weather, cyber threats, terrorist acts, or other natural or human causes beyond the company’s control; the potential liability for remedial actions or assessments under existing or future environmental regulations and litigation; significant operational, investment or product changes undertaken or required by existing or future environmental statutes and regulations, including international agreements and national or regional legislation and regulatory measures related to greenhouse gas emissions and climate change; the potential liability resulting from pending or future litigation; the risk that regulatory approvals and clearances related to the Hess Corporation (Hess) transaction are not obtained or are not obtained in a timely manner or are obtained subject to conditions that are not anticipated by the company and Hess; potential delays in consummating the Hess transaction, including as a result of the ongoing arbitration proceedings regarding preemptive rights in the Stabroek Block joint operating agreement; risks that such ongoing arbitration is not satisfactorily resolved and the potential transaction fails to be consummated; uncertainties as to whether the potential transaction, if consummated, will achieve its anticipated economic benefits, including as a result of risks associated with third party contracts containing material consent, anti-assignment, transfer or other provisions that may be related to the potential transaction that are not waived or otherwise satisfactorily resolved; the company’s ability to integrate Hess’ operations in a successful manner and in the expected time period; the possibility that any of the anticipated benefits and projected synergies of the potential transaction will not be realized or will not be realized within the expected time period; the company’s future acquisitions or dispositions of assets or shares or the delay or failure of such transactions to close based on required closing conditions; the potential for gains and losses from asset dispositions or impairments; government mandated sales, divestitures, recapitalizations, taxes and tax audits, tariffs, sanctions, changes in fiscal terms or restrictions on scope of company operations; foreign currency movements compared with the U.S. dollar; higher inflation and related impacts; material reductions in corporate liquidity and access to debt markets; changes to the company’s capital allocation strategies; the effects of changed accounting rules under generally accepted accounting principles promulgated by rule-setting bodies; the company’s ability to identify and mitigate the risks and hazards inherent in operating in the global energy industry; and the factors set forth under the heading “Risk Factors” on pages 20 through 27 in this report, and as updated in the future. Other unpredictable or unknown factors not discussed in this report could also have material adverse effects on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 w:name="page4"/>
    <w:bookmarkEnd w:id="3"/>
    <w:p>
      <w:pPr>
        <w:ind w:left="10183"/>
        <w:spacing w:after="0"/>
        <w:rPr>
          <w:sz w:val="20"/>
          <w:szCs w:val="20"/>
          <w:color w:val="auto"/>
        </w:rPr>
      </w:pPr>
      <w:r>
        <w:rPr>
          <w:rFonts w:ascii="Arial" w:cs="Arial" w:eastAsia="Arial" w:hAnsi="Arial"/>
          <w:sz w:val="14"/>
          <w:szCs w:val="14"/>
          <w:color w:val="0077C0"/>
        </w:rPr>
        <w:t>Table of Contents</w:t>
      </w:r>
    </w:p>
    <w:p>
      <w:pPr>
        <w:spacing w:after="0" w:line="200" w:lineRule="exact"/>
        <w:rPr>
          <w:sz w:val="20"/>
          <w:szCs w:val="20"/>
          <w:color w:val="auto"/>
        </w:rPr>
      </w:pPr>
    </w:p>
    <w:p>
      <w:pPr>
        <w:spacing w:after="0" w:line="322" w:lineRule="exact"/>
        <w:rPr>
          <w:sz w:val="20"/>
          <w:szCs w:val="20"/>
          <w:color w:val="auto"/>
        </w:rPr>
      </w:pPr>
    </w:p>
    <w:p>
      <w:pPr>
        <w:ind w:left="83"/>
        <w:spacing w:after="0"/>
        <w:rPr>
          <w:sz w:val="20"/>
          <w:szCs w:val="20"/>
          <w:color w:val="auto"/>
        </w:rPr>
      </w:pPr>
      <w:r>
        <w:rPr>
          <w:rFonts w:ascii="Arial" w:cs="Arial" w:eastAsia="Arial" w:hAnsi="Arial"/>
          <w:sz w:val="22"/>
          <w:szCs w:val="22"/>
          <w:b w:val="1"/>
          <w:bCs w:val="1"/>
          <w:color w:val="auto"/>
        </w:rPr>
        <w:t>PART I</w:t>
      </w:r>
    </w:p>
    <w:p>
      <w:pPr>
        <w:spacing w:after="0" w:line="108" w:lineRule="exact"/>
        <w:rPr>
          <w:sz w:val="20"/>
          <w:szCs w:val="20"/>
          <w:color w:val="auto"/>
        </w:rPr>
      </w:pPr>
    </w:p>
    <w:p>
      <w:pPr>
        <w:ind w:left="83"/>
        <w:spacing w:after="0"/>
        <w:rPr>
          <w:sz w:val="20"/>
          <w:szCs w:val="20"/>
          <w:color w:val="auto"/>
        </w:rPr>
      </w:pPr>
      <w:r>
        <w:rPr>
          <w:rFonts w:ascii="Arial" w:cs="Arial" w:eastAsia="Arial" w:hAnsi="Arial"/>
          <w:sz w:val="18"/>
          <w:szCs w:val="18"/>
          <w:b w:val="1"/>
          <w:bCs w:val="1"/>
          <w:color w:val="0077C0"/>
        </w:rPr>
        <w:t>Item 1. Business</w:t>
      </w:r>
    </w:p>
    <w:p>
      <w:pPr>
        <w:spacing w:after="0" w:line="90" w:lineRule="exact"/>
        <w:rPr>
          <w:sz w:val="20"/>
          <w:szCs w:val="20"/>
          <w:color w:val="auto"/>
        </w:rPr>
      </w:pPr>
    </w:p>
    <w:p>
      <w:pPr>
        <w:ind w:left="83"/>
        <w:spacing w:after="0"/>
        <w:rPr>
          <w:sz w:val="20"/>
          <w:szCs w:val="20"/>
          <w:color w:val="auto"/>
        </w:rPr>
      </w:pPr>
      <w:r>
        <w:rPr>
          <w:rFonts w:ascii="Arial" w:cs="Arial" w:eastAsia="Arial" w:hAnsi="Arial"/>
          <w:sz w:val="18"/>
          <w:szCs w:val="18"/>
          <w:b w:val="1"/>
          <w:bCs w:val="1"/>
          <w:color w:val="0077C0"/>
        </w:rPr>
        <w:t>General Development of Business</w:t>
      </w:r>
    </w:p>
    <w:p>
      <w:pPr>
        <w:spacing w:after="0" w:line="90" w:lineRule="exact"/>
        <w:rPr>
          <w:sz w:val="20"/>
          <w:szCs w:val="20"/>
          <w:color w:val="auto"/>
        </w:rPr>
      </w:pPr>
    </w:p>
    <w:p>
      <w:pPr>
        <w:ind w:left="83"/>
        <w:spacing w:after="0"/>
        <w:rPr>
          <w:sz w:val="20"/>
          <w:szCs w:val="20"/>
          <w:color w:val="auto"/>
        </w:rPr>
      </w:pPr>
      <w:r>
        <w:rPr>
          <w:rFonts w:ascii="Arial" w:cs="Arial" w:eastAsia="Arial" w:hAnsi="Arial"/>
          <w:sz w:val="18"/>
          <w:szCs w:val="18"/>
          <w:color w:val="0077C0"/>
        </w:rPr>
        <w:t>Summary Description of Chevron</w:t>
      </w:r>
    </w:p>
    <w:p>
      <w:pPr>
        <w:spacing w:after="0" w:line="64" w:lineRule="exact"/>
        <w:rPr>
          <w:sz w:val="20"/>
          <w:szCs w:val="20"/>
          <w:color w:val="auto"/>
        </w:rPr>
      </w:pPr>
    </w:p>
    <w:p>
      <w:pPr>
        <w:jc w:val="both"/>
        <w:ind w:left="83"/>
        <w:spacing w:after="0" w:line="256" w:lineRule="auto"/>
        <w:rPr>
          <w:sz w:val="20"/>
          <w:szCs w:val="20"/>
          <w:color w:val="auto"/>
        </w:rPr>
      </w:pPr>
      <w:r>
        <w:rPr>
          <w:rFonts w:ascii="Times New Roman" w:cs="Times New Roman" w:eastAsia="Times New Roman" w:hAnsi="Times New Roman"/>
          <w:sz w:val="18"/>
          <w:szCs w:val="18"/>
          <w:color w:val="auto"/>
        </w:rPr>
        <w:t>Chevron Corporation</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a Delaware corporation, manages its investments in subsidiaries and affiliates and provides administrative, financial, management and technology support to U.S. and international subsidiaries that engage in integrated energy and chemicals operations. Upstream operations consist primarily of exploring for, developing, producing and transporting crude oil and natural gas; processing, liquefaction, transportation and regasification associated with liquefied natural gas; transporting crude oil by major international oil export pipelines; transporting, storage and marketing of natural gas; carbon capture and storage; and a gas-to-liquids plant. Downstream operations consist primarily of refining crude oil into petroleum products; marketing of crude oil, refined products and lubricants; manufacturing and marketing of renewable fuels; transporting crude oil and refined products by pipeline, marine vessel, motor equipment and rail car; and manufacturing and marketing of commodity petrochemicals, plastics for industrial uses and fuel and lubricant additives.</w:t>
      </w:r>
    </w:p>
    <w:p>
      <w:pPr>
        <w:spacing w:after="0" w:line="62" w:lineRule="exact"/>
        <w:rPr>
          <w:sz w:val="20"/>
          <w:szCs w:val="20"/>
          <w:color w:val="auto"/>
        </w:rPr>
      </w:pPr>
    </w:p>
    <w:p>
      <w:pPr>
        <w:ind w:left="83"/>
        <w:spacing w:after="0"/>
        <w:rPr>
          <w:sz w:val="20"/>
          <w:szCs w:val="20"/>
          <w:color w:val="auto"/>
        </w:rPr>
      </w:pPr>
      <w:r>
        <w:rPr>
          <w:rFonts w:ascii="Times New Roman" w:cs="Times New Roman" w:eastAsia="Times New Roman" w:hAnsi="Times New Roman"/>
          <w:sz w:val="18"/>
          <w:szCs w:val="18"/>
          <w:color w:val="auto"/>
        </w:rPr>
        <w:t xml:space="preserve">A list of the company’s significant subsidiaries is presented in </w:t>
      </w:r>
      <w:r>
        <w:rPr>
          <w:rFonts w:ascii="Times New Roman" w:cs="Times New Roman" w:eastAsia="Times New Roman" w:hAnsi="Times New Roman"/>
          <w:sz w:val="18"/>
          <w:szCs w:val="18"/>
          <w:u w:val="single" w:color="auto"/>
          <w:color w:val="0000FF"/>
        </w:rPr>
        <w:t>Exhibit 21.1</w:t>
      </w:r>
      <w:r>
        <w:rPr>
          <w:rFonts w:ascii="Times New Roman" w:cs="Times New Roman" w:eastAsia="Times New Roman" w:hAnsi="Times New Roman"/>
          <w:sz w:val="18"/>
          <w:szCs w:val="18"/>
          <w:color w:val="auto"/>
        </w:rPr>
        <w:t>.</w:t>
      </w:r>
    </w:p>
    <w:p>
      <w:pPr>
        <w:spacing w:after="0" w:line="89" w:lineRule="exact"/>
        <w:rPr>
          <w:sz w:val="20"/>
          <w:szCs w:val="20"/>
          <w:color w:val="auto"/>
        </w:rPr>
      </w:pPr>
    </w:p>
    <w:p>
      <w:pPr>
        <w:ind w:left="83"/>
        <w:spacing w:after="0"/>
        <w:rPr>
          <w:sz w:val="20"/>
          <w:szCs w:val="20"/>
          <w:color w:val="auto"/>
        </w:rPr>
      </w:pPr>
      <w:r>
        <w:rPr>
          <w:rFonts w:ascii="Arial" w:cs="Arial" w:eastAsia="Arial" w:hAnsi="Arial"/>
          <w:sz w:val="18"/>
          <w:szCs w:val="18"/>
          <w:color w:val="0077C0"/>
        </w:rPr>
        <w:t>Overview of Petroleum Industry</w:t>
      </w:r>
    </w:p>
    <w:p>
      <w:pPr>
        <w:spacing w:after="0" w:line="77" w:lineRule="exact"/>
        <w:rPr>
          <w:sz w:val="20"/>
          <w:szCs w:val="20"/>
          <w:color w:val="auto"/>
        </w:rPr>
      </w:pPr>
    </w:p>
    <w:p>
      <w:pPr>
        <w:jc w:val="both"/>
        <w:ind w:left="83"/>
        <w:spacing w:after="0" w:line="266" w:lineRule="auto"/>
        <w:rPr>
          <w:sz w:val="20"/>
          <w:szCs w:val="20"/>
          <w:color w:val="auto"/>
        </w:rPr>
      </w:pPr>
      <w:r>
        <w:rPr>
          <w:rFonts w:ascii="Times New Roman" w:cs="Times New Roman" w:eastAsia="Times New Roman" w:hAnsi="Times New Roman"/>
          <w:sz w:val="18"/>
          <w:szCs w:val="18"/>
          <w:color w:val="auto"/>
        </w:rPr>
        <w:t>Petroleum industry operations and profitability are influenced by many factors. Prices for crude oil, natural gas, liquefied natural gas (LNG), petroleum products and petrochemicals are generally determined by supply and demand. Production levels from the members of Organization of Petroleum Exporting Countries (OPEC), Russia and the United States are the major factors in determining worldwide supply. Demand for crude oil and its products and for natural gas is largely driven by the conditions of local, national and global economies, although weather patterns, the pace of energy transition and taxation relative to other energy sources also play a significant part. Laws and governmental policies, particularly in the areas of taxation, energy and the environment, affect where and how companies invest, conduct their operations, select feedstocks, and formulate their products and, in some cases, limit their profits directly.</w:t>
      </w:r>
    </w:p>
    <w:p>
      <w:pPr>
        <w:spacing w:after="0" w:line="68" w:lineRule="exact"/>
        <w:rPr>
          <w:sz w:val="20"/>
          <w:szCs w:val="20"/>
          <w:color w:val="auto"/>
        </w:rPr>
      </w:pPr>
    </w:p>
    <w:p>
      <w:pPr>
        <w:jc w:val="both"/>
        <w:ind w:left="83"/>
        <w:spacing w:after="0" w:line="266" w:lineRule="auto"/>
        <w:rPr>
          <w:sz w:val="20"/>
          <w:szCs w:val="20"/>
          <w:color w:val="auto"/>
        </w:rPr>
      </w:pPr>
      <w:r>
        <w:rPr>
          <w:rFonts w:ascii="Times New Roman" w:cs="Times New Roman" w:eastAsia="Times New Roman" w:hAnsi="Times New Roman"/>
          <w:sz w:val="18"/>
          <w:szCs w:val="18"/>
          <w:color w:val="auto"/>
        </w:rPr>
        <w:t>Strong competition exists in all sectors of the petroleum and petrochemical industries in supplying the energy, fuel and chemical needs of industry and individual consumers. In the upstream business, Chevron competes with fully integrated, major global petroleum companies, as well as independent and national petroleum companies, for the acquisition of crude oil and natural gas leases and other properties and for the equipment and labor required to develop and operate those properties. In its downstream business, Chevron competes with fully integrated, major petroleum companies, as well as independent refining and marketing, transportation and chemicals entities and national petroleum companies in the refining, manufacturing, sale and marketing of fuels, lubricants, additives and petrochemicals.</w:t>
      </w:r>
    </w:p>
    <w:p>
      <w:pPr>
        <w:spacing w:after="0" w:line="54" w:lineRule="exact"/>
        <w:rPr>
          <w:sz w:val="20"/>
          <w:szCs w:val="20"/>
          <w:color w:val="auto"/>
        </w:rPr>
      </w:pPr>
    </w:p>
    <w:p>
      <w:pPr>
        <w:ind w:left="83"/>
        <w:spacing w:after="0"/>
        <w:rPr>
          <w:sz w:val="20"/>
          <w:szCs w:val="20"/>
          <w:color w:val="auto"/>
        </w:rPr>
      </w:pPr>
      <w:r>
        <w:rPr>
          <w:rFonts w:ascii="Arial" w:cs="Arial" w:eastAsia="Arial" w:hAnsi="Arial"/>
          <w:sz w:val="18"/>
          <w:szCs w:val="18"/>
          <w:color w:val="0077C0"/>
        </w:rPr>
        <w:t>Operating Environment</w:t>
      </w:r>
    </w:p>
    <w:p>
      <w:pPr>
        <w:spacing w:after="0" w:line="91" w:lineRule="exact"/>
        <w:rPr>
          <w:sz w:val="20"/>
          <w:szCs w:val="20"/>
          <w:color w:val="auto"/>
        </w:rPr>
      </w:pPr>
    </w:p>
    <w:p>
      <w:pPr>
        <w:jc w:val="both"/>
        <w:ind w:left="83"/>
        <w:spacing w:after="0" w:line="282"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u w:val="single" w:color="auto"/>
          <w:color w:val="0000FF"/>
        </w:rPr>
        <w:t>Business Environment and Outlook</w:t>
      </w:r>
      <w:r>
        <w:rPr>
          <w:rFonts w:ascii="Times New Roman" w:cs="Times New Roman" w:eastAsia="Times New Roman" w:hAnsi="Times New Roman"/>
          <w:sz w:val="18"/>
          <w:szCs w:val="18"/>
          <w:color w:val="auto"/>
        </w:rPr>
        <w:t xml:space="preserve"> of this Form 10-K in Management’s Discussion and Analysis of Financial Condition and Results of Operations for a discussion of the company’s current business environment and outlook.</w:t>
      </w:r>
    </w:p>
    <w:p>
      <w:pPr>
        <w:spacing w:after="0" w:line="53" w:lineRule="exact"/>
        <w:rPr>
          <w:sz w:val="20"/>
          <w:szCs w:val="20"/>
          <w:color w:val="auto"/>
        </w:rPr>
      </w:pPr>
    </w:p>
    <w:p>
      <w:pPr>
        <w:ind w:left="83"/>
        <w:spacing w:after="0"/>
        <w:rPr>
          <w:sz w:val="20"/>
          <w:szCs w:val="20"/>
          <w:color w:val="auto"/>
        </w:rPr>
      </w:pPr>
      <w:r>
        <w:rPr>
          <w:rFonts w:ascii="Arial" w:cs="Arial" w:eastAsia="Arial" w:hAnsi="Arial"/>
          <w:sz w:val="18"/>
          <w:szCs w:val="18"/>
          <w:color w:val="0077C0"/>
        </w:rPr>
        <w:t>Chevron’s Strategic Direction</w:t>
      </w:r>
    </w:p>
    <w:p>
      <w:pPr>
        <w:spacing w:after="0" w:line="77" w:lineRule="exact"/>
        <w:rPr>
          <w:sz w:val="20"/>
          <w:szCs w:val="20"/>
          <w:color w:val="auto"/>
        </w:rPr>
      </w:pPr>
    </w:p>
    <w:p>
      <w:pPr>
        <w:jc w:val="both"/>
        <w:ind w:left="83"/>
        <w:spacing w:after="0" w:line="270" w:lineRule="auto"/>
        <w:rPr>
          <w:sz w:val="20"/>
          <w:szCs w:val="20"/>
          <w:color w:val="auto"/>
        </w:rPr>
      </w:pPr>
      <w:r>
        <w:rPr>
          <w:rFonts w:ascii="Times New Roman" w:cs="Times New Roman" w:eastAsia="Times New Roman" w:hAnsi="Times New Roman"/>
          <w:sz w:val="18"/>
          <w:szCs w:val="18"/>
          <w:color w:val="auto"/>
        </w:rPr>
        <w:t>Chevron’s strategy is to leverage our strengths to safely deliver lower carbon energy to a growing world. Our objective is to safely deliver higher returns, lower carbon and superior shareholder value in any business environment. We are leveraging our capabilities, assets and customer relationships as we aim to lead in lower carbon intensity oil, products and natural gas, as well as advance new products and solutions that reduce the carbon emissions of major industries. We aim to grow our oil and gas business, lower the carbon intensity of our operations and grow new businesses in renewable fuels, carbon capture and offsets, hydrogen, power generation for data centers, and emerging technologies.</w:t>
      </w:r>
    </w:p>
    <w:p>
      <w:pPr>
        <w:spacing w:after="0" w:line="51" w:lineRule="exact"/>
        <w:rPr>
          <w:sz w:val="20"/>
          <w:szCs w:val="20"/>
          <w:color w:val="auto"/>
        </w:rPr>
      </w:pPr>
    </w:p>
    <w:p>
      <w:pPr>
        <w:jc w:val="both"/>
        <w:ind w:left="83"/>
        <w:spacing w:after="0" w:line="281" w:lineRule="auto"/>
        <w:rPr>
          <w:sz w:val="20"/>
          <w:szCs w:val="20"/>
          <w:color w:val="auto"/>
        </w:rPr>
      </w:pPr>
      <w:r>
        <w:rPr>
          <w:rFonts w:ascii="Times New Roman" w:cs="Times New Roman" w:eastAsia="Times New Roman" w:hAnsi="Times New Roman"/>
          <w:sz w:val="18"/>
          <w:szCs w:val="18"/>
          <w:color w:val="auto"/>
        </w:rPr>
        <w:t xml:space="preserve">Information about the company is available on the company’s website at </w:t>
      </w:r>
      <w:r>
        <w:rPr>
          <w:rFonts w:ascii="Times New Roman" w:cs="Times New Roman" w:eastAsia="Times New Roman" w:hAnsi="Times New Roman"/>
          <w:sz w:val="18"/>
          <w:szCs w:val="18"/>
          <w:u w:val="single" w:color="auto"/>
          <w:color w:val="auto"/>
        </w:rPr>
        <w:t>www.chevron.com</w:t>
      </w:r>
      <w:r>
        <w:rPr>
          <w:rFonts w:ascii="Times New Roman" w:cs="Times New Roman" w:eastAsia="Times New Roman" w:hAnsi="Times New Roman"/>
          <w:sz w:val="18"/>
          <w:szCs w:val="18"/>
          <w:color w:val="auto"/>
        </w:rPr>
        <w:t>. Information contained on the company’s website is not part of this Annual Report on Form 10-K. The company’s Annual Reports on Form 10-K, Quarterly Reports on Form 10-Q, Current Reports on Form 8-K, and any amendments to these reports filed or furnished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98425</wp:posOffset>
            </wp:positionV>
            <wp:extent cx="1714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79" w:lineRule="exact"/>
        <w:rPr>
          <w:sz w:val="20"/>
          <w:szCs w:val="20"/>
          <w:color w:val="auto"/>
        </w:rPr>
      </w:pPr>
    </w:p>
    <w:p>
      <w:pPr>
        <w:ind w:left="83" w:right="100" w:hanging="83"/>
        <w:spacing w:after="0" w:line="219" w:lineRule="auto"/>
        <w:tabs>
          <w:tab w:leader="none" w:pos="95" w:val="left"/>
        </w:tabs>
        <w:numPr>
          <w:ilvl w:val="0"/>
          <w:numId w:val="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2"/>
          <w:szCs w:val="12"/>
          <w:color w:val="auto"/>
        </w:rPr>
        <w:t>Incorporated in Delaware in 1926 as Standard Oil Company of California, the company adopted the name Chevron Corporation in 1984 and ChevronTexaco Corporation in 2001. In 2005, ChevronTexaco Corporation changed its name to Chevron Corporation. As used in this report, the term “Chevron” and such terms as “the company,” “the corporation,” “our,” “we,” “us” and "its" may refer to Chevron Corporation, one or more of its consolidated subsidiaries, or all of them taken as a whole, but unless stated otherwise they do not include “affiliates” of Chevron — i.e., those companies accounted for by the equity method (generally owned 50 percent or less) or non-equity method investments. All of these terms are used for convenience only and are not intended as a precise description of any of the separate companies, each of which manages its own affairs.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02"/>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67945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3"/>
          </w:cols>
          <w:pgMar w:left="237" w:top="414" w:right="339" w:bottom="1440" w:gutter="0" w:footer="0" w:header="0"/>
        </w:sectPr>
      </w:pPr>
    </w:p>
    <w:bookmarkStart w:id="4" w:name="page5"/>
    <w:bookmarkEnd w:id="4"/>
    <w:p>
      <w:pPr>
        <w:ind w:left="10100"/>
        <w:spacing w:after="0"/>
        <w:rPr>
          <w:sz w:val="20"/>
          <w:szCs w:val="20"/>
          <w:color w:val="auto"/>
        </w:rPr>
      </w:pPr>
      <w:r>
        <w:rPr>
          <w:rFonts w:ascii="Arial" w:cs="Arial" w:eastAsia="Arial" w:hAnsi="Arial"/>
          <w:sz w:val="14"/>
          <w:szCs w:val="14"/>
          <w:color w:val="0077C0"/>
        </w:rPr>
        <w:t>Table of Contents</w:t>
      </w:r>
    </w:p>
    <w:p>
      <w:pPr>
        <w:spacing w:after="0" w:line="200" w:lineRule="exact"/>
        <w:rPr>
          <w:sz w:val="20"/>
          <w:szCs w:val="20"/>
          <w:color w:val="auto"/>
        </w:rPr>
      </w:pPr>
    </w:p>
    <w:p>
      <w:pPr>
        <w:spacing w:after="0" w:line="318"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 xml:space="preserve">Section 13(a) or 15(d) of the Securities Exchange Act of 1934 are available free of charge on the company’s website soon after such reports are filed with or furnished to the U.S. Securities and Exchange Commission (SEC). The reports are also available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0077C0"/>
        </w:rPr>
        <w:t>Human Capital Management</w:t>
      </w:r>
    </w:p>
    <w:p>
      <w:pPr>
        <w:spacing w:after="0" w:line="10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Chevron Way explains the company’s beliefs, vision, purpose and values. It guides how the company’s employees work and establishes a common understanding of culture and aspirations.</w:t>
      </w:r>
    </w:p>
    <w:p>
      <w:pPr>
        <w:spacing w:after="0" w:line="2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Chevron leadership is accountable for investing in the company’s people and culture with the objective of engaging employees to develop their full potential to help deliver energy solutions and enable human progress. This includes reviews of metrics addressing critical function hiring, leadership development, retention, diversity and inclusion, and employee engagement.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number of Chevron employees by sex, where data is available, and by region as of December 31, 2024.</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At December 31, 2024</w:t>
            </w: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146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140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2240" w:type="dxa"/>
            <w:vAlign w:val="bottom"/>
            <w:tcBorders>
              <w:bottom w:val="single" w:sz="8" w:color="0077C0"/>
            </w:tcBorders>
            <w:gridSpan w:val="2"/>
          </w:tcPr>
          <w:p>
            <w:pPr>
              <w:spacing w:after="0"/>
              <w:rPr>
                <w:sz w:val="2"/>
                <w:szCs w:val="2"/>
                <w:color w:val="auto"/>
              </w:rPr>
            </w:pPr>
          </w:p>
        </w:tc>
        <w:tc>
          <w:tcPr>
            <w:tcW w:w="2040" w:type="dxa"/>
            <w:vAlign w:val="bottom"/>
            <w:tcBorders>
              <w:bottom w:val="single" w:sz="8" w:color="0077C0"/>
            </w:tcBorders>
            <w:gridSpan w:val="2"/>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1460" w:type="dxa"/>
            <w:vAlign w:val="bottom"/>
            <w:tcBorders>
              <w:bottom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color w:val="auto"/>
              </w:rPr>
              <w:t>Female</w:t>
            </w:r>
          </w:p>
        </w:tc>
        <w:tc>
          <w:tcPr>
            <w:tcW w:w="600" w:type="dxa"/>
            <w:vAlign w:val="bottom"/>
            <w:tcBorders>
              <w:bottom w:val="single" w:sz="8" w:color="0077C0"/>
            </w:tcBorders>
          </w:tcPr>
          <w:p>
            <w:pPr>
              <w:spacing w:after="0"/>
              <w:rPr>
                <w:sz w:val="16"/>
                <w:szCs w:val="16"/>
                <w:color w:val="auto"/>
              </w:rPr>
            </w:pPr>
          </w:p>
        </w:tc>
        <w:tc>
          <w:tcPr>
            <w:tcW w:w="200" w:type="dxa"/>
            <w:vAlign w:val="bottom"/>
            <w:tcBorders>
              <w:bottom w:val="single" w:sz="8" w:color="0077C0"/>
              <w:right w:val="single" w:sz="8" w:color="0077C0"/>
            </w:tcBorders>
          </w:tcPr>
          <w:p>
            <w:pPr>
              <w:spacing w:after="0"/>
              <w:rPr>
                <w:sz w:val="16"/>
                <w:szCs w:val="16"/>
                <w:color w:val="auto"/>
              </w:rPr>
            </w:pPr>
          </w:p>
        </w:tc>
        <w:tc>
          <w:tcPr>
            <w:tcW w:w="1400" w:type="dxa"/>
            <w:vAlign w:val="bottom"/>
            <w:tcBorders>
              <w:bottom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color w:val="auto"/>
              </w:rPr>
              <w:t>Male</w:t>
            </w:r>
          </w:p>
        </w:tc>
        <w:tc>
          <w:tcPr>
            <w:tcW w:w="640" w:type="dxa"/>
            <w:vAlign w:val="bottom"/>
            <w:tcBorders>
              <w:bottom w:val="single" w:sz="8" w:color="0077C0"/>
            </w:tcBorders>
          </w:tcPr>
          <w:p>
            <w:pPr>
              <w:spacing w:after="0"/>
              <w:rPr>
                <w:sz w:val="16"/>
                <w:szCs w:val="16"/>
                <w:color w:val="auto"/>
              </w:rPr>
            </w:pPr>
          </w:p>
        </w:tc>
        <w:tc>
          <w:tcPr>
            <w:tcW w:w="200" w:type="dxa"/>
            <w:vAlign w:val="bottom"/>
            <w:tcBorders>
              <w:bottom w:val="single" w:sz="8" w:color="0077C0"/>
              <w:right w:val="single" w:sz="8" w:color="0077C0"/>
            </w:tcBorders>
          </w:tcPr>
          <w:p>
            <w:pPr>
              <w:spacing w:after="0"/>
              <w:rPr>
                <w:sz w:val="16"/>
                <w:szCs w:val="16"/>
                <w:color w:val="auto"/>
              </w:rPr>
            </w:pPr>
          </w:p>
        </w:tc>
        <w:tc>
          <w:tcPr>
            <w:tcW w:w="2240" w:type="dxa"/>
            <w:vAlign w:val="bottom"/>
            <w:tcBorders>
              <w:bottom w:val="single" w:sz="8" w:color="0077C0"/>
              <w:right w:val="single" w:sz="8" w:color="0077C0"/>
            </w:tcBorders>
            <w:gridSpan w:val="2"/>
          </w:tcPr>
          <w:p>
            <w:pPr>
              <w:jc w:val="right"/>
              <w:ind w:right="508"/>
              <w:spacing w:after="0"/>
              <w:rPr>
                <w:sz w:val="20"/>
                <w:szCs w:val="20"/>
                <w:color w:val="auto"/>
              </w:rPr>
            </w:pPr>
            <w:r>
              <w:rPr>
                <w:rFonts w:ascii="Times New Roman" w:cs="Times New Roman" w:eastAsia="Times New Roman" w:hAnsi="Times New Roman"/>
                <w:sz w:val="14"/>
                <w:szCs w:val="14"/>
                <w:color w:val="auto"/>
              </w:rPr>
              <w:t>Data not available*</w:t>
            </w:r>
          </w:p>
        </w:tc>
        <w:tc>
          <w:tcPr>
            <w:tcW w:w="2040" w:type="dxa"/>
            <w:vAlign w:val="bottom"/>
            <w:tcBorders>
              <w:bottom w:val="single" w:sz="8" w:color="0077C0"/>
            </w:tcBorders>
            <w:gridSpan w:val="2"/>
          </w:tcPr>
          <w:p>
            <w:pPr>
              <w:jc w:val="right"/>
              <w:ind w:right="388"/>
              <w:spacing w:after="0"/>
              <w:rPr>
                <w:sz w:val="20"/>
                <w:szCs w:val="20"/>
                <w:color w:val="auto"/>
              </w:rPr>
            </w:pPr>
            <w:r>
              <w:rPr>
                <w:rFonts w:ascii="Times New Roman" w:cs="Times New Roman" w:eastAsia="Times New Roman" w:hAnsi="Times New Roman"/>
                <w:sz w:val="14"/>
                <w:szCs w:val="14"/>
                <w:color w:val="auto"/>
              </w:rPr>
              <w:t>Total Employees</w:t>
            </w:r>
          </w:p>
        </w:tc>
        <w:tc>
          <w:tcPr>
            <w:tcW w:w="180" w:type="dxa"/>
            <w:vAlign w:val="bottom"/>
            <w:tcBorders>
              <w:bottom w:val="single" w:sz="8" w:color="0077C0"/>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1460" w:type="dxa"/>
            <w:vAlign w:val="bottom"/>
          </w:tcPr>
          <w:p>
            <w:pPr>
              <w:jc w:val="right"/>
              <w:ind w:right="348"/>
              <w:spacing w:after="0" w:line="135" w:lineRule="exact"/>
              <w:rPr>
                <w:sz w:val="20"/>
                <w:szCs w:val="20"/>
                <w:color w:val="auto"/>
              </w:rPr>
            </w:pPr>
            <w:r>
              <w:rPr>
                <w:rFonts w:ascii="Times New Roman" w:cs="Times New Roman" w:eastAsia="Times New Roman" w:hAnsi="Times New Roman"/>
                <w:sz w:val="14"/>
                <w:szCs w:val="14"/>
                <w:color w:val="auto"/>
              </w:rPr>
              <w:t>Number of</w:t>
            </w:r>
          </w:p>
        </w:tc>
        <w:tc>
          <w:tcPr>
            <w:tcW w:w="800" w:type="dxa"/>
            <w:vAlign w:val="bottom"/>
            <w:tcBorders>
              <w:right w:val="single" w:sz="8" w:color="0077C0"/>
            </w:tcBorders>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Percentage</w:t>
            </w:r>
          </w:p>
        </w:tc>
        <w:tc>
          <w:tcPr>
            <w:tcW w:w="1400" w:type="dxa"/>
            <w:vAlign w:val="bottom"/>
          </w:tcPr>
          <w:p>
            <w:pPr>
              <w:jc w:val="right"/>
              <w:ind w:right="328"/>
              <w:spacing w:after="0" w:line="135" w:lineRule="exact"/>
              <w:rPr>
                <w:sz w:val="20"/>
                <w:szCs w:val="20"/>
                <w:color w:val="auto"/>
              </w:rPr>
            </w:pPr>
            <w:r>
              <w:rPr>
                <w:rFonts w:ascii="Times New Roman" w:cs="Times New Roman" w:eastAsia="Times New Roman" w:hAnsi="Times New Roman"/>
                <w:sz w:val="14"/>
                <w:szCs w:val="14"/>
                <w:color w:val="auto"/>
              </w:rPr>
              <w:t>Number of</w:t>
            </w:r>
          </w:p>
        </w:tc>
        <w:tc>
          <w:tcPr>
            <w:tcW w:w="840" w:type="dxa"/>
            <w:vAlign w:val="bottom"/>
            <w:tcBorders>
              <w:right w:val="single" w:sz="8" w:color="0077C0"/>
            </w:tcBorders>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Percentage</w:t>
            </w:r>
          </w:p>
        </w:tc>
        <w:tc>
          <w:tcPr>
            <w:tcW w:w="1280" w:type="dxa"/>
            <w:vAlign w:val="bottom"/>
          </w:tcPr>
          <w:p>
            <w:pPr>
              <w:jc w:val="right"/>
              <w:ind w:right="188"/>
              <w:spacing w:after="0" w:line="135" w:lineRule="exact"/>
              <w:rPr>
                <w:sz w:val="20"/>
                <w:szCs w:val="20"/>
                <w:color w:val="auto"/>
              </w:rPr>
            </w:pPr>
            <w:r>
              <w:rPr>
                <w:rFonts w:ascii="Times New Roman" w:cs="Times New Roman" w:eastAsia="Times New Roman" w:hAnsi="Times New Roman"/>
                <w:sz w:val="14"/>
                <w:szCs w:val="14"/>
                <w:color w:val="auto"/>
              </w:rPr>
              <w:t>Number of</w:t>
            </w:r>
          </w:p>
        </w:tc>
        <w:tc>
          <w:tcPr>
            <w:tcW w:w="960" w:type="dxa"/>
            <w:vAlign w:val="bottom"/>
            <w:tcBorders>
              <w:right w:val="single" w:sz="8" w:color="0077C0"/>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Percentage</w:t>
            </w:r>
          </w:p>
        </w:tc>
        <w:tc>
          <w:tcPr>
            <w:tcW w:w="1300" w:type="dxa"/>
            <w:vAlign w:val="bottom"/>
          </w:tcPr>
          <w:p>
            <w:pPr>
              <w:jc w:val="right"/>
              <w:ind w:right="208"/>
              <w:spacing w:after="0" w:line="135" w:lineRule="exact"/>
              <w:rPr>
                <w:sz w:val="20"/>
                <w:szCs w:val="20"/>
                <w:color w:val="auto"/>
              </w:rPr>
            </w:pPr>
            <w:r>
              <w:rPr>
                <w:rFonts w:ascii="Times New Roman" w:cs="Times New Roman" w:eastAsia="Times New Roman" w:hAnsi="Times New Roman"/>
                <w:sz w:val="14"/>
                <w:szCs w:val="14"/>
                <w:color w:val="auto"/>
              </w:rPr>
              <w:t>Number of</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Percentage</w:t>
            </w:r>
          </w:p>
        </w:tc>
        <w:tc>
          <w:tcPr>
            <w:tcW w:w="0" w:type="dxa"/>
            <w:vAlign w:val="bottom"/>
          </w:tcPr>
          <w:p>
            <w:pPr>
              <w:spacing w:after="0"/>
              <w:rPr>
                <w:sz w:val="1"/>
                <w:szCs w:val="1"/>
                <w:color w:val="auto"/>
              </w:rPr>
            </w:pPr>
          </w:p>
        </w:tc>
      </w:tr>
      <w:tr>
        <w:trPr>
          <w:trHeight w:val="196"/>
        </w:trPr>
        <w:tc>
          <w:tcPr>
            <w:tcW w:w="2080" w:type="dxa"/>
            <w:vAlign w:val="bottom"/>
            <w:tcBorders>
              <w:bottom w:val="single" w:sz="8" w:color="0077C0"/>
            </w:tcBorders>
          </w:tcPr>
          <w:p>
            <w:pPr>
              <w:spacing w:after="0"/>
              <w:rPr>
                <w:sz w:val="17"/>
                <w:szCs w:val="17"/>
                <w:color w:val="auto"/>
              </w:rPr>
            </w:pPr>
          </w:p>
        </w:tc>
        <w:tc>
          <w:tcPr>
            <w:tcW w:w="1460" w:type="dxa"/>
            <w:vAlign w:val="bottom"/>
            <w:tcBorders>
              <w:bottom w:val="single" w:sz="8" w:color="0077C0"/>
            </w:tcBorders>
          </w:tcPr>
          <w:p>
            <w:pPr>
              <w:jc w:val="right"/>
              <w:ind w:right="348"/>
              <w:spacing w:after="0"/>
              <w:rPr>
                <w:sz w:val="20"/>
                <w:szCs w:val="20"/>
                <w:color w:val="auto"/>
              </w:rPr>
            </w:pPr>
            <w:r>
              <w:rPr>
                <w:rFonts w:ascii="Times New Roman" w:cs="Times New Roman" w:eastAsia="Times New Roman" w:hAnsi="Times New Roman"/>
                <w:sz w:val="14"/>
                <w:szCs w:val="14"/>
                <w:color w:val="auto"/>
              </w:rPr>
              <w:t>Employees</w:t>
            </w:r>
          </w:p>
        </w:tc>
        <w:tc>
          <w:tcPr>
            <w:tcW w:w="800" w:type="dxa"/>
            <w:vAlign w:val="bottom"/>
            <w:tcBorders>
              <w:bottom w:val="single" w:sz="8" w:color="0077C0"/>
              <w:right w:val="single" w:sz="8" w:color="0077C0"/>
            </w:tcBorders>
            <w:gridSpan w:val="2"/>
            <w:vMerge w:val="continue"/>
          </w:tcPr>
          <w:p>
            <w:pPr>
              <w:spacing w:after="0"/>
              <w:rPr>
                <w:sz w:val="17"/>
                <w:szCs w:val="17"/>
                <w:color w:val="auto"/>
              </w:rPr>
            </w:pPr>
          </w:p>
        </w:tc>
        <w:tc>
          <w:tcPr>
            <w:tcW w:w="1400" w:type="dxa"/>
            <w:vAlign w:val="bottom"/>
            <w:tcBorders>
              <w:bottom w:val="single" w:sz="8" w:color="0077C0"/>
            </w:tcBorders>
          </w:tcPr>
          <w:p>
            <w:pPr>
              <w:jc w:val="right"/>
              <w:ind w:right="328"/>
              <w:spacing w:after="0"/>
              <w:rPr>
                <w:sz w:val="20"/>
                <w:szCs w:val="20"/>
                <w:color w:val="auto"/>
              </w:rPr>
            </w:pPr>
            <w:r>
              <w:rPr>
                <w:rFonts w:ascii="Times New Roman" w:cs="Times New Roman" w:eastAsia="Times New Roman" w:hAnsi="Times New Roman"/>
                <w:sz w:val="14"/>
                <w:szCs w:val="14"/>
                <w:color w:val="auto"/>
              </w:rPr>
              <w:t>Employees</w:t>
            </w:r>
          </w:p>
        </w:tc>
        <w:tc>
          <w:tcPr>
            <w:tcW w:w="840" w:type="dxa"/>
            <w:vAlign w:val="bottom"/>
            <w:tcBorders>
              <w:bottom w:val="single" w:sz="8" w:color="0077C0"/>
              <w:right w:val="single" w:sz="8" w:color="0077C0"/>
            </w:tcBorders>
            <w:gridSpan w:val="2"/>
            <w:vMerge w:val="continue"/>
          </w:tcPr>
          <w:p>
            <w:pPr>
              <w:spacing w:after="0"/>
              <w:rPr>
                <w:sz w:val="17"/>
                <w:szCs w:val="17"/>
                <w:color w:val="auto"/>
              </w:rPr>
            </w:pPr>
          </w:p>
        </w:tc>
        <w:tc>
          <w:tcPr>
            <w:tcW w:w="1280" w:type="dxa"/>
            <w:vAlign w:val="bottom"/>
            <w:tcBorders>
              <w:bottom w:val="single" w:sz="8" w:color="0077C0"/>
            </w:tcBorders>
          </w:tcPr>
          <w:p>
            <w:pPr>
              <w:jc w:val="right"/>
              <w:ind w:right="188"/>
              <w:spacing w:after="0"/>
              <w:rPr>
                <w:sz w:val="20"/>
                <w:szCs w:val="20"/>
                <w:color w:val="auto"/>
              </w:rPr>
            </w:pPr>
            <w:r>
              <w:rPr>
                <w:rFonts w:ascii="Times New Roman" w:cs="Times New Roman" w:eastAsia="Times New Roman" w:hAnsi="Times New Roman"/>
                <w:sz w:val="14"/>
                <w:szCs w:val="14"/>
                <w:color w:val="auto"/>
              </w:rPr>
              <w:t>Employees</w:t>
            </w:r>
          </w:p>
        </w:tc>
        <w:tc>
          <w:tcPr>
            <w:tcW w:w="960" w:type="dxa"/>
            <w:vAlign w:val="bottom"/>
            <w:tcBorders>
              <w:bottom w:val="single" w:sz="8" w:color="0077C0"/>
              <w:right w:val="single" w:sz="8" w:color="0077C0"/>
            </w:tcBorders>
            <w:vMerge w:val="continue"/>
          </w:tcPr>
          <w:p>
            <w:pPr>
              <w:spacing w:after="0"/>
              <w:rPr>
                <w:sz w:val="17"/>
                <w:szCs w:val="17"/>
                <w:color w:val="auto"/>
              </w:rPr>
            </w:pPr>
          </w:p>
        </w:tc>
        <w:tc>
          <w:tcPr>
            <w:tcW w:w="1300" w:type="dxa"/>
            <w:vAlign w:val="bottom"/>
            <w:tcBorders>
              <w:bottom w:val="single" w:sz="8" w:color="0077C0"/>
            </w:tcBorders>
          </w:tcPr>
          <w:p>
            <w:pPr>
              <w:jc w:val="right"/>
              <w:ind w:right="208"/>
              <w:spacing w:after="0"/>
              <w:rPr>
                <w:sz w:val="20"/>
                <w:szCs w:val="20"/>
                <w:color w:val="auto"/>
              </w:rPr>
            </w:pPr>
            <w:r>
              <w:rPr>
                <w:rFonts w:ascii="Times New Roman" w:cs="Times New Roman" w:eastAsia="Times New Roman" w:hAnsi="Times New Roman"/>
                <w:sz w:val="14"/>
                <w:szCs w:val="14"/>
                <w:color w:val="auto"/>
              </w:rPr>
              <w:t>Employees</w:t>
            </w:r>
          </w:p>
        </w:tc>
        <w:tc>
          <w:tcPr>
            <w:tcW w:w="920" w:type="dxa"/>
            <w:vAlign w:val="bottom"/>
            <w:tcBorders>
              <w:bottom w:val="single" w:sz="8" w:color="0077C0"/>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Non-Service Station Employees</w:t>
            </w:r>
          </w:p>
        </w:tc>
        <w:tc>
          <w:tcPr>
            <w:tcW w:w="1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Borders>
              <w:right w:val="single" w:sz="8" w:color="0077C0"/>
            </w:tcBorders>
          </w:tcPr>
          <w:p>
            <w:pPr>
              <w:spacing w:after="0"/>
              <w:rPr>
                <w:sz w:val="16"/>
                <w:szCs w:val="16"/>
                <w:color w:val="auto"/>
              </w:rPr>
            </w:pPr>
          </w:p>
        </w:tc>
        <w:tc>
          <w:tcPr>
            <w:tcW w:w="1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Borders>
              <w:right w:val="single" w:sz="8" w:color="0077C0"/>
            </w:tcBorders>
          </w:tcPr>
          <w:p>
            <w:pPr>
              <w:spacing w:after="0"/>
              <w:rPr>
                <w:sz w:val="16"/>
                <w:szCs w:val="16"/>
                <w:color w:val="auto"/>
              </w:rPr>
            </w:pPr>
          </w:p>
        </w:tc>
        <w:tc>
          <w:tcPr>
            <w:tcW w:w="1280" w:type="dxa"/>
            <w:vAlign w:val="bottom"/>
          </w:tcPr>
          <w:p>
            <w:pPr>
              <w:spacing w:after="0"/>
              <w:rPr>
                <w:sz w:val="16"/>
                <w:szCs w:val="16"/>
                <w:color w:val="auto"/>
              </w:rPr>
            </w:pPr>
          </w:p>
        </w:tc>
        <w:tc>
          <w:tcPr>
            <w:tcW w:w="960" w:type="dxa"/>
            <w:vAlign w:val="bottom"/>
            <w:tcBorders>
              <w:right w:val="single" w:sz="8" w:color="0077C0"/>
            </w:tcBorders>
          </w:tcPr>
          <w:p>
            <w:pPr>
              <w:spacing w:after="0"/>
              <w:rPr>
                <w:sz w:val="16"/>
                <w:szCs w:val="16"/>
                <w:color w:val="auto"/>
              </w:rPr>
            </w:pPr>
          </w:p>
        </w:tc>
        <w:tc>
          <w:tcPr>
            <w:tcW w:w="1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U.S.</w:t>
            </w:r>
          </w:p>
        </w:tc>
        <w:tc>
          <w:tcPr>
            <w:tcW w:w="146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5,556</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0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15,751</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20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19</w:t>
            </w:r>
          </w:p>
        </w:tc>
        <w:tc>
          <w:tcPr>
            <w:tcW w:w="96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21,326</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Americas</w:t>
            </w:r>
          </w:p>
        </w:tc>
        <w:tc>
          <w:tcPr>
            <w:tcW w:w="146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1,175</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0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2,689</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20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10</w:t>
            </w:r>
          </w:p>
        </w:tc>
        <w:tc>
          <w:tcPr>
            <w:tcW w:w="96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3,874</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Africa</w:t>
            </w:r>
          </w:p>
        </w:tc>
        <w:tc>
          <w:tcPr>
            <w:tcW w:w="146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623</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3,189</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20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4</w:t>
            </w:r>
          </w:p>
        </w:tc>
        <w:tc>
          <w:tcPr>
            <w:tcW w:w="96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3,816</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Asia</w:t>
            </w:r>
          </w:p>
        </w:tc>
        <w:tc>
          <w:tcPr>
            <w:tcW w:w="146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2,577</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0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4,476</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20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13</w:t>
            </w:r>
          </w:p>
        </w:tc>
        <w:tc>
          <w:tcPr>
            <w:tcW w:w="96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7,066</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Australia</w:t>
            </w:r>
          </w:p>
        </w:tc>
        <w:tc>
          <w:tcPr>
            <w:tcW w:w="146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542</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0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1,550</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20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3</w:t>
            </w:r>
          </w:p>
        </w:tc>
        <w:tc>
          <w:tcPr>
            <w:tcW w:w="96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2,095</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Europe</w:t>
            </w:r>
          </w:p>
        </w:tc>
        <w:tc>
          <w:tcPr>
            <w:tcW w:w="146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434</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0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1,107</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20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24</w:t>
            </w:r>
          </w:p>
        </w:tc>
        <w:tc>
          <w:tcPr>
            <w:tcW w:w="96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3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1,565</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80" w:type="dxa"/>
            <w:vAlign w:val="bottom"/>
            <w:tcBorders>
              <w:bottom w:val="single" w:sz="8" w:color="0077C0"/>
            </w:tcBorders>
          </w:tcPr>
          <w:p>
            <w:pPr>
              <w:spacing w:after="0"/>
              <w:rPr>
                <w:sz w:val="2"/>
                <w:szCs w:val="2"/>
                <w:color w:val="auto"/>
              </w:rPr>
            </w:pPr>
          </w:p>
        </w:tc>
        <w:tc>
          <w:tcPr>
            <w:tcW w:w="146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200" w:type="dxa"/>
            <w:vAlign w:val="bottom"/>
            <w:tcBorders>
              <w:bottom w:val="single" w:sz="8" w:color="0077C0"/>
              <w:right w:val="single" w:sz="8" w:color="0077C0"/>
            </w:tcBorders>
          </w:tcPr>
          <w:p>
            <w:pPr>
              <w:spacing w:after="0"/>
              <w:rPr>
                <w:sz w:val="2"/>
                <w:szCs w:val="2"/>
                <w:color w:val="auto"/>
              </w:rPr>
            </w:pPr>
          </w:p>
        </w:tc>
        <w:tc>
          <w:tcPr>
            <w:tcW w:w="140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200" w:type="dxa"/>
            <w:vAlign w:val="bottom"/>
            <w:tcBorders>
              <w:bottom w:val="single" w:sz="8" w:color="0077C0"/>
              <w:right w:val="single" w:sz="8" w:color="0077C0"/>
            </w:tcBorders>
          </w:tcPr>
          <w:p>
            <w:pPr>
              <w:spacing w:after="0"/>
              <w:rPr>
                <w:sz w:val="2"/>
                <w:szCs w:val="2"/>
                <w:color w:val="auto"/>
              </w:rPr>
            </w:pPr>
          </w:p>
        </w:tc>
        <w:tc>
          <w:tcPr>
            <w:tcW w:w="1280" w:type="dxa"/>
            <w:vAlign w:val="bottom"/>
            <w:tcBorders>
              <w:bottom w:val="single" w:sz="8" w:color="0077C0"/>
            </w:tcBorders>
          </w:tcPr>
          <w:p>
            <w:pPr>
              <w:spacing w:after="0"/>
              <w:rPr>
                <w:sz w:val="2"/>
                <w:szCs w:val="2"/>
                <w:color w:val="auto"/>
              </w:rPr>
            </w:pPr>
          </w:p>
        </w:tc>
        <w:tc>
          <w:tcPr>
            <w:tcW w:w="960" w:type="dxa"/>
            <w:vAlign w:val="bottom"/>
            <w:tcBorders>
              <w:bottom w:val="single" w:sz="8" w:color="0077C0"/>
              <w:right w:val="single" w:sz="8" w:color="0077C0"/>
            </w:tcBorders>
          </w:tcPr>
          <w:p>
            <w:pPr>
              <w:spacing w:after="0"/>
              <w:rPr>
                <w:sz w:val="2"/>
                <w:szCs w:val="2"/>
                <w:color w:val="auto"/>
              </w:rPr>
            </w:pPr>
          </w:p>
        </w:tc>
        <w:tc>
          <w:tcPr>
            <w:tcW w:w="1300" w:type="dxa"/>
            <w:vAlign w:val="bottom"/>
            <w:tcBorders>
              <w:bottom w:val="single" w:sz="8" w:color="0077C0"/>
            </w:tcBorders>
          </w:tcPr>
          <w:p>
            <w:pPr>
              <w:spacing w:after="0"/>
              <w:rPr>
                <w:sz w:val="2"/>
                <w:szCs w:val="2"/>
                <w:color w:val="auto"/>
              </w:rPr>
            </w:pPr>
          </w:p>
        </w:tc>
        <w:tc>
          <w:tcPr>
            <w:tcW w:w="740" w:type="dxa"/>
            <w:vAlign w:val="bottom"/>
            <w:tcBorders>
              <w:bottom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Total Non-Service Station</w:t>
            </w:r>
          </w:p>
        </w:tc>
        <w:tc>
          <w:tcPr>
            <w:tcW w:w="146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color w:val="auto"/>
              </w:rPr>
              <w:t>10,907</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00" w:type="dxa"/>
            <w:vAlign w:val="bottom"/>
            <w:tcBorders>
              <w:right w:val="single" w:sz="8" w:color="0077C0"/>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color w:val="auto"/>
              </w:rPr>
              <w:t>28,762</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200" w:type="dxa"/>
            <w:vAlign w:val="bottom"/>
            <w:tcBorders>
              <w:right w:val="single" w:sz="8" w:color="0077C0"/>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73</w:t>
            </w:r>
          </w:p>
        </w:tc>
        <w:tc>
          <w:tcPr>
            <w:tcW w:w="960" w:type="dxa"/>
            <w:vAlign w:val="bottom"/>
            <w:tcBorders>
              <w:right w:val="single" w:sz="8" w:color="0077C0"/>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39,742</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08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color w:val="auto"/>
              </w:rPr>
              <w:t>Employees</w:t>
            </w:r>
          </w:p>
        </w:tc>
        <w:tc>
          <w:tcPr>
            <w:tcW w:w="1460" w:type="dxa"/>
            <w:vAlign w:val="bottom"/>
            <w:tcBorders>
              <w:bottom w:val="single" w:sz="8" w:color="0077C0"/>
            </w:tcBorders>
            <w:vMerge w:val="continue"/>
          </w:tcPr>
          <w:p>
            <w:pPr>
              <w:spacing w:after="0"/>
              <w:rPr>
                <w:sz w:val="17"/>
                <w:szCs w:val="17"/>
                <w:color w:val="auto"/>
              </w:rPr>
            </w:pPr>
          </w:p>
        </w:tc>
        <w:tc>
          <w:tcPr>
            <w:tcW w:w="600" w:type="dxa"/>
            <w:vAlign w:val="bottom"/>
            <w:tcBorders>
              <w:bottom w:val="single" w:sz="8" w:color="0077C0"/>
            </w:tcBorders>
            <w:vMerge w:val="continue"/>
          </w:tcPr>
          <w:p>
            <w:pPr>
              <w:spacing w:after="0"/>
              <w:rPr>
                <w:sz w:val="17"/>
                <w:szCs w:val="17"/>
                <w:color w:val="auto"/>
              </w:rPr>
            </w:pPr>
          </w:p>
        </w:tc>
        <w:tc>
          <w:tcPr>
            <w:tcW w:w="200" w:type="dxa"/>
            <w:vAlign w:val="bottom"/>
            <w:tcBorders>
              <w:bottom w:val="single" w:sz="8" w:color="0077C0"/>
              <w:right w:val="single" w:sz="8" w:color="0077C0"/>
            </w:tcBorders>
            <w:vMerge w:val="continue"/>
          </w:tcPr>
          <w:p>
            <w:pPr>
              <w:spacing w:after="0"/>
              <w:rPr>
                <w:sz w:val="17"/>
                <w:szCs w:val="17"/>
                <w:color w:val="auto"/>
              </w:rPr>
            </w:pPr>
          </w:p>
        </w:tc>
        <w:tc>
          <w:tcPr>
            <w:tcW w:w="1400" w:type="dxa"/>
            <w:vAlign w:val="bottom"/>
            <w:tcBorders>
              <w:bottom w:val="single" w:sz="8" w:color="0077C0"/>
            </w:tcBorders>
            <w:vMerge w:val="continue"/>
          </w:tcPr>
          <w:p>
            <w:pPr>
              <w:spacing w:after="0"/>
              <w:rPr>
                <w:sz w:val="17"/>
                <w:szCs w:val="17"/>
                <w:color w:val="auto"/>
              </w:rPr>
            </w:pPr>
          </w:p>
        </w:tc>
        <w:tc>
          <w:tcPr>
            <w:tcW w:w="640" w:type="dxa"/>
            <w:vAlign w:val="bottom"/>
            <w:tcBorders>
              <w:bottom w:val="single" w:sz="8" w:color="0077C0"/>
            </w:tcBorders>
            <w:vMerge w:val="continue"/>
          </w:tcPr>
          <w:p>
            <w:pPr>
              <w:spacing w:after="0"/>
              <w:rPr>
                <w:sz w:val="17"/>
                <w:szCs w:val="17"/>
                <w:color w:val="auto"/>
              </w:rPr>
            </w:pPr>
          </w:p>
        </w:tc>
        <w:tc>
          <w:tcPr>
            <w:tcW w:w="200" w:type="dxa"/>
            <w:vAlign w:val="bottom"/>
            <w:tcBorders>
              <w:bottom w:val="single" w:sz="8" w:color="0077C0"/>
              <w:right w:val="single" w:sz="8" w:color="0077C0"/>
            </w:tcBorders>
            <w:vMerge w:val="continue"/>
          </w:tcPr>
          <w:p>
            <w:pPr>
              <w:spacing w:after="0"/>
              <w:rPr>
                <w:sz w:val="17"/>
                <w:szCs w:val="17"/>
                <w:color w:val="auto"/>
              </w:rPr>
            </w:pPr>
          </w:p>
        </w:tc>
        <w:tc>
          <w:tcPr>
            <w:tcW w:w="1280" w:type="dxa"/>
            <w:vAlign w:val="bottom"/>
            <w:tcBorders>
              <w:bottom w:val="single" w:sz="8" w:color="0077C0"/>
            </w:tcBorders>
            <w:vMerge w:val="continue"/>
          </w:tcPr>
          <w:p>
            <w:pPr>
              <w:spacing w:after="0"/>
              <w:rPr>
                <w:sz w:val="17"/>
                <w:szCs w:val="17"/>
                <w:color w:val="auto"/>
              </w:rPr>
            </w:pPr>
          </w:p>
        </w:tc>
        <w:tc>
          <w:tcPr>
            <w:tcW w:w="960" w:type="dxa"/>
            <w:vAlign w:val="bottom"/>
            <w:tcBorders>
              <w:bottom w:val="single" w:sz="8" w:color="0077C0"/>
              <w:right w:val="single" w:sz="8" w:color="0077C0"/>
            </w:tcBorders>
            <w:vMerge w:val="continue"/>
          </w:tcPr>
          <w:p>
            <w:pPr>
              <w:spacing w:after="0"/>
              <w:rPr>
                <w:sz w:val="17"/>
                <w:szCs w:val="17"/>
                <w:color w:val="auto"/>
              </w:rPr>
            </w:pPr>
          </w:p>
        </w:tc>
        <w:tc>
          <w:tcPr>
            <w:tcW w:w="1300" w:type="dxa"/>
            <w:vAlign w:val="bottom"/>
            <w:tcBorders>
              <w:bottom w:val="single" w:sz="8" w:color="0077C0"/>
            </w:tcBorders>
            <w:vMerge w:val="continue"/>
          </w:tcPr>
          <w:p>
            <w:pPr>
              <w:spacing w:after="0"/>
              <w:rPr>
                <w:sz w:val="17"/>
                <w:szCs w:val="17"/>
                <w:color w:val="auto"/>
              </w:rPr>
            </w:pPr>
          </w:p>
        </w:tc>
        <w:tc>
          <w:tcPr>
            <w:tcW w:w="740" w:type="dxa"/>
            <w:vAlign w:val="bottom"/>
            <w:tcBorders>
              <w:bottom w:val="single" w:sz="8" w:color="0077C0"/>
            </w:tcBorders>
            <w:vMerge w:val="continue"/>
          </w:tcPr>
          <w:p>
            <w:pPr>
              <w:spacing w:after="0"/>
              <w:rPr>
                <w:sz w:val="17"/>
                <w:szCs w:val="17"/>
                <w:color w:val="auto"/>
              </w:rPr>
            </w:pPr>
          </w:p>
        </w:tc>
        <w:tc>
          <w:tcPr>
            <w:tcW w:w="180" w:type="dxa"/>
            <w:vAlign w:val="bottom"/>
            <w:tcBorders>
              <w:bottom w:val="single" w:sz="8" w:color="0077C0"/>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8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color w:val="auto"/>
              </w:rPr>
              <w:t>Service Station Employees</w:t>
            </w:r>
          </w:p>
        </w:tc>
        <w:tc>
          <w:tcPr>
            <w:tcW w:w="1460" w:type="dxa"/>
            <w:vAlign w:val="bottom"/>
            <w:tcBorders>
              <w:bottom w:val="single" w:sz="8" w:color="0077C0"/>
            </w:tcBorders>
          </w:tcPr>
          <w:p>
            <w:pPr>
              <w:jc w:val="right"/>
              <w:ind w:right="388"/>
              <w:spacing w:after="0"/>
              <w:rPr>
                <w:sz w:val="20"/>
                <w:szCs w:val="20"/>
                <w:color w:val="auto"/>
              </w:rPr>
            </w:pPr>
            <w:r>
              <w:rPr>
                <w:rFonts w:ascii="Times New Roman" w:cs="Times New Roman" w:eastAsia="Times New Roman" w:hAnsi="Times New Roman"/>
                <w:sz w:val="14"/>
                <w:szCs w:val="14"/>
                <w:color w:val="auto"/>
              </w:rPr>
              <w:t>2,545</w:t>
            </w: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00" w:type="dxa"/>
            <w:vAlign w:val="bottom"/>
            <w:tcBorders>
              <w:bottom w:val="single" w:sz="8" w:color="0077C0"/>
              <w:right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0077C0"/>
            </w:tcBorders>
          </w:tcPr>
          <w:p>
            <w:pPr>
              <w:jc w:val="right"/>
              <w:ind w:right="368"/>
              <w:spacing w:after="0"/>
              <w:rPr>
                <w:sz w:val="20"/>
                <w:szCs w:val="20"/>
                <w:color w:val="auto"/>
              </w:rPr>
            </w:pPr>
            <w:r>
              <w:rPr>
                <w:rFonts w:ascii="Times New Roman" w:cs="Times New Roman" w:eastAsia="Times New Roman" w:hAnsi="Times New Roman"/>
                <w:sz w:val="14"/>
                <w:szCs w:val="14"/>
                <w:color w:val="auto"/>
              </w:rPr>
              <w:t>2,372</w:t>
            </w: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00" w:type="dxa"/>
            <w:vAlign w:val="bottom"/>
            <w:tcBorders>
              <w:bottom w:val="single" w:sz="8" w:color="0077C0"/>
              <w:right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0077C0"/>
            </w:tcBorders>
          </w:tcPr>
          <w:p>
            <w:pPr>
              <w:jc w:val="right"/>
              <w:ind w:right="248"/>
              <w:spacing w:after="0"/>
              <w:rPr>
                <w:sz w:val="20"/>
                <w:szCs w:val="20"/>
                <w:color w:val="auto"/>
              </w:rPr>
            </w:pPr>
            <w:r>
              <w:rPr>
                <w:rFonts w:ascii="Times New Roman" w:cs="Times New Roman" w:eastAsia="Times New Roman" w:hAnsi="Times New Roman"/>
                <w:sz w:val="14"/>
                <w:szCs w:val="14"/>
                <w:color w:val="auto"/>
              </w:rPr>
              <w:t>639</w:t>
            </w:r>
          </w:p>
        </w:tc>
        <w:tc>
          <w:tcPr>
            <w:tcW w:w="960" w:type="dxa"/>
            <w:vAlign w:val="bottom"/>
            <w:tcBorders>
              <w:bottom w:val="single" w:sz="8" w:color="0077C0"/>
              <w:right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300" w:type="dxa"/>
            <w:vAlign w:val="bottom"/>
            <w:tcBorders>
              <w:bottom w:val="single" w:sz="8" w:color="0077C0"/>
            </w:tcBorders>
          </w:tcPr>
          <w:p>
            <w:pPr>
              <w:jc w:val="right"/>
              <w:ind w:right="268"/>
              <w:spacing w:after="0"/>
              <w:rPr>
                <w:sz w:val="20"/>
                <w:szCs w:val="20"/>
                <w:color w:val="auto"/>
              </w:rPr>
            </w:pPr>
            <w:r>
              <w:rPr>
                <w:rFonts w:ascii="Times New Roman" w:cs="Times New Roman" w:eastAsia="Times New Roman" w:hAnsi="Times New Roman"/>
                <w:sz w:val="14"/>
                <w:szCs w:val="14"/>
                <w:color w:val="auto"/>
              </w:rPr>
              <w:t>5,556</w:t>
            </w:r>
          </w:p>
        </w:tc>
        <w:tc>
          <w:tcPr>
            <w:tcW w:w="7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08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Employees</w:t>
            </w:r>
          </w:p>
        </w:tc>
        <w:tc>
          <w:tcPr>
            <w:tcW w:w="1460" w:type="dxa"/>
            <w:vAlign w:val="bottom"/>
            <w:tcBorders>
              <w:bottom w:val="single" w:sz="8" w:color="0077C0"/>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13,452</w:t>
            </w:r>
          </w:p>
        </w:tc>
        <w:tc>
          <w:tcPr>
            <w:tcW w:w="800" w:type="dxa"/>
            <w:vAlign w:val="bottom"/>
            <w:tcBorders>
              <w:bottom w:val="single" w:sz="8" w:color="0077C0"/>
              <w:right w:val="single" w:sz="8" w:color="0077C0"/>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30 %</w:t>
            </w:r>
          </w:p>
        </w:tc>
        <w:tc>
          <w:tcPr>
            <w:tcW w:w="1400" w:type="dxa"/>
            <w:vAlign w:val="bottom"/>
            <w:tcBorders>
              <w:bottom w:val="single" w:sz="8" w:color="0077C0"/>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31,134</w:t>
            </w:r>
          </w:p>
        </w:tc>
        <w:tc>
          <w:tcPr>
            <w:tcW w:w="840" w:type="dxa"/>
            <w:vAlign w:val="bottom"/>
            <w:tcBorders>
              <w:bottom w:val="single" w:sz="8" w:color="0077C0"/>
              <w:right w:val="single" w:sz="8" w:color="0077C0"/>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69 %</w:t>
            </w:r>
          </w:p>
        </w:tc>
        <w:tc>
          <w:tcPr>
            <w:tcW w:w="1280" w:type="dxa"/>
            <w:vAlign w:val="bottom"/>
            <w:tcBorders>
              <w:bottom w:val="single" w:sz="8" w:color="0077C0"/>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712</w:t>
            </w:r>
          </w:p>
        </w:tc>
        <w:tc>
          <w:tcPr>
            <w:tcW w:w="960" w:type="dxa"/>
            <w:vAlign w:val="bottom"/>
            <w:tcBorders>
              <w:bottom w:val="single" w:sz="8" w:color="0077C0"/>
              <w:right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2 %</w:t>
            </w:r>
          </w:p>
        </w:tc>
        <w:tc>
          <w:tcPr>
            <w:tcW w:w="1300" w:type="dxa"/>
            <w:vAlign w:val="bottom"/>
            <w:tcBorders>
              <w:bottom w:val="single" w:sz="8" w:color="0077C0"/>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45,298</w:t>
            </w:r>
          </w:p>
        </w:tc>
        <w:tc>
          <w:tcPr>
            <w:tcW w:w="920" w:type="dxa"/>
            <w:vAlign w:val="bottom"/>
            <w:tcBorders>
              <w:bottom w:val="single" w:sz="8" w:color="0077C0"/>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100 %</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Includes employees where data was not collected or employee chose not to disclose.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0077C0"/>
        </w:rPr>
        <w:t>Hiring, Development and Retention</w:t>
      </w:r>
    </w:p>
    <w:p>
      <w:pPr>
        <w:spacing w:after="0" w:line="10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company’s approach to attracting, developing and retaining a global, diverse workforce of high-performing talent is anchored by an environment of personal growth and engagement. The company’s philosophy is to offer compelling career opportunities and a competitive total compensation and benefits package linked to individual and enterprise performance. The company recruits new employees in a variety of ways, including through partnerships with universities and diversity associations. In addition, the company recruits experienced hires to provide specialized skills.</w:t>
      </w:r>
    </w:p>
    <w:p>
      <w:pPr>
        <w:spacing w:after="0" w:line="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Chevron’s learning and development programs are designed to help employees build technical, operating and leadership capabilities. The company’s leadership reviews metrics on employee training and development programs, which are refined on an ongoing basis to meet the needs of the business. The company invests in developing leadership at every level, including coaching programs for frontline supervisors, managers and individual contributors. Chevron invests in developing and upskilling employees, including things such as tailored generative AI training for leaders, practitioners and the broader workforce. In addition, the company offers the Digital Scholar Program, preparing employees with advanced technology skills through one-year Master of Science degrees in Engineering and Management.</w:t>
      </w:r>
    </w:p>
    <w:p>
      <w:pPr>
        <w:spacing w:after="0" w:line="5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In addition, leadership reviews the talent pipeline, identifies and develops succession candidates, and builds succession plans for key positions. The Board of Directors provides oversight of CEO and executive succession planning.</w:t>
      </w:r>
    </w:p>
    <w:p>
      <w:pPr>
        <w:spacing w:after="0" w:line="2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Management routinely reviews the retention of its professional population, executives, all levels of management, and the majority of its regular employee population. The voluntary attrition for this population in 2024 was 3.1 percent, in line with historical rates. The voluntary attrition rate generally excludes employee departures under restructuring programs. Chevron believes its low voluntary attrition rate is in part a result of the company’s commitment to employee development, competitive pay and benefits, and culture.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 w:name="page6"/>
    <w:bookmarkEnd w:id="5"/>
    <w:p>
      <w:pPr>
        <w:ind w:left="10100"/>
        <w:spacing w:after="0"/>
        <w:rPr>
          <w:sz w:val="20"/>
          <w:szCs w:val="20"/>
          <w:color w:val="auto"/>
        </w:rPr>
      </w:pPr>
      <w:r>
        <w:rPr>
          <w:rFonts w:ascii="Arial" w:cs="Arial" w:eastAsia="Arial" w:hAnsi="Arial"/>
          <w:sz w:val="14"/>
          <w:szCs w:val="14"/>
          <w:color w:val="0077C0"/>
        </w:rPr>
        <w:t>Table of Contents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i w:val="1"/>
          <w:iCs w:val="1"/>
          <w:color w:val="0077C0"/>
        </w:rPr>
        <w:t>Diversity and Inclusion</w:t>
      </w:r>
    </w:p>
    <w:p>
      <w:pPr>
        <w:spacing w:after="0" w:line="10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Chevron believes human ingenuity is best able to solve difficult problems when people with different ideas, experiences and backgrounds work together in an inclusive environment.</w:t>
      </w:r>
    </w:p>
    <w:p>
      <w:pPr>
        <w:spacing w:after="0" w:line="2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company has 11 employee networks (voluntary groups open to all employees with shared interests). The Chairman’s Inclusion Council provides employee network presidents with a direct line of communication to the Chairman and Chief Executive Officer, the Chief Human Resources Officer, the Chief Diversity and Inclusion Officer, and the executive leadership team to discuss how employee networks can help reinforce the company’s values and achieve its business objectives.</w:t>
      </w:r>
    </w:p>
    <w:p>
      <w:pPr>
        <w:spacing w:after="0" w:line="6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Diversity and inclusion at Chevron means zero tolerance for discrimination based on race, sex or other protected characteristics, and a deep respect for the cultures in which we operate. Chevron rejects the use of quotas and focuses on removing barriers to equal opportunity, fostering diversity, and ensuring that selection decisions are based on merit.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0077C0"/>
        </w:rPr>
        <w:t>Employee Engagement</w:t>
      </w:r>
    </w:p>
    <w:p>
      <w:pPr>
        <w:spacing w:after="0" w:line="11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Employee engagement is an indicator of employee well-being and commitment to the company’s values, purpose and strategies. The company regularly conducts employee surveys to assess the health of the company’s culture. Our surveys indicate high levels of employee engagement compared to our industry.</w:t>
      </w:r>
    </w:p>
    <w:p>
      <w:pPr>
        <w:spacing w:after="0" w:line="4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Chevron prioritizes the health, safety and well-being of its employees. The company’s safety culture empowers every member of its workforce to exercise stop-work authority without repercussion to address any potential unsafe work conditions. The company has set clear expectations for leaders to deliver operational excellence by prioritizing the safety and health of its workforce, and the protection of communities, the environment and the company’s assets.</w:t>
      </w:r>
    </w:p>
    <w:p>
      <w:pPr>
        <w:spacing w:after="0" w:line="6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Additionally, the company offers long-standing employee support programs such as Ombuds, an independent resource designed to equip employees with options to address and resolve workplace issues; a company hotline, where employees can report concerns to the Corporate Compliance department; and an Employee Assistance Program, a confidential consulting service that can help employees resolve a broad range of personal, family and work-related concerns.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6" w:name="page7"/>
    <w:bookmarkEnd w:id="6"/>
    <w:p>
      <w:pPr>
        <w:ind w:left="10183"/>
        <w:spacing w:after="0"/>
        <w:rPr>
          <w:sz w:val="20"/>
          <w:szCs w:val="20"/>
          <w:color w:val="auto"/>
        </w:rPr>
      </w:pPr>
      <w:r>
        <w:rPr>
          <w:rFonts w:ascii="Arial" w:cs="Arial" w:eastAsia="Arial" w:hAnsi="Arial"/>
          <w:sz w:val="14"/>
          <w:szCs w:val="14"/>
          <w:color w:val="0077C0"/>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3"/>
        <w:spacing w:after="0"/>
        <w:rPr>
          <w:sz w:val="20"/>
          <w:szCs w:val="20"/>
          <w:color w:val="auto"/>
        </w:rPr>
      </w:pPr>
      <w:r>
        <w:rPr>
          <w:rFonts w:ascii="Arial" w:cs="Arial" w:eastAsia="Arial" w:hAnsi="Arial"/>
          <w:sz w:val="18"/>
          <w:szCs w:val="18"/>
          <w:b w:val="1"/>
          <w:bCs w:val="1"/>
          <w:color w:val="0077C0"/>
        </w:rPr>
        <w:t>Description of Business and Properties</w:t>
      </w:r>
    </w:p>
    <w:p>
      <w:pPr>
        <w:spacing w:after="0" w:line="104" w:lineRule="exact"/>
        <w:rPr>
          <w:sz w:val="20"/>
          <w:szCs w:val="20"/>
          <w:color w:val="auto"/>
        </w:rPr>
      </w:pPr>
    </w:p>
    <w:p>
      <w:pPr>
        <w:jc w:val="both"/>
        <w:ind w:left="83"/>
        <w:spacing w:after="0" w:line="254" w:lineRule="auto"/>
        <w:rPr>
          <w:sz w:val="20"/>
          <w:szCs w:val="20"/>
          <w:color w:val="auto"/>
        </w:rPr>
      </w:pPr>
      <w:r>
        <w:rPr>
          <w:rFonts w:ascii="Times New Roman" w:cs="Times New Roman" w:eastAsia="Times New Roman" w:hAnsi="Times New Roman"/>
          <w:sz w:val="18"/>
          <w:szCs w:val="18"/>
          <w:color w:val="auto"/>
        </w:rPr>
        <w:t>The upstream and downstream activities of the company and its equity affiliates are widely dispersed geographically, with operations and projects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in North America, South America, Europe, Africa, Asia and Australia. These activities are managed by the Oil, Products and Gas organization. Tabulations of segment income statements for the three years ended December 31, 2024, and assets as of the end of 2024 and 2023 — for the United States and the company’s international geographic areas — are in </w:t>
      </w:r>
      <w:r>
        <w:rPr>
          <w:rFonts w:ascii="Times New Roman" w:cs="Times New Roman" w:eastAsia="Times New Roman" w:hAnsi="Times New Roman"/>
          <w:sz w:val="18"/>
          <w:szCs w:val="18"/>
          <w:u w:val="single" w:color="auto"/>
          <w:color w:val="0000FF"/>
        </w:rPr>
        <w:t>Note 14 Operating Segments and Geographic Data</w:t>
      </w:r>
      <w:r>
        <w:rPr>
          <w:rFonts w:ascii="Times New Roman" w:cs="Times New Roman" w:eastAsia="Times New Roman" w:hAnsi="Times New Roman"/>
          <w:sz w:val="18"/>
          <w:szCs w:val="18"/>
          <w:color w:val="auto"/>
        </w:rPr>
        <w:t xml:space="preserve"> to the Consolidated Financial Statements. Similar comparative data for the company’s investments in and income from equity affiliates and property, plant and equipment are in </w:t>
      </w:r>
      <w:r>
        <w:rPr>
          <w:rFonts w:ascii="Times New Roman" w:cs="Times New Roman" w:eastAsia="Times New Roman" w:hAnsi="Times New Roman"/>
          <w:sz w:val="18"/>
          <w:szCs w:val="18"/>
          <w:u w:val="single" w:color="auto"/>
          <w:color w:val="0000FF"/>
        </w:rPr>
        <w:t>Note 15 Investments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Advances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Note 18 Property, Plant and Equipment</w:t>
      </w:r>
      <w:r>
        <w:rPr>
          <w:rFonts w:ascii="Times New Roman" w:cs="Times New Roman" w:eastAsia="Times New Roman" w:hAnsi="Times New Roman"/>
          <w:sz w:val="18"/>
          <w:szCs w:val="18"/>
          <w:color w:val="000000"/>
        </w:rPr>
        <w:t>. Refer to Management’s Discussion and Analysis of Financial Condition and Results of Operations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for a discussion of the company’s </w:t>
      </w:r>
      <w:r>
        <w:rPr>
          <w:rFonts w:ascii="Times New Roman" w:cs="Times New Roman" w:eastAsia="Times New Roman" w:hAnsi="Times New Roman"/>
          <w:sz w:val="18"/>
          <w:szCs w:val="18"/>
          <w:u w:val="single" w:color="auto"/>
          <w:color w:val="0000FF"/>
        </w:rPr>
        <w:t>Capital Expenditures</w:t>
      </w:r>
      <w:r>
        <w:rPr>
          <w:rFonts w:ascii="Times New Roman" w:cs="Times New Roman" w:eastAsia="Times New Roman" w:hAnsi="Times New Roman"/>
          <w:sz w:val="18"/>
          <w:szCs w:val="18"/>
          <w:color w:val="000000"/>
        </w:rPr>
        <w:t>.</w:t>
      </w:r>
    </w:p>
    <w:p>
      <w:pPr>
        <w:spacing w:after="0" w:line="390" w:lineRule="exact"/>
        <w:rPr>
          <w:sz w:val="20"/>
          <w:szCs w:val="20"/>
          <w:color w:val="auto"/>
        </w:rPr>
      </w:pPr>
    </w:p>
    <w:p>
      <w:pPr>
        <w:ind w:left="83"/>
        <w:spacing w:after="0"/>
        <w:rPr>
          <w:sz w:val="20"/>
          <w:szCs w:val="20"/>
          <w:color w:val="auto"/>
        </w:rPr>
      </w:pPr>
      <w:r>
        <w:rPr>
          <w:rFonts w:ascii="Arial" w:cs="Arial" w:eastAsia="Arial" w:hAnsi="Arial"/>
          <w:sz w:val="18"/>
          <w:szCs w:val="18"/>
          <w:b w:val="1"/>
          <w:bCs w:val="1"/>
          <w:color w:val="0077C0"/>
        </w:rPr>
        <w:t>Upstream</w:t>
      </w:r>
    </w:p>
    <w:p>
      <w:pPr>
        <w:spacing w:after="0" w:line="131" w:lineRule="exact"/>
        <w:rPr>
          <w:sz w:val="20"/>
          <w:szCs w:val="20"/>
          <w:color w:val="auto"/>
        </w:rPr>
      </w:pPr>
    </w:p>
    <w:p>
      <w:pPr>
        <w:ind w:left="83"/>
        <w:spacing w:after="0"/>
        <w:rPr>
          <w:sz w:val="20"/>
          <w:szCs w:val="20"/>
          <w:color w:val="auto"/>
        </w:rPr>
      </w:pPr>
      <w:r>
        <w:rPr>
          <w:rFonts w:ascii="Arial" w:cs="Arial" w:eastAsia="Arial" w:hAnsi="Arial"/>
          <w:sz w:val="18"/>
          <w:szCs w:val="18"/>
          <w:color w:val="0077C0"/>
        </w:rPr>
        <w:t>Reserves</w:t>
      </w:r>
    </w:p>
    <w:p>
      <w:pPr>
        <w:spacing w:after="0" w:line="104" w:lineRule="exact"/>
        <w:rPr>
          <w:sz w:val="20"/>
          <w:szCs w:val="20"/>
          <w:color w:val="auto"/>
        </w:rPr>
      </w:pPr>
    </w:p>
    <w:p>
      <w:pPr>
        <w:jc w:val="both"/>
        <w:ind w:left="83"/>
        <w:spacing w:after="0" w:line="266"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u w:val="single" w:color="auto"/>
          <w:color w:val="0000FF"/>
        </w:rPr>
        <w:t>Table V</w:t>
      </w:r>
      <w:r>
        <w:rPr>
          <w:rFonts w:ascii="Times New Roman" w:cs="Times New Roman" w:eastAsia="Times New Roman" w:hAnsi="Times New Roman"/>
          <w:sz w:val="18"/>
          <w:szCs w:val="18"/>
          <w:color w:val="auto"/>
        </w:rPr>
        <w:t xml:space="preserve"> for a tabulation of the company’s proved reserves by geographic area for each year-end from 2022 through 2024. Reserves governance, technologies used in establishing proved reserves additions, and major changes to proved reserves by geographic area for the three-year period ended December 31, 2024, are summarized in the discussion for Table V. Discussion is also provided regarding the nature of, status of, and planned future activities associated with the development of proved undeveloped reserves. The company recognizes reserves for projects with various development periods, sometimes exceeding five years. The external factors that impact the duration of a project include scope and complexity, remoteness or adverse operating conditions, infrastructure constraints, and contractual limitations.</w:t>
      </w:r>
    </w:p>
    <w:p>
      <w:pPr>
        <w:spacing w:after="0" w:line="55" w:lineRule="exact"/>
        <w:rPr>
          <w:sz w:val="20"/>
          <w:szCs w:val="20"/>
          <w:color w:val="auto"/>
        </w:rPr>
      </w:pPr>
    </w:p>
    <w:p>
      <w:pPr>
        <w:jc w:val="both"/>
        <w:ind w:left="83"/>
        <w:spacing w:after="0" w:line="271" w:lineRule="auto"/>
        <w:rPr>
          <w:sz w:val="20"/>
          <w:szCs w:val="20"/>
          <w:color w:val="auto"/>
        </w:rPr>
      </w:pPr>
      <w:r>
        <w:rPr>
          <w:rFonts w:ascii="Times New Roman" w:cs="Times New Roman" w:eastAsia="Times New Roman" w:hAnsi="Times New Roman"/>
          <w:sz w:val="18"/>
          <w:szCs w:val="18"/>
          <w:color w:val="auto"/>
        </w:rPr>
        <w:t>The company’s proved reserves at year-end 2024 were approximately 9.8 billion barrels of oil-equivalent (BOE). The largest reductions from year-end 2023 were from record production and the sale of assets in Canada, and the largest additions were from extensions and discoveries in the Permian and DJ Basins. At December 31, 2024, 41 percent of the company’s net proved oil-equivalent reserves were located in the United States, 16 percent were located in Australia and 13 percent were located in Kazakhstan.</w:t>
      </w:r>
    </w:p>
    <w:p>
      <w:pPr>
        <w:spacing w:after="0" w:line="64" w:lineRule="exact"/>
        <w:rPr>
          <w:sz w:val="20"/>
          <w:szCs w:val="20"/>
          <w:color w:val="auto"/>
        </w:rPr>
      </w:pPr>
    </w:p>
    <w:p>
      <w:pPr>
        <w:ind w:left="83"/>
        <w:spacing w:after="0"/>
        <w:rPr>
          <w:sz w:val="20"/>
          <w:szCs w:val="20"/>
          <w:color w:val="auto"/>
        </w:rPr>
      </w:pPr>
      <w:r>
        <w:rPr>
          <w:rFonts w:ascii="Times New Roman" w:cs="Times New Roman" w:eastAsia="Times New Roman" w:hAnsi="Times New Roman"/>
          <w:sz w:val="18"/>
          <w:szCs w:val="18"/>
          <w:color w:val="auto"/>
        </w:rPr>
        <w:t>The net proved reserve balances at the end of each of the three years 2022 through 2024 are shown in the following table:</w:t>
      </w:r>
    </w:p>
    <w:p>
      <w:pPr>
        <w:spacing w:after="0" w:line="140" w:lineRule="exact"/>
        <w:rPr>
          <w:sz w:val="20"/>
          <w:szCs w:val="20"/>
          <w:color w:val="auto"/>
        </w:rPr>
      </w:pPr>
    </w:p>
    <w:tbl>
      <w:tblPr>
        <w:tblLayout w:type="fixed"/>
        <w:tblInd w:w="83" w:type="dxa"/>
        <w:tblCellMar>
          <w:top w:w="0" w:type="dxa"/>
          <w:left w:w="0" w:type="dxa"/>
          <w:bottom w:w="0" w:type="dxa"/>
          <w:right w:w="0" w:type="dxa"/>
        </w:tblCellMar>
      </w:tblPr>
      <w:tr>
        <w:trPr>
          <w:trHeight w:val="188"/>
        </w:trPr>
        <w:tc>
          <w:tcPr>
            <w:tcW w:w="68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At December 31</w:t>
            </w:r>
          </w:p>
        </w:tc>
      </w:tr>
      <w:tr>
        <w:trPr>
          <w:trHeight w:val="23"/>
        </w:trPr>
        <w:tc>
          <w:tcPr>
            <w:tcW w:w="6860" w:type="dxa"/>
            <w:vAlign w:val="bottom"/>
          </w:tcPr>
          <w:p>
            <w:pPr>
              <w:spacing w:after="0"/>
              <w:rPr>
                <w:sz w:val="2"/>
                <w:szCs w:val="2"/>
                <w:color w:val="auto"/>
              </w:rPr>
            </w:pPr>
          </w:p>
        </w:tc>
        <w:tc>
          <w:tcPr>
            <w:tcW w:w="1360" w:type="dxa"/>
            <w:vAlign w:val="bottom"/>
            <w:tcBorders>
              <w:bottom w:val="single" w:sz="8" w:color="0077C0"/>
            </w:tcBorders>
          </w:tcPr>
          <w:p>
            <w:pPr>
              <w:spacing w:after="0"/>
              <w:rPr>
                <w:sz w:val="2"/>
                <w:szCs w:val="2"/>
                <w:color w:val="auto"/>
              </w:rPr>
            </w:pPr>
          </w:p>
        </w:tc>
        <w:tc>
          <w:tcPr>
            <w:tcW w:w="1680" w:type="dxa"/>
            <w:vAlign w:val="bottom"/>
            <w:tcBorders>
              <w:bottom w:val="single" w:sz="8" w:color="0077C0"/>
            </w:tcBorders>
          </w:tcPr>
          <w:p>
            <w:pPr>
              <w:spacing w:after="0"/>
              <w:rPr>
                <w:sz w:val="2"/>
                <w:szCs w:val="2"/>
                <w:color w:val="auto"/>
              </w:rPr>
            </w:pPr>
          </w:p>
        </w:tc>
        <w:tc>
          <w:tcPr>
            <w:tcW w:w="1240" w:type="dxa"/>
            <w:vAlign w:val="bottom"/>
            <w:tcBorders>
              <w:bottom w:val="single" w:sz="8" w:color="0077C0"/>
            </w:tcBorders>
          </w:tcPr>
          <w:p>
            <w:pPr>
              <w:spacing w:after="0"/>
              <w:rPr>
                <w:sz w:val="2"/>
                <w:szCs w:val="2"/>
                <w:color w:val="auto"/>
              </w:rPr>
            </w:pPr>
          </w:p>
        </w:tc>
        <w:tc>
          <w:tcPr>
            <w:tcW w:w="100" w:type="dxa"/>
            <w:vAlign w:val="bottom"/>
            <w:tcBorders>
              <w:bottom w:val="single" w:sz="8" w:color="0077C0"/>
            </w:tcBorders>
          </w:tcPr>
          <w:p>
            <w:pPr>
              <w:spacing w:after="0"/>
              <w:rPr>
                <w:sz w:val="2"/>
                <w:szCs w:val="2"/>
                <w:color w:val="auto"/>
              </w:rPr>
            </w:pPr>
          </w:p>
        </w:tc>
      </w:tr>
      <w:tr>
        <w:trPr>
          <w:trHeight w:val="190"/>
        </w:trPr>
        <w:tc>
          <w:tcPr>
            <w:tcW w:w="6860" w:type="dxa"/>
            <w:vAlign w:val="bottom"/>
            <w:tcBorders>
              <w:bottom w:val="single" w:sz="8" w:color="0077C0"/>
            </w:tcBorders>
          </w:tcPr>
          <w:p>
            <w:pPr>
              <w:spacing w:after="0"/>
              <w:rPr>
                <w:sz w:val="16"/>
                <w:szCs w:val="16"/>
                <w:color w:val="auto"/>
              </w:rPr>
            </w:pPr>
          </w:p>
        </w:tc>
        <w:tc>
          <w:tcPr>
            <w:tcW w:w="13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80" w:type="dxa"/>
            <w:vAlign w:val="bottom"/>
            <w:tcBorders>
              <w:bottom w:val="single" w:sz="8" w:color="0077C0"/>
            </w:tcBorders>
          </w:tcPr>
          <w:p>
            <w:pPr>
              <w:jc w:val="right"/>
              <w:ind w:right="168"/>
              <w:spacing w:after="0"/>
              <w:rPr>
                <w:sz w:val="20"/>
                <w:szCs w:val="20"/>
                <w:color w:val="auto"/>
              </w:rPr>
            </w:pPr>
            <w:r>
              <w:rPr>
                <w:rFonts w:ascii="Times New Roman" w:cs="Times New Roman" w:eastAsia="Times New Roman" w:hAnsi="Times New Roman"/>
                <w:sz w:val="14"/>
                <w:szCs w:val="14"/>
                <w:color w:val="auto"/>
              </w:rPr>
              <w:t>2023</w:t>
            </w:r>
          </w:p>
        </w:tc>
        <w:tc>
          <w:tcPr>
            <w:tcW w:w="12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0077C0"/>
            </w:tcBorders>
          </w:tcPr>
          <w:p>
            <w:pPr>
              <w:spacing w:after="0"/>
              <w:rPr>
                <w:sz w:val="16"/>
                <w:szCs w:val="16"/>
                <w:color w:val="auto"/>
              </w:rPr>
            </w:pPr>
          </w:p>
        </w:tc>
      </w:tr>
      <w:tr>
        <w:trPr>
          <w:trHeight w:val="188"/>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Crude Oil, Condensate and Synthetic Oil — Millions of barrels</w:t>
            </w:r>
          </w:p>
        </w:tc>
        <w:tc>
          <w:tcPr>
            <w:tcW w:w="1360" w:type="dxa"/>
            <w:vAlign w:val="bottom"/>
            <w:tcBorders>
              <w:right w:val="single" w:sz="8" w:color="0077C0"/>
            </w:tcBorders>
          </w:tcPr>
          <w:p>
            <w:pPr>
              <w:spacing w:after="0"/>
              <w:rPr>
                <w:sz w:val="16"/>
                <w:szCs w:val="16"/>
                <w:color w:val="auto"/>
              </w:rPr>
            </w:pPr>
          </w:p>
        </w:tc>
        <w:tc>
          <w:tcPr>
            <w:tcW w:w="16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3"/>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Consolidated Companies</w:t>
            </w:r>
          </w:p>
        </w:tc>
        <w:tc>
          <w:tcPr>
            <w:tcW w:w="136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3,027</w:t>
            </w:r>
          </w:p>
        </w:tc>
        <w:tc>
          <w:tcPr>
            <w:tcW w:w="16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3,770</w:t>
            </w: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3,868</w:t>
            </w:r>
          </w:p>
        </w:tc>
        <w:tc>
          <w:tcPr>
            <w:tcW w:w="100" w:type="dxa"/>
            <w:vAlign w:val="bottom"/>
          </w:tcPr>
          <w:p>
            <w:pPr>
              <w:spacing w:after="0"/>
              <w:rPr>
                <w:sz w:val="16"/>
                <w:szCs w:val="16"/>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Affiliated Companies</w:t>
            </w:r>
          </w:p>
        </w:tc>
        <w:tc>
          <w:tcPr>
            <w:tcW w:w="136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889</w:t>
            </w:r>
          </w:p>
        </w:tc>
        <w:tc>
          <w:tcPr>
            <w:tcW w:w="16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1,007</w:t>
            </w: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1,129</w:t>
            </w:r>
          </w:p>
        </w:tc>
        <w:tc>
          <w:tcPr>
            <w:tcW w:w="100" w:type="dxa"/>
            <w:vAlign w:val="bottom"/>
          </w:tcPr>
          <w:p>
            <w:pPr>
              <w:spacing w:after="0"/>
              <w:rPr>
                <w:sz w:val="17"/>
                <w:szCs w:val="17"/>
                <w:color w:val="auto"/>
              </w:rPr>
            </w:pPr>
          </w:p>
        </w:tc>
      </w:tr>
      <w:tr>
        <w:trPr>
          <w:trHeight w:val="23"/>
        </w:trPr>
        <w:tc>
          <w:tcPr>
            <w:tcW w:w="6860" w:type="dxa"/>
            <w:vAlign w:val="bottom"/>
            <w:tcBorders>
              <w:bottom w:val="single" w:sz="8" w:color="0077C0"/>
            </w:tcBorders>
          </w:tcPr>
          <w:p>
            <w:pPr>
              <w:spacing w:after="0"/>
              <w:rPr>
                <w:sz w:val="2"/>
                <w:szCs w:val="2"/>
                <w:color w:val="auto"/>
              </w:rPr>
            </w:pPr>
          </w:p>
        </w:tc>
        <w:tc>
          <w:tcPr>
            <w:tcW w:w="1360" w:type="dxa"/>
            <w:vAlign w:val="bottom"/>
            <w:tcBorders>
              <w:bottom w:val="single" w:sz="8" w:color="0077C0"/>
              <w:right w:val="single" w:sz="8" w:color="0077C0"/>
            </w:tcBorders>
          </w:tcPr>
          <w:p>
            <w:pPr>
              <w:spacing w:after="0"/>
              <w:rPr>
                <w:sz w:val="2"/>
                <w:szCs w:val="2"/>
                <w:color w:val="auto"/>
              </w:rPr>
            </w:pPr>
          </w:p>
        </w:tc>
        <w:tc>
          <w:tcPr>
            <w:tcW w:w="1680" w:type="dxa"/>
            <w:vAlign w:val="bottom"/>
            <w:tcBorders>
              <w:bottom w:val="single" w:sz="8" w:color="0077C0"/>
            </w:tcBorders>
          </w:tcPr>
          <w:p>
            <w:pPr>
              <w:spacing w:after="0"/>
              <w:rPr>
                <w:sz w:val="2"/>
                <w:szCs w:val="2"/>
                <w:color w:val="auto"/>
              </w:rPr>
            </w:pPr>
          </w:p>
        </w:tc>
        <w:tc>
          <w:tcPr>
            <w:tcW w:w="1240" w:type="dxa"/>
            <w:vAlign w:val="bottom"/>
            <w:tcBorders>
              <w:bottom w:val="single" w:sz="8" w:color="0077C0"/>
            </w:tcBorders>
          </w:tcPr>
          <w:p>
            <w:pPr>
              <w:spacing w:after="0"/>
              <w:rPr>
                <w:sz w:val="2"/>
                <w:szCs w:val="2"/>
                <w:color w:val="auto"/>
              </w:rPr>
            </w:pPr>
          </w:p>
        </w:tc>
        <w:tc>
          <w:tcPr>
            <w:tcW w:w="100" w:type="dxa"/>
            <w:vAlign w:val="bottom"/>
            <w:tcBorders>
              <w:bottom w:val="single" w:sz="8" w:color="0077C0"/>
            </w:tcBorders>
          </w:tcPr>
          <w:p>
            <w:pPr>
              <w:spacing w:after="0"/>
              <w:rPr>
                <w:sz w:val="2"/>
                <w:szCs w:val="2"/>
                <w:color w:val="auto"/>
              </w:rPr>
            </w:pPr>
          </w:p>
        </w:tc>
      </w:tr>
      <w:tr>
        <w:trPr>
          <w:trHeight w:val="190"/>
        </w:trPr>
        <w:tc>
          <w:tcPr>
            <w:tcW w:w="68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Crude Oil, Condensate and Synthetic Oil</w:t>
            </w:r>
          </w:p>
        </w:tc>
        <w:tc>
          <w:tcPr>
            <w:tcW w:w="136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3,916</w:t>
            </w:r>
          </w:p>
        </w:tc>
        <w:tc>
          <w:tcPr>
            <w:tcW w:w="1680" w:type="dxa"/>
            <w:vAlign w:val="bottom"/>
            <w:tcBorders>
              <w:bottom w:val="single" w:sz="8" w:color="0077C0"/>
            </w:tcBorders>
          </w:tcPr>
          <w:p>
            <w:pPr>
              <w:jc w:val="right"/>
              <w:ind w:right="208"/>
              <w:spacing w:after="0"/>
              <w:rPr>
                <w:sz w:val="20"/>
                <w:szCs w:val="20"/>
                <w:color w:val="auto"/>
              </w:rPr>
            </w:pPr>
            <w:r>
              <w:rPr>
                <w:rFonts w:ascii="Times New Roman" w:cs="Times New Roman" w:eastAsia="Times New Roman" w:hAnsi="Times New Roman"/>
                <w:sz w:val="14"/>
                <w:szCs w:val="14"/>
                <w:color w:val="auto"/>
              </w:rPr>
              <w:t>4,777</w:t>
            </w:r>
          </w:p>
        </w:tc>
        <w:tc>
          <w:tcPr>
            <w:tcW w:w="124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4,997</w:t>
            </w:r>
          </w:p>
        </w:tc>
        <w:tc>
          <w:tcPr>
            <w:tcW w:w="100" w:type="dxa"/>
            <w:vAlign w:val="bottom"/>
            <w:tcBorders>
              <w:bottom w:val="single" w:sz="8" w:color="0077C0"/>
            </w:tcBorders>
          </w:tcPr>
          <w:p>
            <w:pPr>
              <w:spacing w:after="0"/>
              <w:rPr>
                <w:sz w:val="16"/>
                <w:szCs w:val="16"/>
                <w:color w:val="auto"/>
              </w:rPr>
            </w:pPr>
          </w:p>
        </w:tc>
      </w:tr>
      <w:tr>
        <w:trPr>
          <w:trHeight w:val="188"/>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Natural Gas Liquids — Millions of barrels</w:t>
            </w:r>
          </w:p>
        </w:tc>
        <w:tc>
          <w:tcPr>
            <w:tcW w:w="1360" w:type="dxa"/>
            <w:vAlign w:val="bottom"/>
            <w:tcBorders>
              <w:right w:val="single" w:sz="8" w:color="0077C0"/>
            </w:tcBorders>
          </w:tcPr>
          <w:p>
            <w:pPr>
              <w:spacing w:after="0"/>
              <w:rPr>
                <w:sz w:val="16"/>
                <w:szCs w:val="16"/>
                <w:color w:val="auto"/>
              </w:rPr>
            </w:pPr>
          </w:p>
        </w:tc>
        <w:tc>
          <w:tcPr>
            <w:tcW w:w="16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3"/>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Consolidated Companies</w:t>
            </w:r>
          </w:p>
        </w:tc>
        <w:tc>
          <w:tcPr>
            <w:tcW w:w="136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1,075</w:t>
            </w:r>
          </w:p>
        </w:tc>
        <w:tc>
          <w:tcPr>
            <w:tcW w:w="16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1,138</w:t>
            </w: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1,002</w:t>
            </w:r>
          </w:p>
        </w:tc>
        <w:tc>
          <w:tcPr>
            <w:tcW w:w="100" w:type="dxa"/>
            <w:vAlign w:val="bottom"/>
          </w:tcPr>
          <w:p>
            <w:pPr>
              <w:spacing w:after="0"/>
              <w:rPr>
                <w:sz w:val="16"/>
                <w:szCs w:val="16"/>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Affiliated Companies</w:t>
            </w:r>
          </w:p>
        </w:tc>
        <w:tc>
          <w:tcPr>
            <w:tcW w:w="136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84</w:t>
            </w:r>
          </w:p>
        </w:tc>
        <w:tc>
          <w:tcPr>
            <w:tcW w:w="16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91</w:t>
            </w: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7"/>
                <w:szCs w:val="17"/>
                <w:color w:val="auto"/>
              </w:rPr>
            </w:pPr>
          </w:p>
        </w:tc>
      </w:tr>
      <w:tr>
        <w:trPr>
          <w:trHeight w:val="23"/>
        </w:trPr>
        <w:tc>
          <w:tcPr>
            <w:tcW w:w="6860" w:type="dxa"/>
            <w:vAlign w:val="bottom"/>
            <w:tcBorders>
              <w:bottom w:val="single" w:sz="8" w:color="0077C0"/>
            </w:tcBorders>
          </w:tcPr>
          <w:p>
            <w:pPr>
              <w:spacing w:after="0"/>
              <w:rPr>
                <w:sz w:val="2"/>
                <w:szCs w:val="2"/>
                <w:color w:val="auto"/>
              </w:rPr>
            </w:pPr>
          </w:p>
        </w:tc>
        <w:tc>
          <w:tcPr>
            <w:tcW w:w="1360" w:type="dxa"/>
            <w:vAlign w:val="bottom"/>
            <w:tcBorders>
              <w:bottom w:val="single" w:sz="8" w:color="0077C0"/>
              <w:right w:val="single" w:sz="8" w:color="0077C0"/>
            </w:tcBorders>
          </w:tcPr>
          <w:p>
            <w:pPr>
              <w:spacing w:after="0"/>
              <w:rPr>
                <w:sz w:val="2"/>
                <w:szCs w:val="2"/>
                <w:color w:val="auto"/>
              </w:rPr>
            </w:pPr>
          </w:p>
        </w:tc>
        <w:tc>
          <w:tcPr>
            <w:tcW w:w="1680" w:type="dxa"/>
            <w:vAlign w:val="bottom"/>
            <w:tcBorders>
              <w:bottom w:val="single" w:sz="8" w:color="0077C0"/>
            </w:tcBorders>
          </w:tcPr>
          <w:p>
            <w:pPr>
              <w:spacing w:after="0"/>
              <w:rPr>
                <w:sz w:val="2"/>
                <w:szCs w:val="2"/>
                <w:color w:val="auto"/>
              </w:rPr>
            </w:pPr>
          </w:p>
        </w:tc>
        <w:tc>
          <w:tcPr>
            <w:tcW w:w="1240" w:type="dxa"/>
            <w:vAlign w:val="bottom"/>
            <w:tcBorders>
              <w:bottom w:val="single" w:sz="8" w:color="0077C0"/>
            </w:tcBorders>
          </w:tcPr>
          <w:p>
            <w:pPr>
              <w:spacing w:after="0"/>
              <w:rPr>
                <w:sz w:val="2"/>
                <w:szCs w:val="2"/>
                <w:color w:val="auto"/>
              </w:rPr>
            </w:pPr>
          </w:p>
        </w:tc>
        <w:tc>
          <w:tcPr>
            <w:tcW w:w="100" w:type="dxa"/>
            <w:vAlign w:val="bottom"/>
          </w:tcPr>
          <w:p>
            <w:pPr>
              <w:spacing w:after="0"/>
              <w:rPr>
                <w:sz w:val="2"/>
                <w:szCs w:val="2"/>
                <w:color w:val="auto"/>
              </w:rPr>
            </w:pPr>
          </w:p>
        </w:tc>
      </w:tr>
      <w:tr>
        <w:trPr>
          <w:trHeight w:val="190"/>
        </w:trPr>
        <w:tc>
          <w:tcPr>
            <w:tcW w:w="68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Natural Gas Liquids</w:t>
            </w:r>
          </w:p>
        </w:tc>
        <w:tc>
          <w:tcPr>
            <w:tcW w:w="136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1,159</w:t>
            </w:r>
          </w:p>
        </w:tc>
        <w:tc>
          <w:tcPr>
            <w:tcW w:w="1680" w:type="dxa"/>
            <w:vAlign w:val="bottom"/>
            <w:tcBorders>
              <w:bottom w:val="single" w:sz="8" w:color="0077C0"/>
            </w:tcBorders>
          </w:tcPr>
          <w:p>
            <w:pPr>
              <w:jc w:val="right"/>
              <w:ind w:right="208"/>
              <w:spacing w:after="0"/>
              <w:rPr>
                <w:sz w:val="20"/>
                <w:szCs w:val="20"/>
                <w:color w:val="auto"/>
              </w:rPr>
            </w:pPr>
            <w:r>
              <w:rPr>
                <w:rFonts w:ascii="Times New Roman" w:cs="Times New Roman" w:eastAsia="Times New Roman" w:hAnsi="Times New Roman"/>
                <w:sz w:val="14"/>
                <w:szCs w:val="14"/>
                <w:color w:val="auto"/>
              </w:rPr>
              <w:t>1,229</w:t>
            </w:r>
          </w:p>
        </w:tc>
        <w:tc>
          <w:tcPr>
            <w:tcW w:w="124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1,088</w:t>
            </w:r>
          </w:p>
        </w:tc>
        <w:tc>
          <w:tcPr>
            <w:tcW w:w="100" w:type="dxa"/>
            <w:vAlign w:val="bottom"/>
          </w:tcPr>
          <w:p>
            <w:pPr>
              <w:spacing w:after="0"/>
              <w:rPr>
                <w:sz w:val="16"/>
                <w:szCs w:val="16"/>
                <w:color w:val="auto"/>
              </w:rPr>
            </w:pPr>
          </w:p>
        </w:tc>
      </w:tr>
      <w:tr>
        <w:trPr>
          <w:trHeight w:val="188"/>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Natural Gas — Billions of cubic feet</w:t>
            </w:r>
          </w:p>
        </w:tc>
        <w:tc>
          <w:tcPr>
            <w:tcW w:w="1360" w:type="dxa"/>
            <w:vAlign w:val="bottom"/>
            <w:tcBorders>
              <w:right w:val="single" w:sz="8" w:color="0077C0"/>
            </w:tcBorders>
          </w:tcPr>
          <w:p>
            <w:pPr>
              <w:spacing w:after="0"/>
              <w:rPr>
                <w:sz w:val="16"/>
                <w:szCs w:val="16"/>
                <w:color w:val="auto"/>
              </w:rPr>
            </w:pPr>
          </w:p>
        </w:tc>
        <w:tc>
          <w:tcPr>
            <w:tcW w:w="16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3"/>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Consolidated Companies</w:t>
            </w:r>
          </w:p>
        </w:tc>
        <w:tc>
          <w:tcPr>
            <w:tcW w:w="136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26,526</w:t>
            </w:r>
          </w:p>
        </w:tc>
        <w:tc>
          <w:tcPr>
            <w:tcW w:w="16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28,318</w:t>
            </w: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28,765</w:t>
            </w:r>
          </w:p>
        </w:tc>
        <w:tc>
          <w:tcPr>
            <w:tcW w:w="100" w:type="dxa"/>
            <w:vAlign w:val="bottom"/>
          </w:tcPr>
          <w:p>
            <w:pPr>
              <w:spacing w:after="0"/>
              <w:rPr>
                <w:sz w:val="16"/>
                <w:szCs w:val="16"/>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Affiliated Companies</w:t>
            </w:r>
          </w:p>
        </w:tc>
        <w:tc>
          <w:tcPr>
            <w:tcW w:w="136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1,849</w:t>
            </w:r>
          </w:p>
        </w:tc>
        <w:tc>
          <w:tcPr>
            <w:tcW w:w="16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2,063</w:t>
            </w: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2,099</w:t>
            </w:r>
          </w:p>
        </w:tc>
        <w:tc>
          <w:tcPr>
            <w:tcW w:w="100" w:type="dxa"/>
            <w:vAlign w:val="bottom"/>
          </w:tcPr>
          <w:p>
            <w:pPr>
              <w:spacing w:after="0"/>
              <w:rPr>
                <w:sz w:val="17"/>
                <w:szCs w:val="17"/>
                <w:color w:val="auto"/>
              </w:rPr>
            </w:pPr>
          </w:p>
        </w:tc>
      </w:tr>
      <w:tr>
        <w:trPr>
          <w:trHeight w:val="23"/>
        </w:trPr>
        <w:tc>
          <w:tcPr>
            <w:tcW w:w="6860" w:type="dxa"/>
            <w:vAlign w:val="bottom"/>
            <w:tcBorders>
              <w:bottom w:val="single" w:sz="8" w:color="0077C0"/>
            </w:tcBorders>
          </w:tcPr>
          <w:p>
            <w:pPr>
              <w:spacing w:after="0"/>
              <w:rPr>
                <w:sz w:val="2"/>
                <w:szCs w:val="2"/>
                <w:color w:val="auto"/>
              </w:rPr>
            </w:pPr>
          </w:p>
        </w:tc>
        <w:tc>
          <w:tcPr>
            <w:tcW w:w="1360" w:type="dxa"/>
            <w:vAlign w:val="bottom"/>
            <w:tcBorders>
              <w:bottom w:val="single" w:sz="8" w:color="0077C0"/>
              <w:right w:val="single" w:sz="8" w:color="0077C0"/>
            </w:tcBorders>
          </w:tcPr>
          <w:p>
            <w:pPr>
              <w:spacing w:after="0"/>
              <w:rPr>
                <w:sz w:val="2"/>
                <w:szCs w:val="2"/>
                <w:color w:val="auto"/>
              </w:rPr>
            </w:pPr>
          </w:p>
        </w:tc>
        <w:tc>
          <w:tcPr>
            <w:tcW w:w="1680" w:type="dxa"/>
            <w:vAlign w:val="bottom"/>
            <w:tcBorders>
              <w:bottom w:val="single" w:sz="8" w:color="0077C0"/>
            </w:tcBorders>
          </w:tcPr>
          <w:p>
            <w:pPr>
              <w:spacing w:after="0"/>
              <w:rPr>
                <w:sz w:val="2"/>
                <w:szCs w:val="2"/>
                <w:color w:val="auto"/>
              </w:rPr>
            </w:pPr>
          </w:p>
        </w:tc>
        <w:tc>
          <w:tcPr>
            <w:tcW w:w="1240" w:type="dxa"/>
            <w:vAlign w:val="bottom"/>
            <w:tcBorders>
              <w:bottom w:val="single" w:sz="8" w:color="0077C0"/>
            </w:tcBorders>
          </w:tcPr>
          <w:p>
            <w:pPr>
              <w:spacing w:after="0"/>
              <w:rPr>
                <w:sz w:val="2"/>
                <w:szCs w:val="2"/>
                <w:color w:val="auto"/>
              </w:rPr>
            </w:pPr>
          </w:p>
        </w:tc>
        <w:tc>
          <w:tcPr>
            <w:tcW w:w="100" w:type="dxa"/>
            <w:vAlign w:val="bottom"/>
            <w:tcBorders>
              <w:bottom w:val="single" w:sz="8" w:color="0077C0"/>
            </w:tcBorders>
          </w:tcPr>
          <w:p>
            <w:pPr>
              <w:spacing w:after="0"/>
              <w:rPr>
                <w:sz w:val="2"/>
                <w:szCs w:val="2"/>
                <w:color w:val="auto"/>
              </w:rPr>
            </w:pPr>
          </w:p>
        </w:tc>
      </w:tr>
      <w:tr>
        <w:trPr>
          <w:trHeight w:val="190"/>
        </w:trPr>
        <w:tc>
          <w:tcPr>
            <w:tcW w:w="68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Natural Gas</w:t>
            </w:r>
          </w:p>
        </w:tc>
        <w:tc>
          <w:tcPr>
            <w:tcW w:w="136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28,375</w:t>
            </w:r>
          </w:p>
        </w:tc>
        <w:tc>
          <w:tcPr>
            <w:tcW w:w="1680" w:type="dxa"/>
            <w:vAlign w:val="bottom"/>
            <w:tcBorders>
              <w:bottom w:val="single" w:sz="8" w:color="0077C0"/>
            </w:tcBorders>
          </w:tcPr>
          <w:p>
            <w:pPr>
              <w:jc w:val="right"/>
              <w:ind w:right="208"/>
              <w:spacing w:after="0"/>
              <w:rPr>
                <w:sz w:val="20"/>
                <w:szCs w:val="20"/>
                <w:color w:val="auto"/>
              </w:rPr>
            </w:pPr>
            <w:r>
              <w:rPr>
                <w:rFonts w:ascii="Times New Roman" w:cs="Times New Roman" w:eastAsia="Times New Roman" w:hAnsi="Times New Roman"/>
                <w:sz w:val="14"/>
                <w:szCs w:val="14"/>
                <w:color w:val="auto"/>
              </w:rPr>
              <w:t>30,381</w:t>
            </w:r>
          </w:p>
        </w:tc>
        <w:tc>
          <w:tcPr>
            <w:tcW w:w="124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30,864</w:t>
            </w:r>
          </w:p>
        </w:tc>
        <w:tc>
          <w:tcPr>
            <w:tcW w:w="100" w:type="dxa"/>
            <w:vAlign w:val="bottom"/>
            <w:tcBorders>
              <w:bottom w:val="single" w:sz="8" w:color="0077C0"/>
            </w:tcBorders>
          </w:tcPr>
          <w:p>
            <w:pPr>
              <w:spacing w:after="0"/>
              <w:rPr>
                <w:sz w:val="16"/>
                <w:szCs w:val="16"/>
                <w:color w:val="auto"/>
              </w:rPr>
            </w:pPr>
          </w:p>
        </w:tc>
      </w:tr>
      <w:tr>
        <w:trPr>
          <w:trHeight w:val="191"/>
        </w:trPr>
        <w:tc>
          <w:tcPr>
            <w:tcW w:w="6860" w:type="dxa"/>
            <w:vAlign w:val="bottom"/>
          </w:tcPr>
          <w:p>
            <w:pPr>
              <w:ind w:left="20"/>
              <w:spacing w:after="0" w:line="191" w:lineRule="exact"/>
              <w:rPr>
                <w:sz w:val="20"/>
                <w:szCs w:val="20"/>
                <w:color w:val="auto"/>
              </w:rPr>
            </w:pPr>
            <w:r>
              <w:rPr>
                <w:rFonts w:ascii="Times New Roman" w:cs="Times New Roman" w:eastAsia="Times New Roman" w:hAnsi="Times New Roman"/>
                <w:sz w:val="14"/>
                <w:szCs w:val="14"/>
                <w:color w:val="auto"/>
              </w:rPr>
              <w:t>Oil-Equivalent — Millions of barrels</w:t>
            </w:r>
            <w:r>
              <w:rPr>
                <w:rFonts w:ascii="Times New Roman" w:cs="Times New Roman" w:eastAsia="Times New Roman" w:hAnsi="Times New Roman"/>
                <w:sz w:val="18"/>
                <w:szCs w:val="18"/>
                <w:color w:val="auto"/>
                <w:vertAlign w:val="superscript"/>
              </w:rPr>
              <w:t>*</w:t>
            </w:r>
          </w:p>
        </w:tc>
        <w:tc>
          <w:tcPr>
            <w:tcW w:w="1360" w:type="dxa"/>
            <w:vAlign w:val="bottom"/>
            <w:tcBorders>
              <w:right w:val="single" w:sz="8" w:color="0077C0"/>
            </w:tcBorders>
          </w:tcPr>
          <w:p>
            <w:pPr>
              <w:spacing w:after="0"/>
              <w:rPr>
                <w:sz w:val="16"/>
                <w:szCs w:val="16"/>
                <w:color w:val="auto"/>
              </w:rPr>
            </w:pPr>
          </w:p>
        </w:tc>
        <w:tc>
          <w:tcPr>
            <w:tcW w:w="16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Consolidated Companies</w:t>
            </w:r>
          </w:p>
        </w:tc>
        <w:tc>
          <w:tcPr>
            <w:tcW w:w="136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8,523</w:t>
            </w:r>
          </w:p>
        </w:tc>
        <w:tc>
          <w:tcPr>
            <w:tcW w:w="16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9,628</w:t>
            </w: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9,664</w:t>
            </w:r>
          </w:p>
        </w:tc>
        <w:tc>
          <w:tcPr>
            <w:tcW w:w="100" w:type="dxa"/>
            <w:vAlign w:val="bottom"/>
          </w:tcPr>
          <w:p>
            <w:pPr>
              <w:spacing w:after="0"/>
              <w:rPr>
                <w:sz w:val="16"/>
                <w:szCs w:val="16"/>
                <w:color w:val="auto"/>
              </w:rPr>
            </w:pPr>
          </w:p>
        </w:tc>
      </w:tr>
      <w:tr>
        <w:trPr>
          <w:trHeight w:val="202"/>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Affiliated Companies</w:t>
            </w:r>
          </w:p>
        </w:tc>
        <w:tc>
          <w:tcPr>
            <w:tcW w:w="136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1,281</w:t>
            </w:r>
          </w:p>
        </w:tc>
        <w:tc>
          <w:tcPr>
            <w:tcW w:w="16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1,441</w:t>
            </w: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1,565</w:t>
            </w:r>
          </w:p>
        </w:tc>
        <w:tc>
          <w:tcPr>
            <w:tcW w:w="100" w:type="dxa"/>
            <w:vAlign w:val="bottom"/>
          </w:tcPr>
          <w:p>
            <w:pPr>
              <w:spacing w:after="0"/>
              <w:rPr>
                <w:sz w:val="17"/>
                <w:szCs w:val="17"/>
                <w:color w:val="auto"/>
              </w:rPr>
            </w:pPr>
          </w:p>
        </w:tc>
      </w:tr>
      <w:tr>
        <w:trPr>
          <w:trHeight w:val="23"/>
        </w:trPr>
        <w:tc>
          <w:tcPr>
            <w:tcW w:w="6860" w:type="dxa"/>
            <w:vAlign w:val="bottom"/>
            <w:tcBorders>
              <w:bottom w:val="single" w:sz="8" w:color="0077C0"/>
            </w:tcBorders>
          </w:tcPr>
          <w:p>
            <w:pPr>
              <w:spacing w:after="0"/>
              <w:rPr>
                <w:sz w:val="2"/>
                <w:szCs w:val="2"/>
                <w:color w:val="auto"/>
              </w:rPr>
            </w:pPr>
          </w:p>
        </w:tc>
        <w:tc>
          <w:tcPr>
            <w:tcW w:w="1360" w:type="dxa"/>
            <w:vAlign w:val="bottom"/>
            <w:tcBorders>
              <w:bottom w:val="single" w:sz="8" w:color="0077C0"/>
              <w:right w:val="single" w:sz="8" w:color="0077C0"/>
            </w:tcBorders>
          </w:tcPr>
          <w:p>
            <w:pPr>
              <w:spacing w:after="0"/>
              <w:rPr>
                <w:sz w:val="2"/>
                <w:szCs w:val="2"/>
                <w:color w:val="auto"/>
              </w:rPr>
            </w:pPr>
          </w:p>
        </w:tc>
        <w:tc>
          <w:tcPr>
            <w:tcW w:w="1680" w:type="dxa"/>
            <w:vAlign w:val="bottom"/>
            <w:tcBorders>
              <w:bottom w:val="single" w:sz="8" w:color="0077C0"/>
            </w:tcBorders>
          </w:tcPr>
          <w:p>
            <w:pPr>
              <w:spacing w:after="0"/>
              <w:rPr>
                <w:sz w:val="2"/>
                <w:szCs w:val="2"/>
                <w:color w:val="auto"/>
              </w:rPr>
            </w:pPr>
          </w:p>
        </w:tc>
        <w:tc>
          <w:tcPr>
            <w:tcW w:w="1240" w:type="dxa"/>
            <w:vAlign w:val="bottom"/>
            <w:tcBorders>
              <w:bottom w:val="single" w:sz="8" w:color="0077C0"/>
            </w:tcBorders>
          </w:tcPr>
          <w:p>
            <w:pPr>
              <w:spacing w:after="0"/>
              <w:rPr>
                <w:sz w:val="2"/>
                <w:szCs w:val="2"/>
                <w:color w:val="auto"/>
              </w:rPr>
            </w:pPr>
          </w:p>
        </w:tc>
        <w:tc>
          <w:tcPr>
            <w:tcW w:w="100" w:type="dxa"/>
            <w:vAlign w:val="bottom"/>
            <w:tcBorders>
              <w:bottom w:val="single" w:sz="8" w:color="0077C0"/>
            </w:tcBorders>
          </w:tcPr>
          <w:p>
            <w:pPr>
              <w:spacing w:after="0"/>
              <w:rPr>
                <w:sz w:val="2"/>
                <w:szCs w:val="2"/>
                <w:color w:val="auto"/>
              </w:rPr>
            </w:pPr>
          </w:p>
        </w:tc>
      </w:tr>
      <w:tr>
        <w:trPr>
          <w:trHeight w:val="190"/>
        </w:trPr>
        <w:tc>
          <w:tcPr>
            <w:tcW w:w="68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Oil-Equivalent</w:t>
            </w:r>
          </w:p>
        </w:tc>
        <w:tc>
          <w:tcPr>
            <w:tcW w:w="136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9,804</w:t>
            </w:r>
          </w:p>
        </w:tc>
        <w:tc>
          <w:tcPr>
            <w:tcW w:w="1680" w:type="dxa"/>
            <w:vAlign w:val="bottom"/>
            <w:tcBorders>
              <w:bottom w:val="single" w:sz="8" w:color="0077C0"/>
            </w:tcBorders>
          </w:tcPr>
          <w:p>
            <w:pPr>
              <w:jc w:val="right"/>
              <w:ind w:right="208"/>
              <w:spacing w:after="0"/>
              <w:rPr>
                <w:sz w:val="20"/>
                <w:szCs w:val="20"/>
                <w:color w:val="auto"/>
              </w:rPr>
            </w:pPr>
            <w:r>
              <w:rPr>
                <w:rFonts w:ascii="Times New Roman" w:cs="Times New Roman" w:eastAsia="Times New Roman" w:hAnsi="Times New Roman"/>
                <w:sz w:val="14"/>
                <w:szCs w:val="14"/>
                <w:color w:val="auto"/>
              </w:rPr>
              <w:t>11,069</w:t>
            </w:r>
          </w:p>
        </w:tc>
        <w:tc>
          <w:tcPr>
            <w:tcW w:w="124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11,229</w:t>
            </w:r>
          </w:p>
        </w:tc>
        <w:tc>
          <w:tcPr>
            <w:tcW w:w="100" w:type="dxa"/>
            <w:vAlign w:val="bottom"/>
            <w:tcBorders>
              <w:bottom w:val="single" w:sz="8" w:color="0077C0"/>
            </w:tcBorders>
          </w:tcPr>
          <w:p>
            <w:pPr>
              <w:spacing w:after="0"/>
              <w:rPr>
                <w:sz w:val="16"/>
                <w:szCs w:val="16"/>
                <w:color w:val="auto"/>
              </w:rPr>
            </w:pPr>
          </w:p>
        </w:tc>
      </w:tr>
    </w:tbl>
    <w:p>
      <w:pPr>
        <w:spacing w:after="0" w:line="72" w:lineRule="exact"/>
        <w:rPr>
          <w:sz w:val="20"/>
          <w:szCs w:val="20"/>
          <w:color w:val="auto"/>
        </w:rPr>
      </w:pPr>
    </w:p>
    <w:p>
      <w:pPr>
        <w:ind w:left="163" w:hanging="72"/>
        <w:spacing w:after="0"/>
        <w:tabs>
          <w:tab w:leader="none" w:pos="163" w:val="left"/>
        </w:tabs>
        <w:numPr>
          <w:ilvl w:val="0"/>
          <w:numId w:val="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Oil-equivalent conversion ratio is 6,000 cubic feet of natural gas = 1 barrel of crude oil</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120650</wp:posOffset>
            </wp:positionV>
            <wp:extent cx="1714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14" w:lineRule="exact"/>
        <w:rPr>
          <w:sz w:val="20"/>
          <w:szCs w:val="20"/>
          <w:color w:val="auto"/>
        </w:rPr>
      </w:pPr>
    </w:p>
    <w:p>
      <w:pPr>
        <w:jc w:val="both"/>
        <w:ind w:left="83" w:hanging="83"/>
        <w:spacing w:after="0" w:line="210" w:lineRule="auto"/>
        <w:tabs>
          <w:tab w:leader="none" w:pos="9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As used in this report, the term “project” may describe certain new upstream development activity, individual phases in a multiphase development, maintenance activities, existing assets, new investments in downstream and chemicals capacity, investments in emerging and lower carbon activities, and other activities. All of these terms are used for convenience only and are not intended as a precise description of the term “project” as it relates to any specific governmental law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82"/>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67945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3"/>
          </w:cols>
          <w:pgMar w:left="237" w:top="414" w:right="339" w:bottom="1440" w:gutter="0" w:footer="0" w:header="0"/>
        </w:sectPr>
      </w:pPr>
    </w:p>
    <w:bookmarkStart w:id="7" w:name="page8"/>
    <w:bookmarkEnd w:id="7"/>
    <w:p>
      <w:pPr>
        <w:ind w:left="10100"/>
        <w:spacing w:after="0"/>
        <w:rPr>
          <w:sz w:val="20"/>
          <w:szCs w:val="20"/>
          <w:color w:val="auto"/>
        </w:rPr>
      </w:pPr>
      <w:r>
        <w:rPr>
          <w:rFonts w:ascii="Arial" w:cs="Arial" w:eastAsia="Arial" w:hAnsi="Arial"/>
          <w:sz w:val="14"/>
          <w:szCs w:val="14"/>
          <w:color w:val="0077C0"/>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0077C0"/>
        </w:rPr>
        <w:t>Average Sales Prices and Production Costs per Unit of Production</w:t>
      </w:r>
    </w:p>
    <w:p>
      <w:pPr>
        <w:spacing w:after="0" w:line="104"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u w:val="single" w:color="auto"/>
          <w:color w:val="0000FF"/>
        </w:rPr>
        <w:t>Table IV</w:t>
      </w:r>
      <w:r>
        <w:rPr>
          <w:rFonts w:ascii="Times New Roman" w:cs="Times New Roman" w:eastAsia="Times New Roman" w:hAnsi="Times New Roman"/>
          <w:sz w:val="18"/>
          <w:szCs w:val="18"/>
          <w:color w:val="auto"/>
        </w:rPr>
        <w:t xml:space="preserve"> for the company’s average sales price per barrel of crude (including crude oil and condensate) and natural gas liquids (NGLs) and per thousand cubic feet of natural gas produced, and the average production cost per oil-equivalent barrel for 2024, 2023 and 2022.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0077C0"/>
        </w:rPr>
        <w:t>Gross and Net Productive Wells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gross and net productive wells at year-end 2024 for the company and its affiliates: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2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At December 31, 2024</w:t>
            </w:r>
          </w:p>
        </w:tc>
      </w:tr>
      <w:tr>
        <w:trPr>
          <w:trHeight w:val="23"/>
        </w:trPr>
        <w:tc>
          <w:tcPr>
            <w:tcW w:w="6060" w:type="dxa"/>
            <w:vAlign w:val="bottom"/>
          </w:tcPr>
          <w:p>
            <w:pPr>
              <w:spacing w:after="0"/>
              <w:rPr>
                <w:sz w:val="2"/>
                <w:szCs w:val="2"/>
                <w:color w:val="auto"/>
              </w:rPr>
            </w:pPr>
          </w:p>
        </w:tc>
        <w:tc>
          <w:tcPr>
            <w:tcW w:w="1200" w:type="dxa"/>
            <w:vAlign w:val="bottom"/>
            <w:tcBorders>
              <w:bottom w:val="single" w:sz="8" w:color="0077C0"/>
            </w:tcBorders>
          </w:tcPr>
          <w:p>
            <w:pPr>
              <w:spacing w:after="0"/>
              <w:rPr>
                <w:sz w:val="2"/>
                <w:szCs w:val="2"/>
                <w:color w:val="auto"/>
              </w:rPr>
            </w:pPr>
          </w:p>
        </w:tc>
        <w:tc>
          <w:tcPr>
            <w:tcW w:w="1740" w:type="dxa"/>
            <w:vAlign w:val="bottom"/>
            <w:tcBorders>
              <w:bottom w:val="single" w:sz="8" w:color="0077C0"/>
            </w:tcBorders>
          </w:tcPr>
          <w:p>
            <w:pPr>
              <w:spacing w:after="0"/>
              <w:rPr>
                <w:sz w:val="2"/>
                <w:szCs w:val="2"/>
                <w:color w:val="auto"/>
              </w:rPr>
            </w:pPr>
          </w:p>
        </w:tc>
        <w:tc>
          <w:tcPr>
            <w:tcW w:w="2240" w:type="dxa"/>
            <w:vAlign w:val="bottom"/>
            <w:tcBorders>
              <w:bottom w:val="single" w:sz="8" w:color="0077C0"/>
            </w:tcBorders>
            <w:gridSpan w:val="2"/>
          </w:tcPr>
          <w:p>
            <w:pPr>
              <w:spacing w:after="0"/>
              <w:rPr>
                <w:sz w:val="2"/>
                <w:szCs w:val="2"/>
                <w:color w:val="auto"/>
              </w:rPr>
            </w:pPr>
          </w:p>
        </w:tc>
      </w:tr>
      <w:tr>
        <w:trPr>
          <w:trHeight w:val="196"/>
        </w:trPr>
        <w:tc>
          <w:tcPr>
            <w:tcW w:w="6060" w:type="dxa"/>
            <w:vAlign w:val="bottom"/>
          </w:tcPr>
          <w:p>
            <w:pPr>
              <w:spacing w:after="0"/>
              <w:rPr>
                <w:sz w:val="17"/>
                <w:szCs w:val="17"/>
                <w:color w:val="auto"/>
              </w:rPr>
            </w:pPr>
          </w:p>
        </w:tc>
        <w:tc>
          <w:tcPr>
            <w:tcW w:w="1200" w:type="dxa"/>
            <w:vAlign w:val="bottom"/>
            <w:tcBorders>
              <w:bottom w:val="single" w:sz="8" w:color="0077C0"/>
            </w:tcBorders>
          </w:tcPr>
          <w:p>
            <w:pPr>
              <w:spacing w:after="0"/>
              <w:rPr>
                <w:sz w:val="17"/>
                <w:szCs w:val="17"/>
                <w:color w:val="auto"/>
              </w:rPr>
            </w:pPr>
          </w:p>
        </w:tc>
        <w:tc>
          <w:tcPr>
            <w:tcW w:w="1740" w:type="dxa"/>
            <w:vAlign w:val="bottom"/>
            <w:tcBorders>
              <w:bottom w:val="single" w:sz="8" w:color="0077C0"/>
            </w:tcBorders>
          </w:tcPr>
          <w:p>
            <w:pPr>
              <w:jc w:val="right"/>
              <w:ind w:right="348"/>
              <w:spacing w:after="0" w:line="196" w:lineRule="exact"/>
              <w:rPr>
                <w:sz w:val="20"/>
                <w:szCs w:val="20"/>
                <w:color w:val="auto"/>
              </w:rPr>
            </w:pPr>
            <w:r>
              <w:rPr>
                <w:rFonts w:ascii="Times New Roman" w:cs="Times New Roman" w:eastAsia="Times New Roman" w:hAnsi="Times New Roman"/>
                <w:sz w:val="14"/>
                <w:szCs w:val="14"/>
                <w:b w:val="1"/>
                <w:bCs w:val="1"/>
                <w:color w:val="auto"/>
                <w:w w:val="99"/>
              </w:rPr>
              <w:t>Productive Oil Wells</w:t>
            </w:r>
            <w:r>
              <w:rPr>
                <w:rFonts w:ascii="Times New Roman" w:cs="Times New Roman" w:eastAsia="Times New Roman" w:hAnsi="Times New Roman"/>
                <w:sz w:val="18"/>
                <w:szCs w:val="18"/>
                <w:b w:val="1"/>
                <w:bCs w:val="1"/>
                <w:color w:val="auto"/>
                <w:w w:val="99"/>
                <w:vertAlign w:val="superscript"/>
              </w:rPr>
              <w:t>1</w:t>
            </w:r>
          </w:p>
        </w:tc>
        <w:tc>
          <w:tcPr>
            <w:tcW w:w="2240" w:type="dxa"/>
            <w:vAlign w:val="bottom"/>
            <w:tcBorders>
              <w:bottom w:val="single" w:sz="8" w:color="0077C0"/>
            </w:tcBorders>
            <w:gridSpan w:val="2"/>
          </w:tcPr>
          <w:p>
            <w:pPr>
              <w:jc w:val="right"/>
              <w:ind w:right="48"/>
              <w:spacing w:after="0" w:line="196" w:lineRule="exact"/>
              <w:rPr>
                <w:sz w:val="20"/>
                <w:szCs w:val="20"/>
                <w:color w:val="auto"/>
              </w:rPr>
            </w:pPr>
            <w:r>
              <w:rPr>
                <w:rFonts w:ascii="Times New Roman" w:cs="Times New Roman" w:eastAsia="Times New Roman" w:hAnsi="Times New Roman"/>
                <w:sz w:val="14"/>
                <w:szCs w:val="14"/>
                <w:b w:val="1"/>
                <w:bCs w:val="1"/>
                <w:color w:val="auto"/>
              </w:rPr>
              <w:t>Productive Gas Wells</w:t>
            </w:r>
            <w:r>
              <w:rPr>
                <w:rFonts w:ascii="Times New Roman" w:cs="Times New Roman" w:eastAsia="Times New Roman" w:hAnsi="Times New Roman"/>
                <w:sz w:val="18"/>
                <w:szCs w:val="18"/>
                <w:b w:val="1"/>
                <w:bCs w:val="1"/>
                <w:color w:val="auto"/>
                <w:vertAlign w:val="superscript"/>
              </w:rPr>
              <w:t>1</w:t>
            </w:r>
          </w:p>
        </w:tc>
      </w:tr>
      <w:tr>
        <w:trPr>
          <w:trHeight w:val="190"/>
        </w:trPr>
        <w:tc>
          <w:tcPr>
            <w:tcW w:w="6060" w:type="dxa"/>
            <w:vAlign w:val="bottom"/>
            <w:tcBorders>
              <w:bottom w:val="single" w:sz="8" w:color="0077C0"/>
            </w:tcBorders>
          </w:tcPr>
          <w:p>
            <w:pPr>
              <w:spacing w:after="0"/>
              <w:rPr>
                <w:sz w:val="16"/>
                <w:szCs w:val="16"/>
                <w:color w:val="auto"/>
              </w:rPr>
            </w:pPr>
          </w:p>
        </w:tc>
        <w:tc>
          <w:tcPr>
            <w:tcW w:w="12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740" w:type="dxa"/>
            <w:vAlign w:val="bottom"/>
            <w:tcBorders>
              <w:bottom w:val="single" w:sz="8" w:color="0077C0"/>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Net</w:t>
            </w:r>
          </w:p>
        </w:tc>
        <w:tc>
          <w:tcPr>
            <w:tcW w:w="1260" w:type="dxa"/>
            <w:vAlign w:val="bottom"/>
            <w:tcBorders>
              <w:bottom w:val="single" w:sz="8" w:color="0077C0"/>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980" w:type="dxa"/>
            <w:vAlign w:val="bottom"/>
            <w:tcBorders>
              <w:bottom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188"/>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35,135</w:t>
            </w:r>
          </w:p>
        </w:tc>
        <w:tc>
          <w:tcPr>
            <w:tcW w:w="174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24,099</w:t>
            </w:r>
          </w:p>
        </w:tc>
        <w:tc>
          <w:tcPr>
            <w:tcW w:w="126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2,110</w:t>
            </w: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1,758</w:t>
            </w:r>
          </w:p>
        </w:tc>
      </w:tr>
      <w:tr>
        <w:trPr>
          <w:trHeight w:val="193"/>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Americas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174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752</w:t>
            </w:r>
          </w:p>
        </w:tc>
        <w:tc>
          <w:tcPr>
            <w:tcW w:w="126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Africa</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1,679</w:t>
            </w:r>
          </w:p>
        </w:tc>
        <w:tc>
          <w:tcPr>
            <w:tcW w:w="174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653</w:t>
            </w:r>
          </w:p>
        </w:tc>
        <w:tc>
          <w:tcPr>
            <w:tcW w:w="126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48</w:t>
            </w: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18</w:t>
            </w:r>
          </w:p>
        </w:tc>
      </w:tr>
      <w:tr>
        <w:trPr>
          <w:trHeight w:val="203"/>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Asia</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1,699</w:t>
            </w:r>
          </w:p>
        </w:tc>
        <w:tc>
          <w:tcPr>
            <w:tcW w:w="174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807</w:t>
            </w:r>
          </w:p>
        </w:tc>
        <w:tc>
          <w:tcPr>
            <w:tcW w:w="126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1,309</w:t>
            </w: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405</w:t>
            </w:r>
          </w:p>
        </w:tc>
      </w:tr>
      <w:tr>
        <w:trPr>
          <w:trHeight w:val="203"/>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Australia</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174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299</w:t>
            </w:r>
          </w:p>
        </w:tc>
        <w:tc>
          <w:tcPr>
            <w:tcW w:w="126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118</w:t>
            </w: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33</w:t>
            </w:r>
          </w:p>
        </w:tc>
      </w:tr>
      <w:tr>
        <w:trPr>
          <w:trHeight w:val="203"/>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74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5</w:t>
            </w:r>
          </w:p>
        </w:tc>
        <w:tc>
          <w:tcPr>
            <w:tcW w:w="126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6060" w:type="dxa"/>
            <w:vAlign w:val="bottom"/>
            <w:tcBorders>
              <w:bottom w:val="single" w:sz="8" w:color="0077C0"/>
            </w:tcBorders>
          </w:tcPr>
          <w:p>
            <w:pPr>
              <w:spacing w:after="0"/>
              <w:rPr>
                <w:sz w:val="2"/>
                <w:szCs w:val="2"/>
                <w:color w:val="auto"/>
              </w:rPr>
            </w:pPr>
          </w:p>
        </w:tc>
        <w:tc>
          <w:tcPr>
            <w:tcW w:w="1200" w:type="dxa"/>
            <w:vAlign w:val="bottom"/>
            <w:tcBorders>
              <w:bottom w:val="single" w:sz="8" w:color="0077C0"/>
            </w:tcBorders>
          </w:tcPr>
          <w:p>
            <w:pPr>
              <w:spacing w:after="0"/>
              <w:rPr>
                <w:sz w:val="2"/>
                <w:szCs w:val="2"/>
                <w:color w:val="auto"/>
              </w:rPr>
            </w:pPr>
          </w:p>
        </w:tc>
        <w:tc>
          <w:tcPr>
            <w:tcW w:w="1740" w:type="dxa"/>
            <w:vAlign w:val="bottom"/>
            <w:tcBorders>
              <w:bottom w:val="single" w:sz="8" w:color="0077C0"/>
            </w:tcBorders>
          </w:tcPr>
          <w:p>
            <w:pPr>
              <w:spacing w:after="0"/>
              <w:rPr>
                <w:sz w:val="2"/>
                <w:szCs w:val="2"/>
                <w:color w:val="auto"/>
              </w:rPr>
            </w:pPr>
          </w:p>
        </w:tc>
        <w:tc>
          <w:tcPr>
            <w:tcW w:w="1260" w:type="dxa"/>
            <w:vAlign w:val="bottom"/>
            <w:tcBorders>
              <w:bottom w:val="single" w:sz="8" w:color="0077C0"/>
            </w:tcBorders>
          </w:tcPr>
          <w:p>
            <w:pPr>
              <w:spacing w:after="0"/>
              <w:rPr>
                <w:sz w:val="2"/>
                <w:szCs w:val="2"/>
                <w:color w:val="auto"/>
              </w:rPr>
            </w:pPr>
          </w:p>
        </w:tc>
        <w:tc>
          <w:tcPr>
            <w:tcW w:w="980" w:type="dxa"/>
            <w:vAlign w:val="bottom"/>
            <w:tcBorders>
              <w:bottom w:val="single" w:sz="8" w:color="0077C0"/>
            </w:tcBorders>
          </w:tcPr>
          <w:p>
            <w:pPr>
              <w:spacing w:after="0"/>
              <w:rPr>
                <w:sz w:val="2"/>
                <w:szCs w:val="2"/>
                <w:color w:val="auto"/>
              </w:rPr>
            </w:pPr>
          </w:p>
        </w:tc>
      </w:tr>
      <w:tr>
        <w:trPr>
          <w:trHeight w:val="190"/>
        </w:trPr>
        <w:tc>
          <w:tcPr>
            <w:tcW w:w="60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Consolidated Companies</w:t>
            </w:r>
          </w:p>
        </w:tc>
        <w:tc>
          <w:tcPr>
            <w:tcW w:w="12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40,349</w:t>
            </w:r>
          </w:p>
        </w:tc>
        <w:tc>
          <w:tcPr>
            <w:tcW w:w="1740" w:type="dxa"/>
            <w:vAlign w:val="bottom"/>
            <w:tcBorders>
              <w:bottom w:val="single" w:sz="8" w:color="0077C0"/>
            </w:tcBorders>
          </w:tcPr>
          <w:p>
            <w:pPr>
              <w:jc w:val="right"/>
              <w:ind w:right="388"/>
              <w:spacing w:after="0"/>
              <w:rPr>
                <w:sz w:val="20"/>
                <w:szCs w:val="20"/>
                <w:color w:val="auto"/>
              </w:rPr>
            </w:pPr>
            <w:r>
              <w:rPr>
                <w:rFonts w:ascii="Times New Roman" w:cs="Times New Roman" w:eastAsia="Times New Roman" w:hAnsi="Times New Roman"/>
                <w:sz w:val="14"/>
                <w:szCs w:val="14"/>
                <w:color w:val="auto"/>
              </w:rPr>
              <w:t>26,615</w:t>
            </w:r>
          </w:p>
        </w:tc>
        <w:tc>
          <w:tcPr>
            <w:tcW w:w="1260" w:type="dxa"/>
            <w:vAlign w:val="bottom"/>
            <w:tcBorders>
              <w:bottom w:val="single" w:sz="8" w:color="0077C0"/>
            </w:tcBorders>
          </w:tcPr>
          <w:p>
            <w:pPr>
              <w:jc w:val="right"/>
              <w:ind w:right="448"/>
              <w:spacing w:after="0"/>
              <w:rPr>
                <w:sz w:val="20"/>
                <w:szCs w:val="20"/>
                <w:color w:val="auto"/>
              </w:rPr>
            </w:pPr>
            <w:r>
              <w:rPr>
                <w:rFonts w:ascii="Times New Roman" w:cs="Times New Roman" w:eastAsia="Times New Roman" w:hAnsi="Times New Roman"/>
                <w:sz w:val="14"/>
                <w:szCs w:val="14"/>
                <w:color w:val="auto"/>
              </w:rPr>
              <w:t>3,585</w:t>
            </w:r>
          </w:p>
        </w:tc>
        <w:tc>
          <w:tcPr>
            <w:tcW w:w="98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color w:val="auto"/>
              </w:rPr>
              <w:t>2,214</w:t>
            </w:r>
          </w:p>
        </w:tc>
      </w:tr>
      <w:tr>
        <w:trPr>
          <w:trHeight w:val="202"/>
        </w:trPr>
        <w:tc>
          <w:tcPr>
            <w:tcW w:w="6060" w:type="dxa"/>
            <w:vAlign w:val="bottom"/>
            <w:tcBorders>
              <w:bottom w:val="single" w:sz="8" w:color="0077C0"/>
            </w:tcBorders>
          </w:tcPr>
          <w:p>
            <w:pPr>
              <w:ind w:left="20"/>
              <w:spacing w:after="0" w:line="202" w:lineRule="exact"/>
              <w:rPr>
                <w:sz w:val="20"/>
                <w:szCs w:val="20"/>
                <w:color w:val="auto"/>
              </w:rPr>
            </w:pPr>
            <w:r>
              <w:rPr>
                <w:rFonts w:ascii="Times New Roman" w:cs="Times New Roman" w:eastAsia="Times New Roman" w:hAnsi="Times New Roman"/>
                <w:sz w:val="14"/>
                <w:szCs w:val="14"/>
                <w:color w:val="auto"/>
              </w:rPr>
              <w:t>Affiliates</w:t>
            </w:r>
            <w:r>
              <w:rPr>
                <w:rFonts w:ascii="Times New Roman" w:cs="Times New Roman" w:eastAsia="Times New Roman" w:hAnsi="Times New Roman"/>
                <w:sz w:val="18"/>
                <w:szCs w:val="18"/>
                <w:color w:val="auto"/>
                <w:vertAlign w:val="superscript"/>
              </w:rPr>
              <w:t>2</w:t>
            </w:r>
          </w:p>
        </w:tc>
        <w:tc>
          <w:tcPr>
            <w:tcW w:w="12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1,510</w:t>
            </w:r>
          </w:p>
        </w:tc>
        <w:tc>
          <w:tcPr>
            <w:tcW w:w="1740" w:type="dxa"/>
            <w:vAlign w:val="bottom"/>
            <w:tcBorders>
              <w:bottom w:val="single" w:sz="8" w:color="0077C0"/>
            </w:tcBorders>
          </w:tcPr>
          <w:p>
            <w:pPr>
              <w:jc w:val="right"/>
              <w:ind w:right="388"/>
              <w:spacing w:after="0"/>
              <w:rPr>
                <w:sz w:val="20"/>
                <w:szCs w:val="20"/>
                <w:color w:val="auto"/>
              </w:rPr>
            </w:pPr>
            <w:r>
              <w:rPr>
                <w:rFonts w:ascii="Times New Roman" w:cs="Times New Roman" w:eastAsia="Times New Roman" w:hAnsi="Times New Roman"/>
                <w:sz w:val="14"/>
                <w:szCs w:val="14"/>
                <w:color w:val="auto"/>
              </w:rPr>
              <w:t>595</w:t>
            </w:r>
          </w:p>
        </w:tc>
        <w:tc>
          <w:tcPr>
            <w:tcW w:w="1260" w:type="dxa"/>
            <w:vAlign w:val="bottom"/>
            <w:tcBorders>
              <w:bottom w:val="single" w:sz="8" w:color="0077C0"/>
            </w:tcBorders>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60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Including Affiliates</w:t>
            </w:r>
          </w:p>
        </w:tc>
        <w:tc>
          <w:tcPr>
            <w:tcW w:w="12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41,859</w:t>
            </w:r>
          </w:p>
        </w:tc>
        <w:tc>
          <w:tcPr>
            <w:tcW w:w="1740" w:type="dxa"/>
            <w:vAlign w:val="bottom"/>
            <w:tcBorders>
              <w:bottom w:val="single" w:sz="8" w:color="0077C0"/>
            </w:tcBorders>
          </w:tcPr>
          <w:p>
            <w:pPr>
              <w:jc w:val="right"/>
              <w:ind w:right="388"/>
              <w:spacing w:after="0"/>
              <w:rPr>
                <w:sz w:val="20"/>
                <w:szCs w:val="20"/>
                <w:color w:val="auto"/>
              </w:rPr>
            </w:pPr>
            <w:r>
              <w:rPr>
                <w:rFonts w:ascii="Times New Roman" w:cs="Times New Roman" w:eastAsia="Times New Roman" w:hAnsi="Times New Roman"/>
                <w:sz w:val="14"/>
                <w:szCs w:val="14"/>
                <w:color w:val="auto"/>
              </w:rPr>
              <w:t>27,210</w:t>
            </w:r>
          </w:p>
        </w:tc>
        <w:tc>
          <w:tcPr>
            <w:tcW w:w="1260" w:type="dxa"/>
            <w:vAlign w:val="bottom"/>
            <w:tcBorders>
              <w:bottom w:val="single" w:sz="8" w:color="0077C0"/>
            </w:tcBorders>
          </w:tcPr>
          <w:p>
            <w:pPr>
              <w:jc w:val="right"/>
              <w:ind w:right="448"/>
              <w:spacing w:after="0"/>
              <w:rPr>
                <w:sz w:val="20"/>
                <w:szCs w:val="20"/>
                <w:color w:val="auto"/>
              </w:rPr>
            </w:pPr>
            <w:r>
              <w:rPr>
                <w:rFonts w:ascii="Times New Roman" w:cs="Times New Roman" w:eastAsia="Times New Roman" w:hAnsi="Times New Roman"/>
                <w:sz w:val="14"/>
                <w:szCs w:val="14"/>
                <w:color w:val="auto"/>
              </w:rPr>
              <w:t>3,585</w:t>
            </w:r>
          </w:p>
        </w:tc>
        <w:tc>
          <w:tcPr>
            <w:tcW w:w="98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color w:val="auto"/>
              </w:rPr>
              <w:t>2,214</w:t>
            </w:r>
          </w:p>
        </w:tc>
      </w:tr>
      <w:tr>
        <w:trPr>
          <w:trHeight w:val="188"/>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Multiple completion wells included above</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w:t>
            </w:r>
          </w:p>
        </w:tc>
        <w:tc>
          <w:tcPr>
            <w:tcW w:w="174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355</w:t>
            </w:r>
          </w:p>
        </w:tc>
        <w:tc>
          <w:tcPr>
            <w:tcW w:w="126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147</w:t>
            </w: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-1318895</wp:posOffset>
            </wp:positionV>
            <wp:extent cx="7132320" cy="13373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37310"/>
                    </a:xfrm>
                    <a:prstGeom prst="rect">
                      <a:avLst/>
                    </a:prstGeom>
                    <a:noFill/>
                  </pic:spPr>
                </pic:pic>
              </a:graphicData>
            </a:graphic>
          </wp:anchor>
        </w:drawing>
      </w:r>
    </w:p>
    <w:p>
      <w:pPr>
        <w:ind w:left="100" w:hanging="74"/>
        <w:spacing w:after="0"/>
        <w:tabs>
          <w:tab w:leader="none" w:pos="100" w:val="left"/>
        </w:tabs>
        <w:numPr>
          <w:ilvl w:val="0"/>
          <w:numId w:val="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Gross wells represent the total number of wells in which Chevron has an ownership interest. Net wells represent the sum of Chevron’s ownership interest in gross wells.</w:t>
      </w:r>
    </w:p>
    <w:p>
      <w:pPr>
        <w:spacing w:after="0" w:line="25" w:lineRule="exact"/>
        <w:rPr>
          <w:rFonts w:ascii="Times New Roman" w:cs="Times New Roman" w:eastAsia="Times New Roman" w:hAnsi="Times New Roman"/>
          <w:sz w:val="16"/>
          <w:szCs w:val="16"/>
          <w:color w:val="auto"/>
          <w:vertAlign w:val="superscript"/>
        </w:rPr>
      </w:pPr>
    </w:p>
    <w:p>
      <w:pPr>
        <w:ind w:left="20"/>
        <w:spacing w:after="0"/>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 xml:space="preserve"> Includes gross 1,381 and net 466 productive oil wells for interests accounted for by the non-equity method.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0077C0"/>
        </w:rPr>
        <w:t>Production Outlook</w:t>
      </w:r>
    </w:p>
    <w:p>
      <w:pPr>
        <w:spacing w:after="0" w:line="1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 xml:space="preserve">The company estimates its average worldwide oil-equivalent production in 2025 to increase six to eight percent over 2024, assuming a Brent crude oil price of $70 per barrel and excluding the impact of asset sales. This estimate is subject to many factors and uncertainties, as described beginning on page 40. Refer to the </w:t>
      </w:r>
      <w:r>
        <w:rPr>
          <w:rFonts w:ascii="Times New Roman" w:cs="Times New Roman" w:eastAsia="Times New Roman" w:hAnsi="Times New Roman"/>
          <w:sz w:val="18"/>
          <w:szCs w:val="18"/>
          <w:u w:val="single" w:color="auto"/>
          <w:color w:val="0000FF"/>
        </w:rPr>
        <w:t>Review of Ongoing Exploration and Production Activities in Key Areas</w:t>
      </w:r>
      <w:r>
        <w:rPr>
          <w:rFonts w:ascii="Times New Roman" w:cs="Times New Roman" w:eastAsia="Times New Roman" w:hAnsi="Times New Roman"/>
          <w:sz w:val="18"/>
          <w:szCs w:val="18"/>
          <w:color w:val="auto"/>
        </w:rPr>
        <w:t xml:space="preserve"> for a discussion of the company’s major crude oil and natural gas development projects.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0077C0"/>
        </w:rPr>
        <w:t>Acreage</w:t>
      </w:r>
    </w:p>
    <w:p>
      <w:pPr>
        <w:spacing w:after="0" w:line="10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At December 31, 2024, the company owned or had under lease or similar agreements undeveloped and developed crude oil and natural gas properties throughout the world. The geographical distribution of the company’s acreage is shown in the following table: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40" w:type="dxa"/>
            <w:vAlign w:val="bottom"/>
          </w:tcPr>
          <w:p>
            <w:pPr>
              <w:spacing w:after="0"/>
              <w:rPr>
                <w:sz w:val="18"/>
                <w:szCs w:val="18"/>
                <w:color w:val="auto"/>
              </w:rPr>
            </w:pPr>
          </w:p>
        </w:tc>
        <w:tc>
          <w:tcPr>
            <w:tcW w:w="1440" w:type="dxa"/>
            <w:vAlign w:val="bottom"/>
            <w:tcBorders>
              <w:bottom w:val="single" w:sz="8" w:color="0077C0"/>
            </w:tcBorders>
          </w:tcPr>
          <w:p>
            <w:pPr>
              <w:spacing w:after="0"/>
              <w:rPr>
                <w:sz w:val="18"/>
                <w:szCs w:val="18"/>
                <w:color w:val="auto"/>
              </w:rPr>
            </w:pPr>
          </w:p>
        </w:tc>
        <w:tc>
          <w:tcPr>
            <w:tcW w:w="11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Undeveloped</w:t>
            </w:r>
            <w:r>
              <w:rPr>
                <w:rFonts w:ascii="Times New Roman" w:cs="Times New Roman" w:eastAsia="Times New Roman" w:hAnsi="Times New Roman"/>
                <w:sz w:val="18"/>
                <w:szCs w:val="18"/>
                <w:color w:val="auto"/>
                <w:vertAlign w:val="superscript"/>
              </w:rPr>
              <w:t>2</w:t>
            </w:r>
          </w:p>
        </w:tc>
        <w:tc>
          <w:tcPr>
            <w:tcW w:w="1600" w:type="dxa"/>
            <w:vAlign w:val="bottom"/>
            <w:tcBorders>
              <w:bottom w:val="single" w:sz="8" w:color="0077C0"/>
            </w:tcBorders>
          </w:tcPr>
          <w:p>
            <w:pPr>
              <w:spacing w:after="0"/>
              <w:rPr>
                <w:sz w:val="18"/>
                <w:szCs w:val="18"/>
                <w:color w:val="auto"/>
              </w:rPr>
            </w:pPr>
          </w:p>
        </w:tc>
        <w:tc>
          <w:tcPr>
            <w:tcW w:w="10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Developed</w:t>
            </w:r>
          </w:p>
        </w:tc>
        <w:tc>
          <w:tcPr>
            <w:tcW w:w="2600" w:type="dxa"/>
            <w:vAlign w:val="bottom"/>
            <w:tcBorders>
              <w:bottom w:val="single" w:sz="8" w:color="0077C0"/>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Developed and Undeveloped</w:t>
            </w:r>
          </w:p>
        </w:tc>
        <w:tc>
          <w:tcPr>
            <w:tcW w:w="100" w:type="dxa"/>
            <w:vAlign w:val="bottom"/>
            <w:tcBorders>
              <w:bottom w:val="single" w:sz="8" w:color="0077C0"/>
            </w:tcBorders>
          </w:tcPr>
          <w:p>
            <w:pPr>
              <w:spacing w:after="0"/>
              <w:rPr>
                <w:sz w:val="18"/>
                <w:szCs w:val="18"/>
                <w:color w:val="auto"/>
              </w:rPr>
            </w:pPr>
          </w:p>
        </w:tc>
      </w:tr>
      <w:tr>
        <w:trPr>
          <w:trHeight w:val="196"/>
        </w:trPr>
        <w:tc>
          <w:tcPr>
            <w:tcW w:w="3340" w:type="dxa"/>
            <w:vAlign w:val="bottom"/>
            <w:tcBorders>
              <w:bottom w:val="single" w:sz="8" w:color="0077C0"/>
            </w:tcBorders>
          </w:tcPr>
          <w:p>
            <w:pPr>
              <w:ind w:left="20"/>
              <w:spacing w:after="0" w:line="196" w:lineRule="exact"/>
              <w:rPr>
                <w:sz w:val="20"/>
                <w:szCs w:val="20"/>
                <w:color w:val="auto"/>
              </w:rPr>
            </w:pPr>
            <w:r>
              <w:rPr>
                <w:rFonts w:ascii="Times New Roman" w:cs="Times New Roman" w:eastAsia="Times New Roman" w:hAnsi="Times New Roman"/>
                <w:sz w:val="14"/>
                <w:szCs w:val="14"/>
                <w:i w:val="1"/>
                <w:iCs w:val="1"/>
                <w:color w:val="auto"/>
              </w:rPr>
              <w:t>Thousands of acres</w:t>
            </w:r>
            <w:r>
              <w:rPr>
                <w:rFonts w:ascii="Times New Roman" w:cs="Times New Roman" w:eastAsia="Times New Roman" w:hAnsi="Times New Roman"/>
                <w:sz w:val="18"/>
                <w:szCs w:val="18"/>
                <w:i w:val="1"/>
                <w:iCs w:val="1"/>
                <w:color w:val="auto"/>
                <w:vertAlign w:val="superscript"/>
              </w:rPr>
              <w:t>1</w:t>
            </w:r>
          </w:p>
        </w:tc>
        <w:tc>
          <w:tcPr>
            <w:tcW w:w="1440" w:type="dxa"/>
            <w:vAlign w:val="bottom"/>
            <w:tcBorders>
              <w:bottom w:val="single" w:sz="8" w:color="0077C0"/>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1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Net</w:t>
            </w:r>
          </w:p>
        </w:tc>
        <w:tc>
          <w:tcPr>
            <w:tcW w:w="1600" w:type="dxa"/>
            <w:vAlign w:val="bottom"/>
            <w:tcBorders>
              <w:bottom w:val="single" w:sz="8" w:color="0077C0"/>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Net</w:t>
            </w:r>
          </w:p>
        </w:tc>
        <w:tc>
          <w:tcPr>
            <w:tcW w:w="1700" w:type="dxa"/>
            <w:vAlign w:val="bottom"/>
            <w:tcBorders>
              <w:bottom w:val="single" w:sz="8" w:color="0077C0"/>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9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Borders>
              <w:bottom w:val="single" w:sz="8" w:color="0077C0"/>
            </w:tcBorders>
          </w:tcPr>
          <w:p>
            <w:pPr>
              <w:spacing w:after="0"/>
              <w:rPr>
                <w:sz w:val="17"/>
                <w:szCs w:val="17"/>
                <w:color w:val="auto"/>
              </w:rPr>
            </w:pPr>
          </w:p>
        </w:tc>
      </w:tr>
      <w:tr>
        <w:trPr>
          <w:trHeight w:val="182"/>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4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4,294</w:t>
            </w:r>
          </w:p>
        </w:tc>
        <w:tc>
          <w:tcPr>
            <w:tcW w:w="114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3,700</w:t>
            </w:r>
          </w:p>
        </w:tc>
        <w:tc>
          <w:tcPr>
            <w:tcW w:w="16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4,273</w:t>
            </w:r>
          </w:p>
        </w:tc>
        <w:tc>
          <w:tcPr>
            <w:tcW w:w="102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2,856</w:t>
            </w:r>
          </w:p>
        </w:tc>
        <w:tc>
          <w:tcPr>
            <w:tcW w:w="170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8,567</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6,556</w:t>
            </w:r>
          </w:p>
        </w:tc>
        <w:tc>
          <w:tcPr>
            <w:tcW w:w="100" w:type="dxa"/>
            <w:vAlign w:val="bottom"/>
          </w:tcPr>
          <w:p>
            <w:pPr>
              <w:spacing w:after="0"/>
              <w:rPr>
                <w:sz w:val="15"/>
                <w:szCs w:val="15"/>
                <w:color w:val="auto"/>
              </w:rPr>
            </w:pPr>
          </w:p>
        </w:tc>
      </w:tr>
      <w:tr>
        <w:trPr>
          <w:trHeight w:val="193"/>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Americas</w:t>
            </w:r>
          </w:p>
        </w:tc>
        <w:tc>
          <w:tcPr>
            <w:tcW w:w="14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16,503</w:t>
            </w:r>
          </w:p>
        </w:tc>
        <w:tc>
          <w:tcPr>
            <w:tcW w:w="114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11,078</w:t>
            </w:r>
          </w:p>
        </w:tc>
        <w:tc>
          <w:tcPr>
            <w:tcW w:w="16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920</w:t>
            </w:r>
          </w:p>
        </w:tc>
        <w:tc>
          <w:tcPr>
            <w:tcW w:w="102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232</w:t>
            </w:r>
          </w:p>
        </w:tc>
        <w:tc>
          <w:tcPr>
            <w:tcW w:w="170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17,423</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11,310</w:t>
            </w:r>
          </w:p>
        </w:tc>
        <w:tc>
          <w:tcPr>
            <w:tcW w:w="100" w:type="dxa"/>
            <w:vAlign w:val="bottom"/>
          </w:tcPr>
          <w:p>
            <w:pPr>
              <w:spacing w:after="0"/>
              <w:rPr>
                <w:sz w:val="16"/>
                <w:szCs w:val="16"/>
                <w:color w:val="auto"/>
              </w:rPr>
            </w:pPr>
          </w:p>
        </w:tc>
      </w:tr>
      <w:tr>
        <w:trPr>
          <w:trHeight w:val="203"/>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Africa</w:t>
            </w:r>
          </w:p>
        </w:tc>
        <w:tc>
          <w:tcPr>
            <w:tcW w:w="14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13,433</w:t>
            </w:r>
          </w:p>
        </w:tc>
        <w:tc>
          <w:tcPr>
            <w:tcW w:w="114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7,098</w:t>
            </w:r>
          </w:p>
        </w:tc>
        <w:tc>
          <w:tcPr>
            <w:tcW w:w="16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1,320</w:t>
            </w:r>
          </w:p>
        </w:tc>
        <w:tc>
          <w:tcPr>
            <w:tcW w:w="102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530</w:t>
            </w:r>
          </w:p>
        </w:tc>
        <w:tc>
          <w:tcPr>
            <w:tcW w:w="170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14,753</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7,628</w:t>
            </w:r>
          </w:p>
        </w:tc>
        <w:tc>
          <w:tcPr>
            <w:tcW w:w="100" w:type="dxa"/>
            <w:vAlign w:val="bottom"/>
          </w:tcPr>
          <w:p>
            <w:pPr>
              <w:spacing w:after="0"/>
              <w:rPr>
                <w:sz w:val="17"/>
                <w:szCs w:val="17"/>
                <w:color w:val="auto"/>
              </w:rPr>
            </w:pPr>
          </w:p>
        </w:tc>
      </w:tr>
      <w:tr>
        <w:trPr>
          <w:trHeight w:val="203"/>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Asia</w:t>
            </w:r>
          </w:p>
        </w:tc>
        <w:tc>
          <w:tcPr>
            <w:tcW w:w="14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13,373</w:t>
            </w:r>
          </w:p>
        </w:tc>
        <w:tc>
          <w:tcPr>
            <w:tcW w:w="114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7,440</w:t>
            </w:r>
          </w:p>
        </w:tc>
        <w:tc>
          <w:tcPr>
            <w:tcW w:w="16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934</w:t>
            </w:r>
          </w:p>
        </w:tc>
        <w:tc>
          <w:tcPr>
            <w:tcW w:w="102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363</w:t>
            </w:r>
          </w:p>
        </w:tc>
        <w:tc>
          <w:tcPr>
            <w:tcW w:w="170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14,307</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7,803</w:t>
            </w:r>
          </w:p>
        </w:tc>
        <w:tc>
          <w:tcPr>
            <w:tcW w:w="100" w:type="dxa"/>
            <w:vAlign w:val="bottom"/>
          </w:tcPr>
          <w:p>
            <w:pPr>
              <w:spacing w:after="0"/>
              <w:rPr>
                <w:sz w:val="17"/>
                <w:szCs w:val="17"/>
                <w:color w:val="auto"/>
              </w:rPr>
            </w:pPr>
          </w:p>
        </w:tc>
      </w:tr>
      <w:tr>
        <w:trPr>
          <w:trHeight w:val="203"/>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Australia</w:t>
            </w:r>
          </w:p>
        </w:tc>
        <w:tc>
          <w:tcPr>
            <w:tcW w:w="14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3,384</w:t>
            </w:r>
          </w:p>
        </w:tc>
        <w:tc>
          <w:tcPr>
            <w:tcW w:w="114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2,628</w:t>
            </w:r>
          </w:p>
        </w:tc>
        <w:tc>
          <w:tcPr>
            <w:tcW w:w="16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2,246</w:t>
            </w:r>
          </w:p>
        </w:tc>
        <w:tc>
          <w:tcPr>
            <w:tcW w:w="102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899</w:t>
            </w:r>
          </w:p>
        </w:tc>
        <w:tc>
          <w:tcPr>
            <w:tcW w:w="170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5,630</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3,527</w:t>
            </w:r>
          </w:p>
        </w:tc>
        <w:tc>
          <w:tcPr>
            <w:tcW w:w="100" w:type="dxa"/>
            <w:vAlign w:val="bottom"/>
          </w:tcPr>
          <w:p>
            <w:pPr>
              <w:spacing w:after="0"/>
              <w:rPr>
                <w:sz w:val="17"/>
                <w:szCs w:val="17"/>
                <w:color w:val="auto"/>
              </w:rPr>
            </w:pPr>
          </w:p>
        </w:tc>
      </w:tr>
      <w:tr>
        <w:trPr>
          <w:trHeight w:val="203"/>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14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106</w:t>
            </w:r>
          </w:p>
        </w:tc>
        <w:tc>
          <w:tcPr>
            <w:tcW w:w="114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21</w:t>
            </w:r>
          </w:p>
        </w:tc>
        <w:tc>
          <w:tcPr>
            <w:tcW w:w="16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12</w:t>
            </w:r>
          </w:p>
        </w:tc>
        <w:tc>
          <w:tcPr>
            <w:tcW w:w="102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70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118</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7"/>
                <w:szCs w:val="17"/>
                <w:color w:val="auto"/>
              </w:rPr>
            </w:pPr>
          </w:p>
        </w:tc>
      </w:tr>
      <w:tr>
        <w:trPr>
          <w:trHeight w:val="23"/>
        </w:trPr>
        <w:tc>
          <w:tcPr>
            <w:tcW w:w="3340" w:type="dxa"/>
            <w:vAlign w:val="bottom"/>
            <w:tcBorders>
              <w:bottom w:val="single" w:sz="8" w:color="0077C0"/>
            </w:tcBorders>
          </w:tcPr>
          <w:p>
            <w:pPr>
              <w:spacing w:after="0"/>
              <w:rPr>
                <w:sz w:val="2"/>
                <w:szCs w:val="2"/>
                <w:color w:val="auto"/>
              </w:rPr>
            </w:pPr>
          </w:p>
        </w:tc>
        <w:tc>
          <w:tcPr>
            <w:tcW w:w="1440" w:type="dxa"/>
            <w:vAlign w:val="bottom"/>
            <w:tcBorders>
              <w:bottom w:val="single" w:sz="8" w:color="0077C0"/>
            </w:tcBorders>
          </w:tcPr>
          <w:p>
            <w:pPr>
              <w:spacing w:after="0"/>
              <w:rPr>
                <w:sz w:val="2"/>
                <w:szCs w:val="2"/>
                <w:color w:val="auto"/>
              </w:rPr>
            </w:pPr>
          </w:p>
        </w:tc>
        <w:tc>
          <w:tcPr>
            <w:tcW w:w="1140" w:type="dxa"/>
            <w:vAlign w:val="bottom"/>
            <w:tcBorders>
              <w:bottom w:val="single" w:sz="8" w:color="0077C0"/>
              <w:right w:val="single" w:sz="8" w:color="0077C0"/>
            </w:tcBorders>
          </w:tcPr>
          <w:p>
            <w:pPr>
              <w:spacing w:after="0"/>
              <w:rPr>
                <w:sz w:val="2"/>
                <w:szCs w:val="2"/>
                <w:color w:val="auto"/>
              </w:rPr>
            </w:pPr>
          </w:p>
        </w:tc>
        <w:tc>
          <w:tcPr>
            <w:tcW w:w="1600" w:type="dxa"/>
            <w:vAlign w:val="bottom"/>
            <w:tcBorders>
              <w:bottom w:val="single" w:sz="8" w:color="0077C0"/>
            </w:tcBorders>
          </w:tcPr>
          <w:p>
            <w:pPr>
              <w:spacing w:after="0"/>
              <w:rPr>
                <w:sz w:val="2"/>
                <w:szCs w:val="2"/>
                <w:color w:val="auto"/>
              </w:rPr>
            </w:pPr>
          </w:p>
        </w:tc>
        <w:tc>
          <w:tcPr>
            <w:tcW w:w="1020" w:type="dxa"/>
            <w:vAlign w:val="bottom"/>
            <w:tcBorders>
              <w:bottom w:val="single" w:sz="8" w:color="0077C0"/>
              <w:right w:val="single" w:sz="8" w:color="0077C0"/>
            </w:tcBorders>
          </w:tcPr>
          <w:p>
            <w:pPr>
              <w:spacing w:after="0"/>
              <w:rPr>
                <w:sz w:val="2"/>
                <w:szCs w:val="2"/>
                <w:color w:val="auto"/>
              </w:rPr>
            </w:pPr>
          </w:p>
        </w:tc>
        <w:tc>
          <w:tcPr>
            <w:tcW w:w="1700" w:type="dxa"/>
            <w:vAlign w:val="bottom"/>
            <w:tcBorders>
              <w:bottom w:val="single" w:sz="8" w:color="0077C0"/>
            </w:tcBorders>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c>
          <w:tcPr>
            <w:tcW w:w="100" w:type="dxa"/>
            <w:vAlign w:val="bottom"/>
          </w:tcPr>
          <w:p>
            <w:pPr>
              <w:spacing w:after="0"/>
              <w:rPr>
                <w:sz w:val="2"/>
                <w:szCs w:val="2"/>
                <w:color w:val="auto"/>
              </w:rPr>
            </w:pPr>
          </w:p>
        </w:tc>
      </w:tr>
      <w:tr>
        <w:trPr>
          <w:trHeight w:val="190"/>
        </w:trPr>
        <w:tc>
          <w:tcPr>
            <w:tcW w:w="334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Consolidated Companies</w:t>
            </w:r>
          </w:p>
        </w:tc>
        <w:tc>
          <w:tcPr>
            <w:tcW w:w="1440" w:type="dxa"/>
            <w:vAlign w:val="bottom"/>
            <w:tcBorders>
              <w:bottom w:val="single" w:sz="8" w:color="0077C0"/>
            </w:tcBorders>
          </w:tcPr>
          <w:p>
            <w:pPr>
              <w:jc w:val="right"/>
              <w:ind w:right="228"/>
              <w:spacing w:after="0"/>
              <w:rPr>
                <w:sz w:val="20"/>
                <w:szCs w:val="20"/>
                <w:color w:val="auto"/>
              </w:rPr>
            </w:pPr>
            <w:r>
              <w:rPr>
                <w:rFonts w:ascii="Times New Roman" w:cs="Times New Roman" w:eastAsia="Times New Roman" w:hAnsi="Times New Roman"/>
                <w:sz w:val="14"/>
                <w:szCs w:val="14"/>
                <w:color w:val="auto"/>
              </w:rPr>
              <w:t>51,093</w:t>
            </w:r>
          </w:p>
        </w:tc>
        <w:tc>
          <w:tcPr>
            <w:tcW w:w="114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31,965</w:t>
            </w:r>
          </w:p>
        </w:tc>
        <w:tc>
          <w:tcPr>
            <w:tcW w:w="1600" w:type="dxa"/>
            <w:vAlign w:val="bottom"/>
            <w:tcBorders>
              <w:bottom w:val="single" w:sz="8" w:color="0077C0"/>
            </w:tcBorders>
          </w:tcPr>
          <w:p>
            <w:pPr>
              <w:jc w:val="right"/>
              <w:ind w:right="308"/>
              <w:spacing w:after="0"/>
              <w:rPr>
                <w:sz w:val="20"/>
                <w:szCs w:val="20"/>
                <w:color w:val="auto"/>
              </w:rPr>
            </w:pPr>
            <w:r>
              <w:rPr>
                <w:rFonts w:ascii="Times New Roman" w:cs="Times New Roman" w:eastAsia="Times New Roman" w:hAnsi="Times New Roman"/>
                <w:sz w:val="14"/>
                <w:szCs w:val="14"/>
                <w:color w:val="auto"/>
              </w:rPr>
              <w:t>9,705</w:t>
            </w:r>
          </w:p>
        </w:tc>
        <w:tc>
          <w:tcPr>
            <w:tcW w:w="102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4,882</w:t>
            </w:r>
          </w:p>
        </w:tc>
        <w:tc>
          <w:tcPr>
            <w:tcW w:w="1700" w:type="dxa"/>
            <w:vAlign w:val="bottom"/>
            <w:tcBorders>
              <w:bottom w:val="single" w:sz="8" w:color="0077C0"/>
            </w:tcBorders>
          </w:tcPr>
          <w:p>
            <w:pPr>
              <w:jc w:val="right"/>
              <w:ind w:right="408"/>
              <w:spacing w:after="0"/>
              <w:rPr>
                <w:sz w:val="20"/>
                <w:szCs w:val="20"/>
                <w:color w:val="auto"/>
              </w:rPr>
            </w:pPr>
            <w:r>
              <w:rPr>
                <w:rFonts w:ascii="Times New Roman" w:cs="Times New Roman" w:eastAsia="Times New Roman" w:hAnsi="Times New Roman"/>
                <w:sz w:val="14"/>
                <w:szCs w:val="14"/>
                <w:color w:val="auto"/>
              </w:rPr>
              <w:t>60,798</w:t>
            </w:r>
          </w:p>
        </w:tc>
        <w:tc>
          <w:tcPr>
            <w:tcW w:w="90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36,847</w:t>
            </w:r>
          </w:p>
        </w:tc>
        <w:tc>
          <w:tcPr>
            <w:tcW w:w="100" w:type="dxa"/>
            <w:vAlign w:val="bottom"/>
          </w:tcPr>
          <w:p>
            <w:pPr>
              <w:spacing w:after="0"/>
              <w:rPr>
                <w:sz w:val="16"/>
                <w:szCs w:val="16"/>
                <w:color w:val="auto"/>
              </w:rPr>
            </w:pPr>
          </w:p>
        </w:tc>
      </w:tr>
      <w:tr>
        <w:trPr>
          <w:trHeight w:val="202"/>
        </w:trPr>
        <w:tc>
          <w:tcPr>
            <w:tcW w:w="3340" w:type="dxa"/>
            <w:vAlign w:val="bottom"/>
            <w:tcBorders>
              <w:bottom w:val="single" w:sz="8" w:color="0077C0"/>
            </w:tcBorders>
          </w:tcPr>
          <w:p>
            <w:pPr>
              <w:ind w:left="20"/>
              <w:spacing w:after="0" w:line="202" w:lineRule="exact"/>
              <w:rPr>
                <w:sz w:val="20"/>
                <w:szCs w:val="20"/>
                <w:color w:val="auto"/>
              </w:rPr>
            </w:pPr>
            <w:r>
              <w:rPr>
                <w:rFonts w:ascii="Times New Roman" w:cs="Times New Roman" w:eastAsia="Times New Roman" w:hAnsi="Times New Roman"/>
                <w:sz w:val="14"/>
                <w:szCs w:val="14"/>
                <w:color w:val="auto"/>
              </w:rPr>
              <w:t>Affiliates</w:t>
            </w:r>
            <w:r>
              <w:rPr>
                <w:rFonts w:ascii="Times New Roman" w:cs="Times New Roman" w:eastAsia="Times New Roman" w:hAnsi="Times New Roman"/>
                <w:sz w:val="18"/>
                <w:szCs w:val="18"/>
                <w:color w:val="auto"/>
                <w:vertAlign w:val="superscript"/>
              </w:rPr>
              <w:t>3</w:t>
            </w:r>
          </w:p>
        </w:tc>
        <w:tc>
          <w:tcPr>
            <w:tcW w:w="1440" w:type="dxa"/>
            <w:vAlign w:val="bottom"/>
            <w:tcBorders>
              <w:bottom w:val="single" w:sz="8" w:color="0077C0"/>
            </w:tcBorders>
          </w:tcPr>
          <w:p>
            <w:pPr>
              <w:jc w:val="right"/>
              <w:ind w:right="228"/>
              <w:spacing w:after="0"/>
              <w:rPr>
                <w:sz w:val="20"/>
                <w:szCs w:val="20"/>
                <w:color w:val="auto"/>
              </w:rPr>
            </w:pPr>
            <w:r>
              <w:rPr>
                <w:rFonts w:ascii="Times New Roman" w:cs="Times New Roman" w:eastAsia="Times New Roman" w:hAnsi="Times New Roman"/>
                <w:sz w:val="14"/>
                <w:szCs w:val="14"/>
                <w:color w:val="auto"/>
              </w:rPr>
              <w:t>693</w:t>
            </w:r>
          </w:p>
        </w:tc>
        <w:tc>
          <w:tcPr>
            <w:tcW w:w="114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287</w:t>
            </w:r>
          </w:p>
        </w:tc>
        <w:tc>
          <w:tcPr>
            <w:tcW w:w="1600" w:type="dxa"/>
            <w:vAlign w:val="bottom"/>
            <w:tcBorders>
              <w:bottom w:val="single" w:sz="8" w:color="0077C0"/>
            </w:tcBorders>
          </w:tcPr>
          <w:p>
            <w:pPr>
              <w:jc w:val="right"/>
              <w:ind w:right="308"/>
              <w:spacing w:after="0"/>
              <w:rPr>
                <w:sz w:val="20"/>
                <w:szCs w:val="20"/>
                <w:color w:val="auto"/>
              </w:rPr>
            </w:pPr>
            <w:r>
              <w:rPr>
                <w:rFonts w:ascii="Times New Roman" w:cs="Times New Roman" w:eastAsia="Times New Roman" w:hAnsi="Times New Roman"/>
                <w:sz w:val="14"/>
                <w:szCs w:val="14"/>
                <w:color w:val="auto"/>
              </w:rPr>
              <w:t>111</w:t>
            </w:r>
          </w:p>
        </w:tc>
        <w:tc>
          <w:tcPr>
            <w:tcW w:w="102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51</w:t>
            </w:r>
          </w:p>
        </w:tc>
        <w:tc>
          <w:tcPr>
            <w:tcW w:w="1700" w:type="dxa"/>
            <w:vAlign w:val="bottom"/>
            <w:tcBorders>
              <w:bottom w:val="single" w:sz="8" w:color="0077C0"/>
            </w:tcBorders>
          </w:tcPr>
          <w:p>
            <w:pPr>
              <w:jc w:val="right"/>
              <w:ind w:right="408"/>
              <w:spacing w:after="0"/>
              <w:rPr>
                <w:sz w:val="20"/>
                <w:szCs w:val="20"/>
                <w:color w:val="auto"/>
              </w:rPr>
            </w:pPr>
            <w:r>
              <w:rPr>
                <w:rFonts w:ascii="Times New Roman" w:cs="Times New Roman" w:eastAsia="Times New Roman" w:hAnsi="Times New Roman"/>
                <w:sz w:val="14"/>
                <w:szCs w:val="14"/>
                <w:color w:val="auto"/>
              </w:rPr>
              <w:t>804</w:t>
            </w:r>
          </w:p>
        </w:tc>
        <w:tc>
          <w:tcPr>
            <w:tcW w:w="90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tcPr>
          <w:p>
            <w:pPr>
              <w:spacing w:after="0"/>
              <w:rPr>
                <w:sz w:val="17"/>
                <w:szCs w:val="17"/>
                <w:color w:val="auto"/>
              </w:rPr>
            </w:pPr>
          </w:p>
        </w:tc>
      </w:tr>
      <w:tr>
        <w:trPr>
          <w:trHeight w:val="190"/>
        </w:trPr>
        <w:tc>
          <w:tcPr>
            <w:tcW w:w="334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Including Affiliates</w:t>
            </w:r>
          </w:p>
        </w:tc>
        <w:tc>
          <w:tcPr>
            <w:tcW w:w="1440" w:type="dxa"/>
            <w:vAlign w:val="bottom"/>
            <w:tcBorders>
              <w:bottom w:val="single" w:sz="8" w:color="0077C0"/>
            </w:tcBorders>
          </w:tcPr>
          <w:p>
            <w:pPr>
              <w:jc w:val="right"/>
              <w:ind w:right="228"/>
              <w:spacing w:after="0"/>
              <w:rPr>
                <w:sz w:val="20"/>
                <w:szCs w:val="20"/>
                <w:color w:val="auto"/>
              </w:rPr>
            </w:pPr>
            <w:r>
              <w:rPr>
                <w:rFonts w:ascii="Times New Roman" w:cs="Times New Roman" w:eastAsia="Times New Roman" w:hAnsi="Times New Roman"/>
                <w:sz w:val="14"/>
                <w:szCs w:val="14"/>
                <w:color w:val="auto"/>
              </w:rPr>
              <w:t>51,786</w:t>
            </w:r>
          </w:p>
        </w:tc>
        <w:tc>
          <w:tcPr>
            <w:tcW w:w="114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32,252</w:t>
            </w:r>
          </w:p>
        </w:tc>
        <w:tc>
          <w:tcPr>
            <w:tcW w:w="1600" w:type="dxa"/>
            <w:vAlign w:val="bottom"/>
            <w:tcBorders>
              <w:bottom w:val="single" w:sz="8" w:color="0077C0"/>
            </w:tcBorders>
          </w:tcPr>
          <w:p>
            <w:pPr>
              <w:jc w:val="right"/>
              <w:ind w:right="308"/>
              <w:spacing w:after="0"/>
              <w:rPr>
                <w:sz w:val="20"/>
                <w:szCs w:val="20"/>
                <w:color w:val="auto"/>
              </w:rPr>
            </w:pPr>
            <w:r>
              <w:rPr>
                <w:rFonts w:ascii="Times New Roman" w:cs="Times New Roman" w:eastAsia="Times New Roman" w:hAnsi="Times New Roman"/>
                <w:sz w:val="14"/>
                <w:szCs w:val="14"/>
                <w:color w:val="auto"/>
              </w:rPr>
              <w:t>9,816</w:t>
            </w:r>
          </w:p>
        </w:tc>
        <w:tc>
          <w:tcPr>
            <w:tcW w:w="102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4,933</w:t>
            </w:r>
          </w:p>
        </w:tc>
        <w:tc>
          <w:tcPr>
            <w:tcW w:w="1700" w:type="dxa"/>
            <w:vAlign w:val="bottom"/>
            <w:tcBorders>
              <w:bottom w:val="single" w:sz="8" w:color="0077C0"/>
            </w:tcBorders>
          </w:tcPr>
          <w:p>
            <w:pPr>
              <w:jc w:val="right"/>
              <w:ind w:right="408"/>
              <w:spacing w:after="0"/>
              <w:rPr>
                <w:sz w:val="20"/>
                <w:szCs w:val="20"/>
                <w:color w:val="auto"/>
              </w:rPr>
            </w:pPr>
            <w:r>
              <w:rPr>
                <w:rFonts w:ascii="Times New Roman" w:cs="Times New Roman" w:eastAsia="Times New Roman" w:hAnsi="Times New Roman"/>
                <w:sz w:val="14"/>
                <w:szCs w:val="14"/>
                <w:color w:val="auto"/>
              </w:rPr>
              <w:t>61,602</w:t>
            </w:r>
          </w:p>
        </w:tc>
        <w:tc>
          <w:tcPr>
            <w:tcW w:w="90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37,185</w:t>
            </w:r>
          </w:p>
        </w:tc>
        <w:tc>
          <w:tcPr>
            <w:tcW w:w="100" w:type="dxa"/>
            <w:vAlign w:val="bottom"/>
          </w:tcPr>
          <w:p>
            <w:pPr>
              <w:spacing w:after="0"/>
              <w:rPr>
                <w:sz w:val="16"/>
                <w:szCs w:val="16"/>
                <w:color w:val="auto"/>
              </w:rPr>
            </w:pPr>
          </w:p>
        </w:tc>
      </w:tr>
    </w:tbl>
    <w:p>
      <w:pPr>
        <w:ind w:left="80" w:hanging="54"/>
        <w:spacing w:after="0" w:line="208" w:lineRule="auto"/>
        <w:tabs>
          <w:tab w:leader="none" w:pos="80" w:val="left"/>
        </w:tabs>
        <w:numPr>
          <w:ilvl w:val="0"/>
          <w:numId w:val="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Gross acres represent the total number of acres in which Chevron has an ownership interest. Net acres represent the sum of Chevron’s ownership interest in gross acres.</w:t>
      </w:r>
    </w:p>
    <w:p>
      <w:pPr>
        <w:spacing w:after="0" w:line="54" w:lineRule="exact"/>
        <w:rPr>
          <w:rFonts w:ascii="Times New Roman" w:cs="Times New Roman" w:eastAsia="Times New Roman" w:hAnsi="Times New Roman"/>
          <w:sz w:val="16"/>
          <w:szCs w:val="16"/>
          <w:color w:val="auto"/>
          <w:vertAlign w:val="superscript"/>
        </w:rPr>
      </w:pPr>
    </w:p>
    <w:p>
      <w:pPr>
        <w:ind w:left="20" w:right="2820"/>
        <w:spacing w:after="0" w:line="323" w:lineRule="auto"/>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 xml:space="preserve"> The gross undeveloped acres that will expire in 2025, 2026 and 2027 if production is not established by certain required dates are 2,951, 1,149, and 733, respectively. </w:t>
      </w:r>
      <w:r>
        <w:rPr>
          <w:rFonts w:ascii="Times New Roman" w:cs="Times New Roman" w:eastAsia="Times New Roman" w:hAnsi="Times New Roman"/>
          <w:sz w:val="16"/>
          <w:szCs w:val="16"/>
          <w:color w:val="auto"/>
          <w:vertAlign w:val="superscript"/>
        </w:rPr>
        <w:t>3</w:t>
      </w:r>
      <w:r>
        <w:rPr>
          <w:rFonts w:ascii="Times New Roman" w:cs="Times New Roman" w:eastAsia="Times New Roman" w:hAnsi="Times New Roman"/>
          <w:sz w:val="13"/>
          <w:szCs w:val="13"/>
          <w:color w:val="auto"/>
        </w:rPr>
        <w:t xml:space="preserve"> Includes gross 405 and net 143 undeveloped and gross 19 and net 5 developed acreage for interests accounted for by the non-equity method.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8" w:name="page9"/>
    <w:bookmarkEnd w:id="8"/>
    <w:p>
      <w:pPr>
        <w:ind w:left="10100"/>
        <w:spacing w:after="0"/>
        <w:rPr>
          <w:sz w:val="20"/>
          <w:szCs w:val="20"/>
          <w:color w:val="auto"/>
        </w:rPr>
      </w:pPr>
      <w:r>
        <w:rPr>
          <w:rFonts w:ascii="Arial" w:cs="Arial" w:eastAsia="Arial" w:hAnsi="Arial"/>
          <w:sz w:val="14"/>
          <w:szCs w:val="14"/>
          <w:color w:val="0077C0"/>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0077C0"/>
        </w:rPr>
        <w:t>Net Production of Crude Oil, Natural Gas Liquids and Natural Gas</w:t>
      </w:r>
    </w:p>
    <w:p>
      <w:pPr>
        <w:spacing w:after="0" w:line="10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 xml:space="preserve">The following table summarizes the net production of crude oil, NGLs and natural gas for 2024 and 2023 by the company and its affiliates. Worldwide oil-equivalent production of 3.3 million barrels per day in 2024 was up approximately seven percent from 2023, mainly due to the full-year of legacy PDC Energy, Inc. (PDC) production and growth in the Permian Basin. Refer to the </w:t>
      </w:r>
      <w:r>
        <w:rPr>
          <w:rFonts w:ascii="Times New Roman" w:cs="Times New Roman" w:eastAsia="Times New Roman" w:hAnsi="Times New Roman"/>
          <w:sz w:val="18"/>
          <w:szCs w:val="18"/>
          <w:u w:val="single" w:color="auto"/>
          <w:color w:val="0000FF"/>
        </w:rPr>
        <w:t>Results of Operations</w:t>
      </w:r>
      <w:r>
        <w:rPr>
          <w:rFonts w:ascii="Times New Roman" w:cs="Times New Roman" w:eastAsia="Times New Roman" w:hAnsi="Times New Roman"/>
          <w:sz w:val="18"/>
          <w:szCs w:val="18"/>
          <w:color w:val="auto"/>
        </w:rPr>
        <w:t xml:space="preserve"> section for a detailed discussion of the factors explaining the changes in production for liquids (including crude oil, condensate, NGLs and synthetic oil) and natural gas, and refer to </w:t>
      </w:r>
      <w:r>
        <w:rPr>
          <w:rFonts w:ascii="Times New Roman" w:cs="Times New Roman" w:eastAsia="Times New Roman" w:hAnsi="Times New Roman"/>
          <w:sz w:val="18"/>
          <w:szCs w:val="18"/>
          <w:u w:val="single" w:color="auto"/>
          <w:color w:val="0000FF"/>
        </w:rPr>
        <w:t>Table V</w:t>
      </w:r>
      <w:r>
        <w:rPr>
          <w:rFonts w:ascii="Times New Roman" w:cs="Times New Roman" w:eastAsia="Times New Roman" w:hAnsi="Times New Roman"/>
          <w:sz w:val="18"/>
          <w:szCs w:val="18"/>
          <w:color w:val="auto"/>
        </w:rPr>
        <w:t xml:space="preserve"> for information on annual production by geographical region.</w:t>
      </w:r>
    </w:p>
    <w:p>
      <w:pPr>
        <w:spacing w:after="0" w:line="8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Components of Oil-Equivalent</w:t>
      </w:r>
    </w:p>
    <w:p>
      <w:pPr>
        <w:sectPr>
          <w:pgSz w:w="11900" w:h="16838" w:orient="portrait"/>
          <w:cols w:equalWidth="0" w:num="1">
            <w:col w:w="11240"/>
          </w:cols>
          <w:pgMar w:left="320" w:top="414" w:right="3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i w:val="1"/>
          <w:iCs w:val="1"/>
          <w:color w:val="auto"/>
        </w:rPr>
        <w:t>Thousands of barrels per day (MBD)</w:t>
      </w:r>
    </w:p>
    <w:p>
      <w:pPr>
        <w:spacing w:after="0" w:line="38" w:lineRule="exact"/>
        <w:rPr>
          <w:sz w:val="20"/>
          <w:szCs w:val="20"/>
          <w:color w:val="auto"/>
        </w:rPr>
      </w:pPr>
    </w:p>
    <w:p>
      <w:pPr>
        <w:ind w:left="60" w:right="400"/>
        <w:spacing w:after="0" w:line="243" w:lineRule="auto"/>
        <w:rPr>
          <w:sz w:val="20"/>
          <w:szCs w:val="20"/>
          <w:color w:val="auto"/>
        </w:rPr>
      </w:pPr>
      <w:r>
        <w:rPr>
          <w:rFonts w:ascii="Times New Roman" w:cs="Times New Roman" w:eastAsia="Times New Roman" w:hAnsi="Times New Roman"/>
          <w:sz w:val="13"/>
          <w:szCs w:val="13"/>
          <w:i w:val="1"/>
          <w:iCs w:val="1"/>
          <w:color w:val="auto"/>
        </w:rPr>
        <w:t>Millions of cubic feet per day (MMCFD)</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1"/>
        </w:trPr>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Oil-Equivalent</w:t>
            </w:r>
          </w:p>
        </w:tc>
        <w:tc>
          <w:tcPr>
            <w:tcW w:w="1240" w:type="dxa"/>
            <w:vAlign w:val="bottom"/>
            <w:tcBorders>
              <w:top w:val="single" w:sz="8" w:color="0077C0"/>
            </w:tcBorders>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1120" w:type="dxa"/>
            <w:vAlign w:val="bottom"/>
            <w:tcBorders>
              <w:top w:val="single" w:sz="8" w:color="0077C0"/>
            </w:tcBorders>
            <w:gridSpan w:val="2"/>
          </w:tcPr>
          <w:p>
            <w:pPr>
              <w:jc w:val="right"/>
              <w:ind w:right="88"/>
              <w:spacing w:after="0" w:line="151" w:lineRule="exact"/>
              <w:rPr>
                <w:sz w:val="20"/>
                <w:szCs w:val="20"/>
                <w:color w:val="auto"/>
              </w:rPr>
            </w:pPr>
            <w:r>
              <w:rPr>
                <w:rFonts w:ascii="Times New Roman" w:cs="Times New Roman" w:eastAsia="Times New Roman" w:hAnsi="Times New Roman"/>
                <w:sz w:val="14"/>
                <w:szCs w:val="14"/>
                <w:b w:val="1"/>
                <w:bCs w:val="1"/>
                <w:color w:val="auto"/>
              </w:rPr>
              <w:t>Natural Gas</w:t>
            </w:r>
          </w:p>
        </w:tc>
        <w:tc>
          <w:tcPr>
            <w:tcW w:w="1080" w:type="dxa"/>
            <w:vAlign w:val="bottom"/>
            <w:tcBorders>
              <w:top w:val="single" w:sz="8" w:color="0077C0"/>
            </w:tcBorders>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Natural Gas</w:t>
            </w:r>
          </w:p>
        </w:tc>
        <w:tc>
          <w:tcPr>
            <w:tcW w:w="0" w:type="dxa"/>
            <w:vAlign w:val="bottom"/>
          </w:tcPr>
          <w:p>
            <w:pPr>
              <w:spacing w:after="0"/>
              <w:rPr>
                <w:sz w:val="1"/>
                <w:szCs w:val="1"/>
                <w:color w:val="auto"/>
              </w:rPr>
            </w:pPr>
          </w:p>
        </w:tc>
      </w:tr>
      <w:tr>
        <w:trPr>
          <w:trHeight w:val="189"/>
        </w:trPr>
        <w:tc>
          <w:tcPr>
            <w:tcW w:w="102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Liquids</w:t>
            </w: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(MBD)</w:t>
            </w:r>
            <w:r>
              <w:rPr>
                <w:rFonts w:ascii="Times New Roman" w:cs="Times New Roman" w:eastAsia="Times New Roman" w:hAnsi="Times New Roman"/>
                <w:sz w:val="9"/>
                <w:szCs w:val="9"/>
                <w:b w:val="1"/>
                <w:bCs w:val="1"/>
                <w:color w:val="auto"/>
                <w:w w:val="98"/>
              </w:rPr>
              <w:t>1</w:t>
            </w:r>
          </w:p>
        </w:tc>
        <w:tc>
          <w:tcPr>
            <w:tcW w:w="60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(MBD)</w:t>
            </w:r>
            <w:r>
              <w:rPr>
                <w:rFonts w:ascii="Times New Roman" w:cs="Times New Roman" w:eastAsia="Times New Roman" w:hAnsi="Times New Roman"/>
                <w:sz w:val="9"/>
                <w:szCs w:val="9"/>
                <w:b w:val="1"/>
                <w:bCs w:val="1"/>
                <w:color w:val="auto"/>
              </w:rPr>
              <w:t>2</w:t>
            </w:r>
          </w:p>
        </w:tc>
        <w:tc>
          <w:tcPr>
            <w:tcW w:w="46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(MBD)</w:t>
            </w:r>
          </w:p>
        </w:tc>
        <w:tc>
          <w:tcPr>
            <w:tcW w:w="10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(MMCFD)</w:t>
            </w:r>
          </w:p>
        </w:tc>
        <w:tc>
          <w:tcPr>
            <w:tcW w:w="0" w:type="dxa"/>
            <w:vAlign w:val="bottom"/>
          </w:tcPr>
          <w:p>
            <w:pPr>
              <w:spacing w:after="0"/>
              <w:rPr>
                <w:sz w:val="1"/>
                <w:szCs w:val="1"/>
                <w:color w:val="auto"/>
              </w:rPr>
            </w:pPr>
          </w:p>
        </w:tc>
      </w:tr>
      <w:tr>
        <w:trPr>
          <w:trHeight w:val="23"/>
        </w:trPr>
        <w:tc>
          <w:tcPr>
            <w:tcW w:w="520" w:type="dxa"/>
            <w:vAlign w:val="bottom"/>
            <w:tcBorders>
              <w:bottom w:val="single" w:sz="8" w:color="0077C0"/>
            </w:tcBorders>
          </w:tcPr>
          <w:p>
            <w:pPr>
              <w:spacing w:after="0"/>
              <w:rPr>
                <w:sz w:val="2"/>
                <w:szCs w:val="2"/>
                <w:color w:val="auto"/>
              </w:rPr>
            </w:pPr>
          </w:p>
        </w:tc>
        <w:tc>
          <w:tcPr>
            <w:tcW w:w="50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46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2023</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2023</w:t>
            </w:r>
          </w:p>
        </w:tc>
        <w:tc>
          <w:tcPr>
            <w:tcW w:w="5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2">
            <w:col w:w="1940" w:space="80"/>
            <w:col w:w="9220"/>
          </w:cols>
          <w:pgMar w:left="320" w:top="414" w:right="33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2020" w:type="dxa"/>
            <w:vAlign w:val="bottom"/>
            <w:tcBorders>
              <w:top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540" w:type="dxa"/>
            <w:vAlign w:val="bottom"/>
            <w:tcBorders>
              <w:top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1,599</w:t>
            </w:r>
          </w:p>
        </w:tc>
        <w:tc>
          <w:tcPr>
            <w:tcW w:w="500" w:type="dxa"/>
            <w:vAlign w:val="bottom"/>
            <w:tcBorders>
              <w:top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1,349</w:t>
            </w:r>
          </w:p>
        </w:tc>
        <w:tc>
          <w:tcPr>
            <w:tcW w:w="620" w:type="dxa"/>
            <w:vAlign w:val="bottom"/>
            <w:tcBorders>
              <w:top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782</w:t>
            </w:r>
          </w:p>
        </w:tc>
        <w:tc>
          <w:tcPr>
            <w:tcW w:w="500" w:type="dxa"/>
            <w:vAlign w:val="bottom"/>
            <w:tcBorders>
              <w:top w:val="single" w:sz="8" w:color="0077C0"/>
              <w:right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710</w:t>
            </w:r>
          </w:p>
        </w:tc>
        <w:tc>
          <w:tcPr>
            <w:tcW w:w="660" w:type="dxa"/>
            <w:vAlign w:val="bottom"/>
            <w:tcBorders>
              <w:top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370</w:t>
            </w:r>
          </w:p>
        </w:tc>
        <w:tc>
          <w:tcPr>
            <w:tcW w:w="440" w:type="dxa"/>
            <w:vAlign w:val="bottom"/>
            <w:tcBorders>
              <w:top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287</w:t>
            </w:r>
          </w:p>
        </w:tc>
        <w:tc>
          <w:tcPr>
            <w:tcW w:w="600" w:type="dxa"/>
            <w:vAlign w:val="bottom"/>
            <w:tcBorders>
              <w:top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2,684</w:t>
            </w:r>
          </w:p>
        </w:tc>
        <w:tc>
          <w:tcPr>
            <w:tcW w:w="480" w:type="dxa"/>
            <w:vAlign w:val="bottom"/>
            <w:tcBorders>
              <w:top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2,112</w:t>
            </w:r>
          </w:p>
        </w:tc>
        <w:tc>
          <w:tcPr>
            <w:tcW w:w="120" w:type="dxa"/>
            <w:vAlign w:val="bottom"/>
            <w:tcBorders>
              <w:top w:val="single" w:sz="8" w:color="0077C0"/>
            </w:tcBorders>
          </w:tcPr>
          <w:p>
            <w:pPr>
              <w:spacing w:after="0"/>
              <w:rPr>
                <w:sz w:val="17"/>
                <w:szCs w:val="17"/>
                <w:color w:val="auto"/>
              </w:rPr>
            </w:pPr>
          </w:p>
        </w:tc>
      </w:tr>
      <w:tr>
        <w:trPr>
          <w:trHeight w:val="191"/>
        </w:trPr>
        <w:tc>
          <w:tcPr>
            <w:tcW w:w="2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Americas</w:t>
            </w:r>
          </w:p>
        </w:tc>
        <w:tc>
          <w:tcPr>
            <w:tcW w:w="540" w:type="dxa"/>
            <w:vAlign w:val="bottom"/>
          </w:tcPr>
          <w:p>
            <w:pPr>
              <w:spacing w:after="0"/>
              <w:rPr>
                <w:sz w:val="16"/>
                <w:szCs w:val="16"/>
                <w:color w:val="auto"/>
              </w:rPr>
            </w:pPr>
          </w:p>
        </w:tc>
        <w:tc>
          <w:tcPr>
            <w:tcW w:w="500" w:type="dxa"/>
            <w:vAlign w:val="bottom"/>
            <w:tcBorders>
              <w:right w:val="single" w:sz="8" w:color="0077C0"/>
            </w:tcBorders>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Borders>
              <w:right w:val="single" w:sz="8" w:color="0077C0"/>
            </w:tcBorders>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Borders>
              <w:right w:val="single" w:sz="8" w:color="0077C0"/>
            </w:tcBorders>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2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Argentina</w:t>
            </w:r>
          </w:p>
        </w:tc>
        <w:tc>
          <w:tcPr>
            <w:tcW w:w="5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51</w:t>
            </w:r>
          </w:p>
        </w:tc>
        <w:tc>
          <w:tcPr>
            <w:tcW w:w="50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43</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43</w:t>
            </w:r>
          </w:p>
        </w:tc>
        <w:tc>
          <w:tcPr>
            <w:tcW w:w="500" w:type="dxa"/>
            <w:vAlign w:val="bottom"/>
            <w:tcBorders>
              <w:right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37</w:t>
            </w: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47</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Pr>
          <w:p>
            <w:pPr>
              <w:spacing w:after="0"/>
              <w:rPr>
                <w:sz w:val="17"/>
                <w:szCs w:val="17"/>
                <w:color w:val="auto"/>
              </w:rPr>
            </w:pPr>
          </w:p>
        </w:tc>
      </w:tr>
      <w:tr>
        <w:trPr>
          <w:trHeight w:val="203"/>
        </w:trPr>
        <w:tc>
          <w:tcPr>
            <w:tcW w:w="2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Canada</w:t>
            </w:r>
            <w:r>
              <w:rPr>
                <w:rFonts w:ascii="Times New Roman" w:cs="Times New Roman" w:eastAsia="Times New Roman" w:hAnsi="Times New Roman"/>
                <w:sz w:val="9"/>
                <w:szCs w:val="9"/>
                <w:color w:val="auto"/>
              </w:rPr>
              <w:t>3,4</w:t>
            </w:r>
          </w:p>
        </w:tc>
        <w:tc>
          <w:tcPr>
            <w:tcW w:w="5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132</w:t>
            </w:r>
          </w:p>
        </w:tc>
        <w:tc>
          <w:tcPr>
            <w:tcW w:w="50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132</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104</w:t>
            </w:r>
          </w:p>
        </w:tc>
        <w:tc>
          <w:tcPr>
            <w:tcW w:w="500" w:type="dxa"/>
            <w:vAlign w:val="bottom"/>
            <w:tcBorders>
              <w:right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109</w:t>
            </w: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6</w:t>
            </w:r>
          </w:p>
        </w:tc>
        <w:tc>
          <w:tcPr>
            <w:tcW w:w="44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131</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tcPr>
          <w:p>
            <w:pPr>
              <w:spacing w:after="0"/>
              <w:rPr>
                <w:sz w:val="17"/>
                <w:szCs w:val="17"/>
                <w:color w:val="auto"/>
              </w:rPr>
            </w:pPr>
          </w:p>
        </w:tc>
      </w:tr>
      <w:tr>
        <w:trPr>
          <w:trHeight w:val="23"/>
        </w:trPr>
        <w:tc>
          <w:tcPr>
            <w:tcW w:w="2020" w:type="dxa"/>
            <w:vAlign w:val="bottom"/>
            <w:tcBorders>
              <w:bottom w:val="single" w:sz="8" w:color="0077C0"/>
            </w:tcBorders>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500" w:type="dxa"/>
            <w:vAlign w:val="bottom"/>
            <w:tcBorders>
              <w:bottom w:val="single" w:sz="8" w:color="0077C0"/>
              <w:right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500" w:type="dxa"/>
            <w:vAlign w:val="bottom"/>
            <w:tcBorders>
              <w:bottom w:val="single" w:sz="8" w:color="0077C0"/>
              <w:right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440" w:type="dxa"/>
            <w:vAlign w:val="bottom"/>
            <w:tcBorders>
              <w:bottom w:val="single" w:sz="8" w:color="0077C0"/>
              <w:right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480" w:type="dxa"/>
            <w:vAlign w:val="bottom"/>
            <w:tcBorders>
              <w:bottom w:val="single" w:sz="8" w:color="0077C0"/>
            </w:tcBorders>
          </w:tcPr>
          <w:p>
            <w:pPr>
              <w:spacing w:after="0"/>
              <w:rPr>
                <w:sz w:val="2"/>
                <w:szCs w:val="2"/>
                <w:color w:val="auto"/>
              </w:rPr>
            </w:pPr>
          </w:p>
        </w:tc>
        <w:tc>
          <w:tcPr>
            <w:tcW w:w="120" w:type="dxa"/>
            <w:vAlign w:val="bottom"/>
            <w:tcBorders>
              <w:bottom w:val="single" w:sz="8" w:color="0077C0"/>
            </w:tcBorders>
          </w:tcPr>
          <w:p>
            <w:pPr>
              <w:spacing w:after="0"/>
              <w:rPr>
                <w:sz w:val="2"/>
                <w:szCs w:val="2"/>
                <w:color w:val="auto"/>
              </w:rPr>
            </w:pPr>
          </w:p>
        </w:tc>
      </w:tr>
      <w:tr>
        <w:trPr>
          <w:trHeight w:val="190"/>
        </w:trPr>
        <w:tc>
          <w:tcPr>
            <w:tcW w:w="202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Other Americas</w:t>
            </w:r>
          </w:p>
        </w:tc>
        <w:tc>
          <w:tcPr>
            <w:tcW w:w="54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183</w:t>
            </w:r>
          </w:p>
        </w:tc>
        <w:tc>
          <w:tcPr>
            <w:tcW w:w="50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175</w:t>
            </w:r>
          </w:p>
        </w:tc>
        <w:tc>
          <w:tcPr>
            <w:tcW w:w="62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147</w:t>
            </w:r>
          </w:p>
        </w:tc>
        <w:tc>
          <w:tcPr>
            <w:tcW w:w="500" w:type="dxa"/>
            <w:vAlign w:val="bottom"/>
            <w:tcBorders>
              <w:bottom w:val="single" w:sz="8" w:color="0077C0"/>
              <w:right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146</w:t>
            </w:r>
          </w:p>
        </w:tc>
        <w:tc>
          <w:tcPr>
            <w:tcW w:w="660" w:type="dxa"/>
            <w:vAlign w:val="bottom"/>
            <w:tcBorders>
              <w:bottom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6</w:t>
            </w:r>
          </w:p>
        </w:tc>
        <w:tc>
          <w:tcPr>
            <w:tcW w:w="44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60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178</w:t>
            </w:r>
          </w:p>
        </w:tc>
        <w:tc>
          <w:tcPr>
            <w:tcW w:w="4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20" w:type="dxa"/>
            <w:vAlign w:val="bottom"/>
          </w:tcPr>
          <w:p>
            <w:pPr>
              <w:spacing w:after="0"/>
              <w:rPr>
                <w:sz w:val="16"/>
                <w:szCs w:val="16"/>
                <w:color w:val="auto"/>
              </w:rPr>
            </w:pPr>
          </w:p>
        </w:tc>
      </w:tr>
      <w:tr>
        <w:trPr>
          <w:trHeight w:val="188"/>
        </w:trPr>
        <w:tc>
          <w:tcPr>
            <w:tcW w:w="2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Africa</w:t>
            </w:r>
          </w:p>
        </w:tc>
        <w:tc>
          <w:tcPr>
            <w:tcW w:w="540" w:type="dxa"/>
            <w:vAlign w:val="bottom"/>
          </w:tcPr>
          <w:p>
            <w:pPr>
              <w:spacing w:after="0"/>
              <w:rPr>
                <w:sz w:val="16"/>
                <w:szCs w:val="16"/>
                <w:color w:val="auto"/>
              </w:rPr>
            </w:pPr>
          </w:p>
        </w:tc>
        <w:tc>
          <w:tcPr>
            <w:tcW w:w="500" w:type="dxa"/>
            <w:vAlign w:val="bottom"/>
            <w:tcBorders>
              <w:right w:val="single" w:sz="8" w:color="0077C0"/>
            </w:tcBorders>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Borders>
              <w:right w:val="single" w:sz="8" w:color="0077C0"/>
            </w:tcBorders>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Borders>
              <w:right w:val="single" w:sz="8" w:color="0077C0"/>
            </w:tcBorders>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3"/>
        </w:trPr>
        <w:tc>
          <w:tcPr>
            <w:tcW w:w="2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Angola</w:t>
            </w:r>
          </w:p>
        </w:tc>
        <w:tc>
          <w:tcPr>
            <w:tcW w:w="5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64</w:t>
            </w:r>
          </w:p>
        </w:tc>
        <w:tc>
          <w:tcPr>
            <w:tcW w:w="50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67</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52</w:t>
            </w:r>
          </w:p>
        </w:tc>
        <w:tc>
          <w:tcPr>
            <w:tcW w:w="500" w:type="dxa"/>
            <w:vAlign w:val="bottom"/>
            <w:tcBorders>
              <w:right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55</w:t>
            </w: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4</w:t>
            </w:r>
          </w:p>
        </w:tc>
        <w:tc>
          <w:tcPr>
            <w:tcW w:w="44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48</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tcPr>
          <w:p>
            <w:pPr>
              <w:spacing w:after="0"/>
              <w:rPr>
                <w:sz w:val="16"/>
                <w:szCs w:val="16"/>
                <w:color w:val="auto"/>
              </w:rPr>
            </w:pPr>
          </w:p>
        </w:tc>
      </w:tr>
      <w:tr>
        <w:trPr>
          <w:trHeight w:val="203"/>
        </w:trPr>
        <w:tc>
          <w:tcPr>
            <w:tcW w:w="2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Equatorial Guinea</w:t>
            </w:r>
          </w:p>
        </w:tc>
        <w:tc>
          <w:tcPr>
            <w:tcW w:w="5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46</w:t>
            </w:r>
          </w:p>
        </w:tc>
        <w:tc>
          <w:tcPr>
            <w:tcW w:w="50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49</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9</w:t>
            </w:r>
          </w:p>
        </w:tc>
        <w:tc>
          <w:tcPr>
            <w:tcW w:w="500" w:type="dxa"/>
            <w:vAlign w:val="bottom"/>
            <w:tcBorders>
              <w:right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5</w:t>
            </w:r>
          </w:p>
        </w:tc>
        <w:tc>
          <w:tcPr>
            <w:tcW w:w="44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191</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20" w:type="dxa"/>
            <w:vAlign w:val="bottom"/>
          </w:tcPr>
          <w:p>
            <w:pPr>
              <w:spacing w:after="0"/>
              <w:rPr>
                <w:sz w:val="17"/>
                <w:szCs w:val="17"/>
                <w:color w:val="auto"/>
              </w:rPr>
            </w:pPr>
          </w:p>
        </w:tc>
      </w:tr>
      <w:tr>
        <w:trPr>
          <w:trHeight w:val="203"/>
        </w:trPr>
        <w:tc>
          <w:tcPr>
            <w:tcW w:w="2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Nigeria</w:t>
            </w:r>
          </w:p>
        </w:tc>
        <w:tc>
          <w:tcPr>
            <w:tcW w:w="5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129</w:t>
            </w:r>
          </w:p>
        </w:tc>
        <w:tc>
          <w:tcPr>
            <w:tcW w:w="50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147</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96</w:t>
            </w:r>
          </w:p>
        </w:tc>
        <w:tc>
          <w:tcPr>
            <w:tcW w:w="500" w:type="dxa"/>
            <w:vAlign w:val="bottom"/>
            <w:tcBorders>
              <w:right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104</w:t>
            </w: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3</w:t>
            </w:r>
          </w:p>
        </w:tc>
        <w:tc>
          <w:tcPr>
            <w:tcW w:w="44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183</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20" w:type="dxa"/>
            <w:vAlign w:val="bottom"/>
          </w:tcPr>
          <w:p>
            <w:pPr>
              <w:spacing w:after="0"/>
              <w:rPr>
                <w:sz w:val="17"/>
                <w:szCs w:val="17"/>
                <w:color w:val="auto"/>
              </w:rPr>
            </w:pPr>
          </w:p>
        </w:tc>
      </w:tr>
      <w:tr>
        <w:trPr>
          <w:trHeight w:val="203"/>
        </w:trPr>
        <w:tc>
          <w:tcPr>
            <w:tcW w:w="2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Republic of Congo</w:t>
            </w:r>
          </w:p>
        </w:tc>
        <w:tc>
          <w:tcPr>
            <w:tcW w:w="5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28</w:t>
            </w:r>
          </w:p>
        </w:tc>
        <w:tc>
          <w:tcPr>
            <w:tcW w:w="50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26</w:t>
            </w:r>
          </w:p>
        </w:tc>
        <w:tc>
          <w:tcPr>
            <w:tcW w:w="500" w:type="dxa"/>
            <w:vAlign w:val="bottom"/>
            <w:tcBorders>
              <w:right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28</w:t>
            </w: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10</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7"/>
                <w:szCs w:val="17"/>
                <w:color w:val="auto"/>
              </w:rPr>
            </w:pPr>
          </w:p>
        </w:tc>
      </w:tr>
      <w:tr>
        <w:trPr>
          <w:trHeight w:val="23"/>
        </w:trPr>
        <w:tc>
          <w:tcPr>
            <w:tcW w:w="2020" w:type="dxa"/>
            <w:vAlign w:val="bottom"/>
            <w:tcBorders>
              <w:bottom w:val="single" w:sz="8" w:color="0077C0"/>
            </w:tcBorders>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500" w:type="dxa"/>
            <w:vAlign w:val="bottom"/>
            <w:tcBorders>
              <w:bottom w:val="single" w:sz="8" w:color="0077C0"/>
              <w:right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500" w:type="dxa"/>
            <w:vAlign w:val="bottom"/>
            <w:tcBorders>
              <w:bottom w:val="single" w:sz="8" w:color="0077C0"/>
              <w:right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440" w:type="dxa"/>
            <w:vAlign w:val="bottom"/>
            <w:tcBorders>
              <w:bottom w:val="single" w:sz="8" w:color="0077C0"/>
              <w:right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480" w:type="dxa"/>
            <w:vAlign w:val="bottom"/>
            <w:tcBorders>
              <w:bottom w:val="single" w:sz="8" w:color="0077C0"/>
            </w:tcBorders>
          </w:tcPr>
          <w:p>
            <w:pPr>
              <w:spacing w:after="0"/>
              <w:rPr>
                <w:sz w:val="2"/>
                <w:szCs w:val="2"/>
                <w:color w:val="auto"/>
              </w:rPr>
            </w:pPr>
          </w:p>
        </w:tc>
        <w:tc>
          <w:tcPr>
            <w:tcW w:w="120" w:type="dxa"/>
            <w:vAlign w:val="bottom"/>
            <w:tcBorders>
              <w:bottom w:val="single" w:sz="8" w:color="0077C0"/>
            </w:tcBorders>
          </w:tcPr>
          <w:p>
            <w:pPr>
              <w:spacing w:after="0"/>
              <w:rPr>
                <w:sz w:val="2"/>
                <w:szCs w:val="2"/>
                <w:color w:val="auto"/>
              </w:rPr>
            </w:pPr>
          </w:p>
        </w:tc>
      </w:tr>
      <w:tr>
        <w:trPr>
          <w:trHeight w:val="190"/>
        </w:trPr>
        <w:tc>
          <w:tcPr>
            <w:tcW w:w="202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Africa</w:t>
            </w:r>
          </w:p>
        </w:tc>
        <w:tc>
          <w:tcPr>
            <w:tcW w:w="54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267</w:t>
            </w:r>
          </w:p>
        </w:tc>
        <w:tc>
          <w:tcPr>
            <w:tcW w:w="50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293</w:t>
            </w:r>
          </w:p>
        </w:tc>
        <w:tc>
          <w:tcPr>
            <w:tcW w:w="62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183</w:t>
            </w:r>
          </w:p>
        </w:tc>
        <w:tc>
          <w:tcPr>
            <w:tcW w:w="500" w:type="dxa"/>
            <w:vAlign w:val="bottom"/>
            <w:tcBorders>
              <w:bottom w:val="single" w:sz="8" w:color="0077C0"/>
              <w:right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198</w:t>
            </w:r>
          </w:p>
        </w:tc>
        <w:tc>
          <w:tcPr>
            <w:tcW w:w="660" w:type="dxa"/>
            <w:vAlign w:val="bottom"/>
            <w:tcBorders>
              <w:bottom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12</w:t>
            </w:r>
          </w:p>
        </w:tc>
        <w:tc>
          <w:tcPr>
            <w:tcW w:w="44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60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432</w:t>
            </w:r>
          </w:p>
        </w:tc>
        <w:tc>
          <w:tcPr>
            <w:tcW w:w="4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120" w:type="dxa"/>
            <w:vAlign w:val="bottom"/>
            <w:tcBorders>
              <w:bottom w:val="single" w:sz="8" w:color="0077C0"/>
            </w:tcBorders>
          </w:tcPr>
          <w:p>
            <w:pPr>
              <w:spacing w:after="0"/>
              <w:rPr>
                <w:sz w:val="16"/>
                <w:szCs w:val="16"/>
                <w:color w:val="auto"/>
              </w:rPr>
            </w:pPr>
          </w:p>
        </w:tc>
      </w:tr>
      <w:tr>
        <w:trPr>
          <w:trHeight w:val="188"/>
        </w:trPr>
        <w:tc>
          <w:tcPr>
            <w:tcW w:w="2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Asia</w:t>
            </w:r>
          </w:p>
        </w:tc>
        <w:tc>
          <w:tcPr>
            <w:tcW w:w="540" w:type="dxa"/>
            <w:vAlign w:val="bottom"/>
          </w:tcPr>
          <w:p>
            <w:pPr>
              <w:spacing w:after="0"/>
              <w:rPr>
                <w:sz w:val="16"/>
                <w:szCs w:val="16"/>
                <w:color w:val="auto"/>
              </w:rPr>
            </w:pPr>
          </w:p>
        </w:tc>
        <w:tc>
          <w:tcPr>
            <w:tcW w:w="500" w:type="dxa"/>
            <w:vAlign w:val="bottom"/>
            <w:tcBorders>
              <w:right w:val="single" w:sz="8" w:color="0077C0"/>
            </w:tcBorders>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Borders>
              <w:right w:val="single" w:sz="8" w:color="0077C0"/>
            </w:tcBorders>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Borders>
              <w:right w:val="single" w:sz="8" w:color="0077C0"/>
            </w:tcBorders>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3"/>
        </w:trPr>
        <w:tc>
          <w:tcPr>
            <w:tcW w:w="2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Bangladesh</w:t>
            </w:r>
          </w:p>
        </w:tc>
        <w:tc>
          <w:tcPr>
            <w:tcW w:w="5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99</w:t>
            </w:r>
          </w:p>
        </w:tc>
        <w:tc>
          <w:tcPr>
            <w:tcW w:w="50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104</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3</w:t>
            </w:r>
          </w:p>
        </w:tc>
        <w:tc>
          <w:tcPr>
            <w:tcW w:w="500" w:type="dxa"/>
            <w:vAlign w:val="bottom"/>
            <w:tcBorders>
              <w:right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577</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120" w:type="dxa"/>
            <w:vAlign w:val="bottom"/>
          </w:tcPr>
          <w:p>
            <w:pPr>
              <w:spacing w:after="0"/>
              <w:rPr>
                <w:sz w:val="16"/>
                <w:szCs w:val="16"/>
                <w:color w:val="auto"/>
              </w:rPr>
            </w:pPr>
          </w:p>
        </w:tc>
      </w:tr>
      <w:tr>
        <w:trPr>
          <w:trHeight w:val="203"/>
        </w:trPr>
        <w:tc>
          <w:tcPr>
            <w:tcW w:w="2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5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29</w:t>
            </w:r>
          </w:p>
        </w:tc>
        <w:tc>
          <w:tcPr>
            <w:tcW w:w="50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7</w:t>
            </w:r>
          </w:p>
        </w:tc>
        <w:tc>
          <w:tcPr>
            <w:tcW w:w="500" w:type="dxa"/>
            <w:vAlign w:val="bottom"/>
            <w:tcBorders>
              <w:right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9</w:t>
            </w: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132</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tcPr>
          <w:p>
            <w:pPr>
              <w:spacing w:after="0"/>
              <w:rPr>
                <w:sz w:val="17"/>
                <w:szCs w:val="17"/>
                <w:color w:val="auto"/>
              </w:rPr>
            </w:pPr>
          </w:p>
        </w:tc>
      </w:tr>
      <w:tr>
        <w:trPr>
          <w:trHeight w:val="203"/>
        </w:trPr>
        <w:tc>
          <w:tcPr>
            <w:tcW w:w="2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Indonesia</w:t>
            </w:r>
            <w:r>
              <w:rPr>
                <w:rFonts w:ascii="Times New Roman" w:cs="Times New Roman" w:eastAsia="Times New Roman" w:hAnsi="Times New Roman"/>
                <w:sz w:val="9"/>
                <w:szCs w:val="9"/>
                <w:color w:val="auto"/>
              </w:rPr>
              <w:t>5</w:t>
            </w:r>
          </w:p>
        </w:tc>
        <w:tc>
          <w:tcPr>
            <w:tcW w:w="5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right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7"/>
                <w:szCs w:val="17"/>
                <w:color w:val="auto"/>
              </w:rPr>
            </w:pPr>
          </w:p>
        </w:tc>
      </w:tr>
      <w:tr>
        <w:trPr>
          <w:trHeight w:val="203"/>
        </w:trPr>
        <w:tc>
          <w:tcPr>
            <w:tcW w:w="2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Israel</w:t>
            </w:r>
          </w:p>
        </w:tc>
        <w:tc>
          <w:tcPr>
            <w:tcW w:w="5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100</w:t>
            </w:r>
          </w:p>
        </w:tc>
        <w:tc>
          <w:tcPr>
            <w:tcW w:w="50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95</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w:t>
            </w:r>
          </w:p>
        </w:tc>
        <w:tc>
          <w:tcPr>
            <w:tcW w:w="500" w:type="dxa"/>
            <w:vAlign w:val="bottom"/>
            <w:tcBorders>
              <w:right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592</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120" w:type="dxa"/>
            <w:vAlign w:val="bottom"/>
          </w:tcPr>
          <w:p>
            <w:pPr>
              <w:spacing w:after="0"/>
              <w:rPr>
                <w:sz w:val="17"/>
                <w:szCs w:val="17"/>
                <w:color w:val="auto"/>
              </w:rPr>
            </w:pPr>
          </w:p>
        </w:tc>
      </w:tr>
      <w:tr>
        <w:trPr>
          <w:trHeight w:val="203"/>
        </w:trPr>
        <w:tc>
          <w:tcPr>
            <w:tcW w:w="2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Kazakhstan</w:t>
            </w:r>
          </w:p>
        </w:tc>
        <w:tc>
          <w:tcPr>
            <w:tcW w:w="5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45</w:t>
            </w:r>
          </w:p>
        </w:tc>
        <w:tc>
          <w:tcPr>
            <w:tcW w:w="50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45</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26</w:t>
            </w:r>
          </w:p>
        </w:tc>
        <w:tc>
          <w:tcPr>
            <w:tcW w:w="500" w:type="dxa"/>
            <w:vAlign w:val="bottom"/>
            <w:tcBorders>
              <w:right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26</w:t>
            </w: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113</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20" w:type="dxa"/>
            <w:vAlign w:val="bottom"/>
          </w:tcPr>
          <w:p>
            <w:pPr>
              <w:spacing w:after="0"/>
              <w:rPr>
                <w:sz w:val="17"/>
                <w:szCs w:val="17"/>
                <w:color w:val="auto"/>
              </w:rPr>
            </w:pPr>
          </w:p>
        </w:tc>
      </w:tr>
      <w:tr>
        <w:trPr>
          <w:trHeight w:val="203"/>
        </w:trPr>
        <w:tc>
          <w:tcPr>
            <w:tcW w:w="2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Myanmar</w:t>
            </w:r>
            <w:r>
              <w:rPr>
                <w:rFonts w:ascii="Times New Roman" w:cs="Times New Roman" w:eastAsia="Times New Roman" w:hAnsi="Times New Roman"/>
                <w:sz w:val="9"/>
                <w:szCs w:val="9"/>
                <w:color w:val="auto"/>
              </w:rPr>
              <w:t>6</w:t>
            </w:r>
          </w:p>
        </w:tc>
        <w:tc>
          <w:tcPr>
            <w:tcW w:w="5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w:t>
            </w:r>
          </w:p>
        </w:tc>
        <w:tc>
          <w:tcPr>
            <w:tcW w:w="50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right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22</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20" w:type="dxa"/>
            <w:vAlign w:val="bottom"/>
          </w:tcPr>
          <w:p>
            <w:pPr>
              <w:spacing w:after="0"/>
              <w:rPr>
                <w:sz w:val="17"/>
                <w:szCs w:val="17"/>
                <w:color w:val="auto"/>
              </w:rPr>
            </w:pPr>
          </w:p>
        </w:tc>
      </w:tr>
      <w:tr>
        <w:trPr>
          <w:trHeight w:val="203"/>
        </w:trPr>
        <w:tc>
          <w:tcPr>
            <w:tcW w:w="2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Partitioned Zone</w:t>
            </w:r>
          </w:p>
        </w:tc>
        <w:tc>
          <w:tcPr>
            <w:tcW w:w="5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61</w:t>
            </w:r>
          </w:p>
        </w:tc>
        <w:tc>
          <w:tcPr>
            <w:tcW w:w="50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61</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60</w:t>
            </w:r>
          </w:p>
        </w:tc>
        <w:tc>
          <w:tcPr>
            <w:tcW w:w="500" w:type="dxa"/>
            <w:vAlign w:val="bottom"/>
            <w:tcBorders>
              <w:right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60</w:t>
            </w: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7"/>
                <w:szCs w:val="17"/>
                <w:color w:val="auto"/>
              </w:rPr>
            </w:pPr>
          </w:p>
        </w:tc>
      </w:tr>
      <w:tr>
        <w:trPr>
          <w:trHeight w:val="203"/>
        </w:trPr>
        <w:tc>
          <w:tcPr>
            <w:tcW w:w="2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Thailand</w:t>
            </w:r>
          </w:p>
        </w:tc>
        <w:tc>
          <w:tcPr>
            <w:tcW w:w="5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47</w:t>
            </w:r>
          </w:p>
        </w:tc>
        <w:tc>
          <w:tcPr>
            <w:tcW w:w="50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42</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14</w:t>
            </w:r>
          </w:p>
        </w:tc>
        <w:tc>
          <w:tcPr>
            <w:tcW w:w="500" w:type="dxa"/>
            <w:vAlign w:val="bottom"/>
            <w:tcBorders>
              <w:right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200</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20" w:type="dxa"/>
            <w:vAlign w:val="bottom"/>
          </w:tcPr>
          <w:p>
            <w:pPr>
              <w:spacing w:after="0"/>
              <w:rPr>
                <w:sz w:val="17"/>
                <w:szCs w:val="17"/>
                <w:color w:val="auto"/>
              </w:rPr>
            </w:pPr>
          </w:p>
        </w:tc>
      </w:tr>
      <w:tr>
        <w:trPr>
          <w:trHeight w:val="23"/>
        </w:trPr>
        <w:tc>
          <w:tcPr>
            <w:tcW w:w="2020" w:type="dxa"/>
            <w:vAlign w:val="bottom"/>
            <w:tcBorders>
              <w:bottom w:val="single" w:sz="8" w:color="0077C0"/>
            </w:tcBorders>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500" w:type="dxa"/>
            <w:vAlign w:val="bottom"/>
            <w:tcBorders>
              <w:bottom w:val="single" w:sz="8" w:color="0077C0"/>
              <w:right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500" w:type="dxa"/>
            <w:vAlign w:val="bottom"/>
            <w:tcBorders>
              <w:bottom w:val="single" w:sz="8" w:color="0077C0"/>
              <w:right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440" w:type="dxa"/>
            <w:vAlign w:val="bottom"/>
            <w:tcBorders>
              <w:bottom w:val="single" w:sz="8" w:color="0077C0"/>
              <w:right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480" w:type="dxa"/>
            <w:vAlign w:val="bottom"/>
            <w:tcBorders>
              <w:bottom w:val="single" w:sz="8" w:color="0077C0"/>
            </w:tcBorders>
          </w:tcPr>
          <w:p>
            <w:pPr>
              <w:spacing w:after="0"/>
              <w:rPr>
                <w:sz w:val="2"/>
                <w:szCs w:val="2"/>
                <w:color w:val="auto"/>
              </w:rPr>
            </w:pPr>
          </w:p>
        </w:tc>
        <w:tc>
          <w:tcPr>
            <w:tcW w:w="120" w:type="dxa"/>
            <w:vAlign w:val="bottom"/>
            <w:tcBorders>
              <w:bottom w:val="single" w:sz="8" w:color="0077C0"/>
            </w:tcBorders>
          </w:tcPr>
          <w:p>
            <w:pPr>
              <w:spacing w:after="0"/>
              <w:rPr>
                <w:sz w:val="2"/>
                <w:szCs w:val="2"/>
                <w:color w:val="auto"/>
              </w:rPr>
            </w:pPr>
          </w:p>
        </w:tc>
      </w:tr>
      <w:tr>
        <w:trPr>
          <w:trHeight w:val="190"/>
        </w:trPr>
        <w:tc>
          <w:tcPr>
            <w:tcW w:w="202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Asia</w:t>
            </w:r>
          </w:p>
        </w:tc>
        <w:tc>
          <w:tcPr>
            <w:tcW w:w="54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385</w:t>
            </w:r>
          </w:p>
        </w:tc>
        <w:tc>
          <w:tcPr>
            <w:tcW w:w="50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395</w:t>
            </w:r>
          </w:p>
        </w:tc>
        <w:tc>
          <w:tcPr>
            <w:tcW w:w="62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111</w:t>
            </w:r>
          </w:p>
        </w:tc>
        <w:tc>
          <w:tcPr>
            <w:tcW w:w="500" w:type="dxa"/>
            <w:vAlign w:val="bottom"/>
            <w:tcBorders>
              <w:bottom w:val="single" w:sz="8" w:color="0077C0"/>
              <w:right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110</w:t>
            </w:r>
          </w:p>
        </w:tc>
        <w:tc>
          <w:tcPr>
            <w:tcW w:w="660" w:type="dxa"/>
            <w:vAlign w:val="bottom"/>
            <w:tcBorders>
              <w:bottom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1,641</w:t>
            </w:r>
          </w:p>
        </w:tc>
        <w:tc>
          <w:tcPr>
            <w:tcW w:w="4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1,712</w:t>
            </w:r>
          </w:p>
        </w:tc>
        <w:tc>
          <w:tcPr>
            <w:tcW w:w="120" w:type="dxa"/>
            <w:vAlign w:val="bottom"/>
            <w:tcBorders>
              <w:bottom w:val="single" w:sz="8" w:color="0077C0"/>
            </w:tcBorders>
          </w:tcPr>
          <w:p>
            <w:pPr>
              <w:spacing w:after="0"/>
              <w:rPr>
                <w:sz w:val="16"/>
                <w:szCs w:val="16"/>
                <w:color w:val="auto"/>
              </w:rPr>
            </w:pPr>
          </w:p>
        </w:tc>
      </w:tr>
      <w:tr>
        <w:trPr>
          <w:trHeight w:val="188"/>
        </w:trPr>
        <w:tc>
          <w:tcPr>
            <w:tcW w:w="2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Australia</w:t>
            </w:r>
          </w:p>
        </w:tc>
        <w:tc>
          <w:tcPr>
            <w:tcW w:w="540" w:type="dxa"/>
            <w:vAlign w:val="bottom"/>
          </w:tcPr>
          <w:p>
            <w:pPr>
              <w:spacing w:after="0"/>
              <w:rPr>
                <w:sz w:val="16"/>
                <w:szCs w:val="16"/>
                <w:color w:val="auto"/>
              </w:rPr>
            </w:pPr>
          </w:p>
        </w:tc>
        <w:tc>
          <w:tcPr>
            <w:tcW w:w="500" w:type="dxa"/>
            <w:vAlign w:val="bottom"/>
            <w:tcBorders>
              <w:right w:val="single" w:sz="8" w:color="0077C0"/>
            </w:tcBorders>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Borders>
              <w:right w:val="single" w:sz="8" w:color="0077C0"/>
            </w:tcBorders>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Borders>
              <w:right w:val="single" w:sz="8" w:color="0077C0"/>
            </w:tcBorders>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3"/>
        </w:trPr>
        <w:tc>
          <w:tcPr>
            <w:tcW w:w="2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Australia</w:t>
            </w:r>
          </w:p>
        </w:tc>
        <w:tc>
          <w:tcPr>
            <w:tcW w:w="5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479</w:t>
            </w:r>
          </w:p>
        </w:tc>
        <w:tc>
          <w:tcPr>
            <w:tcW w:w="50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488</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40</w:t>
            </w:r>
          </w:p>
        </w:tc>
        <w:tc>
          <w:tcPr>
            <w:tcW w:w="500" w:type="dxa"/>
            <w:vAlign w:val="bottom"/>
            <w:tcBorders>
              <w:right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40</w:t>
            </w: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w:t>
            </w:r>
          </w:p>
        </w:tc>
        <w:tc>
          <w:tcPr>
            <w:tcW w:w="44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2,625</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2,678</w:t>
            </w:r>
          </w:p>
        </w:tc>
        <w:tc>
          <w:tcPr>
            <w:tcW w:w="120" w:type="dxa"/>
            <w:vAlign w:val="bottom"/>
          </w:tcPr>
          <w:p>
            <w:pPr>
              <w:spacing w:after="0"/>
              <w:rPr>
                <w:sz w:val="16"/>
                <w:szCs w:val="16"/>
                <w:color w:val="auto"/>
              </w:rPr>
            </w:pPr>
          </w:p>
        </w:tc>
      </w:tr>
      <w:tr>
        <w:trPr>
          <w:trHeight w:val="23"/>
        </w:trPr>
        <w:tc>
          <w:tcPr>
            <w:tcW w:w="2020" w:type="dxa"/>
            <w:vAlign w:val="bottom"/>
            <w:tcBorders>
              <w:bottom w:val="single" w:sz="8" w:color="0077C0"/>
            </w:tcBorders>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500" w:type="dxa"/>
            <w:vAlign w:val="bottom"/>
            <w:tcBorders>
              <w:bottom w:val="single" w:sz="8" w:color="0077C0"/>
              <w:right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500" w:type="dxa"/>
            <w:vAlign w:val="bottom"/>
            <w:tcBorders>
              <w:bottom w:val="single" w:sz="8" w:color="0077C0"/>
              <w:right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440" w:type="dxa"/>
            <w:vAlign w:val="bottom"/>
            <w:tcBorders>
              <w:bottom w:val="single" w:sz="8" w:color="0077C0"/>
              <w:right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480" w:type="dxa"/>
            <w:vAlign w:val="bottom"/>
            <w:tcBorders>
              <w:bottom w:val="single" w:sz="8" w:color="0077C0"/>
            </w:tcBorders>
          </w:tcPr>
          <w:p>
            <w:pPr>
              <w:spacing w:after="0"/>
              <w:rPr>
                <w:sz w:val="2"/>
                <w:szCs w:val="2"/>
                <w:color w:val="auto"/>
              </w:rPr>
            </w:pPr>
          </w:p>
        </w:tc>
        <w:tc>
          <w:tcPr>
            <w:tcW w:w="120" w:type="dxa"/>
            <w:vAlign w:val="bottom"/>
            <w:tcBorders>
              <w:bottom w:val="single" w:sz="8" w:color="0077C0"/>
            </w:tcBorders>
          </w:tcPr>
          <w:p>
            <w:pPr>
              <w:spacing w:after="0"/>
              <w:rPr>
                <w:sz w:val="2"/>
                <w:szCs w:val="2"/>
                <w:color w:val="auto"/>
              </w:rPr>
            </w:pPr>
          </w:p>
        </w:tc>
      </w:tr>
      <w:tr>
        <w:trPr>
          <w:trHeight w:val="190"/>
        </w:trPr>
        <w:tc>
          <w:tcPr>
            <w:tcW w:w="202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Australia</w:t>
            </w:r>
          </w:p>
        </w:tc>
        <w:tc>
          <w:tcPr>
            <w:tcW w:w="54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479</w:t>
            </w:r>
          </w:p>
        </w:tc>
        <w:tc>
          <w:tcPr>
            <w:tcW w:w="50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488</w:t>
            </w:r>
          </w:p>
        </w:tc>
        <w:tc>
          <w:tcPr>
            <w:tcW w:w="62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40</w:t>
            </w:r>
          </w:p>
        </w:tc>
        <w:tc>
          <w:tcPr>
            <w:tcW w:w="500" w:type="dxa"/>
            <w:vAlign w:val="bottom"/>
            <w:tcBorders>
              <w:bottom w:val="single" w:sz="8" w:color="0077C0"/>
              <w:right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40</w:t>
            </w:r>
          </w:p>
        </w:tc>
        <w:tc>
          <w:tcPr>
            <w:tcW w:w="660" w:type="dxa"/>
            <w:vAlign w:val="bottom"/>
            <w:tcBorders>
              <w:bottom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w:t>
            </w:r>
          </w:p>
        </w:tc>
        <w:tc>
          <w:tcPr>
            <w:tcW w:w="44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60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2,625</w:t>
            </w:r>
          </w:p>
        </w:tc>
        <w:tc>
          <w:tcPr>
            <w:tcW w:w="4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2,678</w:t>
            </w:r>
          </w:p>
        </w:tc>
        <w:tc>
          <w:tcPr>
            <w:tcW w:w="120" w:type="dxa"/>
            <w:vAlign w:val="bottom"/>
            <w:tcBorders>
              <w:bottom w:val="single" w:sz="8" w:color="0077C0"/>
            </w:tcBorders>
          </w:tcPr>
          <w:p>
            <w:pPr>
              <w:spacing w:after="0"/>
              <w:rPr>
                <w:sz w:val="16"/>
                <w:szCs w:val="16"/>
                <w:color w:val="auto"/>
              </w:rPr>
            </w:pPr>
          </w:p>
        </w:tc>
      </w:tr>
      <w:tr>
        <w:trPr>
          <w:trHeight w:val="188"/>
        </w:trPr>
        <w:tc>
          <w:tcPr>
            <w:tcW w:w="2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540" w:type="dxa"/>
            <w:vAlign w:val="bottom"/>
          </w:tcPr>
          <w:p>
            <w:pPr>
              <w:spacing w:after="0"/>
              <w:rPr>
                <w:sz w:val="16"/>
                <w:szCs w:val="16"/>
                <w:color w:val="auto"/>
              </w:rPr>
            </w:pPr>
          </w:p>
        </w:tc>
        <w:tc>
          <w:tcPr>
            <w:tcW w:w="500" w:type="dxa"/>
            <w:vAlign w:val="bottom"/>
            <w:tcBorders>
              <w:right w:val="single" w:sz="8" w:color="0077C0"/>
            </w:tcBorders>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Borders>
              <w:right w:val="single" w:sz="8" w:color="0077C0"/>
            </w:tcBorders>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Borders>
              <w:right w:val="single" w:sz="8" w:color="0077C0"/>
            </w:tcBorders>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3"/>
        </w:trPr>
        <w:tc>
          <w:tcPr>
            <w:tcW w:w="2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United Kingdom</w:t>
            </w:r>
          </w:p>
        </w:tc>
        <w:tc>
          <w:tcPr>
            <w:tcW w:w="5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12</w:t>
            </w:r>
          </w:p>
        </w:tc>
        <w:tc>
          <w:tcPr>
            <w:tcW w:w="50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11</w:t>
            </w:r>
          </w:p>
        </w:tc>
        <w:tc>
          <w:tcPr>
            <w:tcW w:w="500" w:type="dxa"/>
            <w:vAlign w:val="bottom"/>
            <w:tcBorders>
              <w:right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12</w:t>
            </w: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6"/>
                <w:szCs w:val="16"/>
                <w:color w:val="auto"/>
              </w:rPr>
            </w:pPr>
          </w:p>
        </w:tc>
      </w:tr>
      <w:tr>
        <w:trPr>
          <w:trHeight w:val="23"/>
        </w:trPr>
        <w:tc>
          <w:tcPr>
            <w:tcW w:w="2020" w:type="dxa"/>
            <w:vAlign w:val="bottom"/>
            <w:tcBorders>
              <w:bottom w:val="single" w:sz="8" w:color="0077C0"/>
            </w:tcBorders>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500" w:type="dxa"/>
            <w:vAlign w:val="bottom"/>
            <w:tcBorders>
              <w:bottom w:val="single" w:sz="8" w:color="0077C0"/>
              <w:right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500" w:type="dxa"/>
            <w:vAlign w:val="bottom"/>
            <w:tcBorders>
              <w:bottom w:val="single" w:sz="8" w:color="0077C0"/>
              <w:right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440" w:type="dxa"/>
            <w:vAlign w:val="bottom"/>
            <w:tcBorders>
              <w:bottom w:val="single" w:sz="8" w:color="0077C0"/>
              <w:right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480" w:type="dxa"/>
            <w:vAlign w:val="bottom"/>
            <w:tcBorders>
              <w:bottom w:val="single" w:sz="8" w:color="0077C0"/>
            </w:tcBorders>
          </w:tcPr>
          <w:p>
            <w:pPr>
              <w:spacing w:after="0"/>
              <w:rPr>
                <w:sz w:val="2"/>
                <w:szCs w:val="2"/>
                <w:color w:val="auto"/>
              </w:rPr>
            </w:pPr>
          </w:p>
        </w:tc>
        <w:tc>
          <w:tcPr>
            <w:tcW w:w="120" w:type="dxa"/>
            <w:vAlign w:val="bottom"/>
            <w:tcBorders>
              <w:bottom w:val="single" w:sz="8" w:color="0077C0"/>
            </w:tcBorders>
          </w:tcPr>
          <w:p>
            <w:pPr>
              <w:spacing w:after="0"/>
              <w:rPr>
                <w:sz w:val="2"/>
                <w:szCs w:val="2"/>
                <w:color w:val="auto"/>
              </w:rPr>
            </w:pPr>
          </w:p>
        </w:tc>
      </w:tr>
      <w:tr>
        <w:trPr>
          <w:trHeight w:val="190"/>
        </w:trPr>
        <w:tc>
          <w:tcPr>
            <w:tcW w:w="202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Europe</w:t>
            </w:r>
          </w:p>
        </w:tc>
        <w:tc>
          <w:tcPr>
            <w:tcW w:w="54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12</w:t>
            </w:r>
          </w:p>
        </w:tc>
        <w:tc>
          <w:tcPr>
            <w:tcW w:w="50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62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11</w:t>
            </w:r>
          </w:p>
        </w:tc>
        <w:tc>
          <w:tcPr>
            <w:tcW w:w="500" w:type="dxa"/>
            <w:vAlign w:val="bottom"/>
            <w:tcBorders>
              <w:bottom w:val="single" w:sz="8" w:color="0077C0"/>
              <w:right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12</w:t>
            </w:r>
          </w:p>
        </w:tc>
        <w:tc>
          <w:tcPr>
            <w:tcW w:w="660" w:type="dxa"/>
            <w:vAlign w:val="bottom"/>
            <w:tcBorders>
              <w:bottom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w:t>
            </w:r>
          </w:p>
        </w:tc>
        <w:tc>
          <w:tcPr>
            <w:tcW w:w="4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Borders>
              <w:bottom w:val="single" w:sz="8" w:color="0077C0"/>
            </w:tcBorders>
          </w:tcPr>
          <w:p>
            <w:pPr>
              <w:spacing w:after="0"/>
              <w:rPr>
                <w:sz w:val="16"/>
                <w:szCs w:val="16"/>
                <w:color w:val="auto"/>
              </w:rPr>
            </w:pPr>
          </w:p>
        </w:tc>
      </w:tr>
      <w:tr>
        <w:trPr>
          <w:trHeight w:val="196"/>
        </w:trPr>
        <w:tc>
          <w:tcPr>
            <w:tcW w:w="202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Consolidated Companies</w:t>
            </w:r>
          </w:p>
        </w:tc>
        <w:tc>
          <w:tcPr>
            <w:tcW w:w="54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2,925</w:t>
            </w:r>
          </w:p>
        </w:tc>
        <w:tc>
          <w:tcPr>
            <w:tcW w:w="50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2,714</w:t>
            </w:r>
          </w:p>
        </w:tc>
        <w:tc>
          <w:tcPr>
            <w:tcW w:w="62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1,274</w:t>
            </w:r>
          </w:p>
        </w:tc>
        <w:tc>
          <w:tcPr>
            <w:tcW w:w="500" w:type="dxa"/>
            <w:vAlign w:val="bottom"/>
            <w:tcBorders>
              <w:bottom w:val="single" w:sz="8" w:color="0077C0"/>
              <w:right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1,216</w:t>
            </w:r>
          </w:p>
        </w:tc>
        <w:tc>
          <w:tcPr>
            <w:tcW w:w="660" w:type="dxa"/>
            <w:vAlign w:val="bottom"/>
            <w:tcBorders>
              <w:bottom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390</w:t>
            </w:r>
          </w:p>
        </w:tc>
        <w:tc>
          <w:tcPr>
            <w:tcW w:w="44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308</w:t>
            </w:r>
          </w:p>
        </w:tc>
        <w:tc>
          <w:tcPr>
            <w:tcW w:w="60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7,567</w:t>
            </w:r>
          </w:p>
        </w:tc>
        <w:tc>
          <w:tcPr>
            <w:tcW w:w="4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7,141</w:t>
            </w:r>
          </w:p>
        </w:tc>
        <w:tc>
          <w:tcPr>
            <w:tcW w:w="120" w:type="dxa"/>
            <w:vAlign w:val="bottom"/>
            <w:tcBorders>
              <w:bottom w:val="single" w:sz="8" w:color="0077C0"/>
            </w:tcBorders>
          </w:tcPr>
          <w:p>
            <w:pPr>
              <w:spacing w:after="0"/>
              <w:rPr>
                <w:sz w:val="17"/>
                <w:szCs w:val="17"/>
                <w:color w:val="auto"/>
              </w:rPr>
            </w:pPr>
          </w:p>
        </w:tc>
      </w:tr>
      <w:tr>
        <w:trPr>
          <w:trHeight w:val="196"/>
        </w:trPr>
        <w:tc>
          <w:tcPr>
            <w:tcW w:w="2020" w:type="dxa"/>
            <w:vAlign w:val="bottom"/>
            <w:tcBorders>
              <w:bottom w:val="single" w:sz="8" w:color="0077C0"/>
            </w:tcBorders>
          </w:tcPr>
          <w:p>
            <w:pPr>
              <w:ind w:left="100"/>
              <w:spacing w:after="0"/>
              <w:rPr>
                <w:sz w:val="20"/>
                <w:szCs w:val="20"/>
                <w:color w:val="auto"/>
              </w:rPr>
            </w:pPr>
            <w:r>
              <w:rPr>
                <w:rFonts w:ascii="Times New Roman" w:cs="Times New Roman" w:eastAsia="Times New Roman" w:hAnsi="Times New Roman"/>
                <w:sz w:val="14"/>
                <w:szCs w:val="14"/>
                <w:color w:val="auto"/>
              </w:rPr>
              <w:t>Affiliates</w:t>
            </w:r>
            <w:r>
              <w:rPr>
                <w:rFonts w:ascii="Times New Roman" w:cs="Times New Roman" w:eastAsia="Times New Roman" w:hAnsi="Times New Roman"/>
                <w:sz w:val="9"/>
                <w:szCs w:val="9"/>
                <w:color w:val="auto"/>
              </w:rPr>
              <w:t>7</w:t>
            </w:r>
          </w:p>
        </w:tc>
        <w:tc>
          <w:tcPr>
            <w:tcW w:w="54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413</w:t>
            </w:r>
          </w:p>
        </w:tc>
        <w:tc>
          <w:tcPr>
            <w:tcW w:w="50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406</w:t>
            </w:r>
          </w:p>
        </w:tc>
        <w:tc>
          <w:tcPr>
            <w:tcW w:w="62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286</w:t>
            </w:r>
          </w:p>
        </w:tc>
        <w:tc>
          <w:tcPr>
            <w:tcW w:w="500" w:type="dxa"/>
            <w:vAlign w:val="bottom"/>
            <w:tcBorders>
              <w:bottom w:val="single" w:sz="8" w:color="0077C0"/>
              <w:right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281</w:t>
            </w:r>
          </w:p>
        </w:tc>
        <w:tc>
          <w:tcPr>
            <w:tcW w:w="660" w:type="dxa"/>
            <w:vAlign w:val="bottom"/>
            <w:tcBorders>
              <w:bottom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25</w:t>
            </w:r>
          </w:p>
        </w:tc>
        <w:tc>
          <w:tcPr>
            <w:tcW w:w="44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25</w:t>
            </w:r>
          </w:p>
        </w:tc>
        <w:tc>
          <w:tcPr>
            <w:tcW w:w="60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611</w:t>
            </w:r>
          </w:p>
        </w:tc>
        <w:tc>
          <w:tcPr>
            <w:tcW w:w="4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120" w:type="dxa"/>
            <w:vAlign w:val="bottom"/>
            <w:tcBorders>
              <w:bottom w:val="single" w:sz="8" w:color="0077C0"/>
            </w:tcBorders>
          </w:tcPr>
          <w:p>
            <w:pPr>
              <w:spacing w:after="0"/>
              <w:rPr>
                <w:sz w:val="17"/>
                <w:szCs w:val="17"/>
                <w:color w:val="auto"/>
              </w:rPr>
            </w:pPr>
          </w:p>
        </w:tc>
      </w:tr>
      <w:tr>
        <w:trPr>
          <w:trHeight w:val="196"/>
        </w:trPr>
        <w:tc>
          <w:tcPr>
            <w:tcW w:w="202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Including Affiliates</w:t>
            </w:r>
            <w:r>
              <w:rPr>
                <w:rFonts w:ascii="Times New Roman" w:cs="Times New Roman" w:eastAsia="Times New Roman" w:hAnsi="Times New Roman"/>
                <w:sz w:val="9"/>
                <w:szCs w:val="9"/>
                <w:b w:val="1"/>
                <w:bCs w:val="1"/>
                <w:color w:val="auto"/>
              </w:rPr>
              <w:t>8</w:t>
            </w:r>
          </w:p>
        </w:tc>
        <w:tc>
          <w:tcPr>
            <w:tcW w:w="54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3,338</w:t>
            </w:r>
          </w:p>
        </w:tc>
        <w:tc>
          <w:tcPr>
            <w:tcW w:w="50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3,120</w:t>
            </w:r>
          </w:p>
        </w:tc>
        <w:tc>
          <w:tcPr>
            <w:tcW w:w="62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1,560</w:t>
            </w:r>
          </w:p>
        </w:tc>
        <w:tc>
          <w:tcPr>
            <w:tcW w:w="500" w:type="dxa"/>
            <w:vAlign w:val="bottom"/>
            <w:tcBorders>
              <w:bottom w:val="single" w:sz="8" w:color="0077C0"/>
              <w:right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1,497</w:t>
            </w:r>
          </w:p>
        </w:tc>
        <w:tc>
          <w:tcPr>
            <w:tcW w:w="660" w:type="dxa"/>
            <w:vAlign w:val="bottom"/>
            <w:tcBorders>
              <w:bottom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415</w:t>
            </w:r>
          </w:p>
        </w:tc>
        <w:tc>
          <w:tcPr>
            <w:tcW w:w="44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333</w:t>
            </w:r>
          </w:p>
        </w:tc>
        <w:tc>
          <w:tcPr>
            <w:tcW w:w="60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8,178</w:t>
            </w:r>
          </w:p>
        </w:tc>
        <w:tc>
          <w:tcPr>
            <w:tcW w:w="4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7,744</w:t>
            </w:r>
          </w:p>
        </w:tc>
        <w:tc>
          <w:tcPr>
            <w:tcW w:w="120" w:type="dxa"/>
            <w:vAlign w:val="bottom"/>
            <w:tcBorders>
              <w:bottom w:val="single" w:sz="8" w:color="0077C0"/>
            </w:tcBorders>
          </w:tcPr>
          <w:p>
            <w:pPr>
              <w:spacing w:after="0"/>
              <w:rPr>
                <w:sz w:val="17"/>
                <w:szCs w:val="17"/>
                <w:color w:val="auto"/>
              </w:rPr>
            </w:pPr>
          </w:p>
        </w:tc>
      </w:tr>
    </w:tbl>
    <w:p>
      <w:pPr>
        <w:spacing w:after="0" w:line="16" w:lineRule="exact"/>
        <w:rPr>
          <w:sz w:val="20"/>
          <w:szCs w:val="20"/>
          <w:color w:val="auto"/>
        </w:rPr>
      </w:pPr>
    </w:p>
    <w:p>
      <w:pPr>
        <w:ind w:left="80" w:hanging="54"/>
        <w:spacing w:after="0"/>
        <w:tabs>
          <w:tab w:leader="none" w:pos="80" w:val="left"/>
        </w:tabs>
        <w:numPr>
          <w:ilvl w:val="0"/>
          <w:numId w:val="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Oil-equivalent conversion ratio is 6,000 cubic feet of natural gas = 1 barrel of crude oil.</w:t>
      </w:r>
    </w:p>
    <w:p>
      <w:pPr>
        <w:spacing w:after="0" w:line="32" w:lineRule="exact"/>
        <w:rPr>
          <w:sz w:val="20"/>
          <w:szCs w:val="20"/>
          <w:color w:val="auto"/>
        </w:rPr>
      </w:pPr>
    </w:p>
    <w:p>
      <w:pPr>
        <w:ind w:left="100" w:hanging="74"/>
        <w:spacing w:after="0"/>
        <w:tabs>
          <w:tab w:leader="none" w:pos="100" w:val="left"/>
        </w:tabs>
        <w:numPr>
          <w:ilvl w:val="0"/>
          <w:numId w:val="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Includes crude oil, condensate and synthetic oil.</w:t>
      </w:r>
    </w:p>
    <w:p>
      <w:pPr>
        <w:ind w:left="20"/>
        <w:spacing w:after="0"/>
        <w:tabs>
          <w:tab w:leader="none" w:pos="2320" w:val="left"/>
          <w:tab w:leader="none" w:pos="2880" w:val="left"/>
          <w:tab w:leader="none" w:pos="3440" w:val="left"/>
          <w:tab w:leader="none" w:pos="3980" w:val="left"/>
          <w:tab w:leader="none" w:pos="4540" w:val="left"/>
          <w:tab w:leader="none" w:pos="5060" w:val="left"/>
          <w:tab w:leader="none" w:pos="5640" w:val="left"/>
          <w:tab w:leader="none" w:pos="6160" w:val="left"/>
        </w:tabs>
        <w:rPr>
          <w:sz w:val="20"/>
          <w:szCs w:val="20"/>
          <w:color w:val="auto"/>
        </w:rPr>
      </w:pPr>
      <w:r>
        <w:rPr>
          <w:rFonts w:ascii="Times New Roman" w:cs="Times New Roman" w:eastAsia="Times New Roman" w:hAnsi="Times New Roman"/>
          <w:sz w:val="16"/>
          <w:szCs w:val="16"/>
          <w:color w:val="auto"/>
          <w:vertAlign w:val="superscript"/>
        </w:rPr>
        <w:t>3</w:t>
      </w:r>
      <w:r>
        <w:rPr>
          <w:rFonts w:ascii="Times New Roman" w:cs="Times New Roman" w:eastAsia="Times New Roman" w:hAnsi="Times New Roman"/>
          <w:sz w:val="13"/>
          <w:szCs w:val="13"/>
          <w:color w:val="auto"/>
        </w:rPr>
        <w:t xml:space="preserve"> Includes synthetic oil:</w:t>
      </w:r>
      <w:r>
        <w:rPr>
          <w:sz w:val="20"/>
          <w:szCs w:val="20"/>
          <w:color w:val="auto"/>
        </w:rPr>
        <w:tab/>
      </w:r>
      <w:r>
        <w:rPr>
          <w:rFonts w:ascii="Times New Roman" w:cs="Times New Roman" w:eastAsia="Times New Roman" w:hAnsi="Times New Roman"/>
          <w:sz w:val="25"/>
          <w:szCs w:val="25"/>
          <w:b w:val="1"/>
          <w:bCs w:val="1"/>
          <w:color w:val="auto"/>
          <w:vertAlign w:val="subscript"/>
        </w:rPr>
        <w:t>46</w:t>
      </w:r>
      <w:r>
        <w:rPr>
          <w:sz w:val="20"/>
          <w:szCs w:val="20"/>
          <w:color w:val="auto"/>
        </w:rPr>
        <w:tab/>
      </w:r>
      <w:r>
        <w:rPr>
          <w:rFonts w:ascii="Times New Roman" w:cs="Times New Roman" w:eastAsia="Times New Roman" w:hAnsi="Times New Roman"/>
          <w:sz w:val="25"/>
          <w:szCs w:val="25"/>
          <w:color w:val="auto"/>
          <w:vertAlign w:val="subscript"/>
        </w:rPr>
        <w:t>51</w:t>
      </w:r>
      <w:r>
        <w:rPr>
          <w:sz w:val="20"/>
          <w:szCs w:val="20"/>
          <w:color w:val="auto"/>
        </w:rPr>
        <w:tab/>
      </w:r>
      <w:r>
        <w:rPr>
          <w:rFonts w:ascii="Times New Roman" w:cs="Times New Roman" w:eastAsia="Times New Roman" w:hAnsi="Times New Roman"/>
          <w:sz w:val="25"/>
          <w:szCs w:val="25"/>
          <w:b w:val="1"/>
          <w:bCs w:val="1"/>
          <w:color w:val="auto"/>
          <w:vertAlign w:val="subscript"/>
        </w:rPr>
        <w:t>46</w:t>
      </w:r>
      <w:r>
        <w:rPr>
          <w:sz w:val="20"/>
          <w:szCs w:val="20"/>
          <w:color w:val="auto"/>
        </w:rPr>
        <w:tab/>
      </w:r>
      <w:r>
        <w:rPr>
          <w:rFonts w:ascii="Times New Roman" w:cs="Times New Roman" w:eastAsia="Times New Roman" w:hAnsi="Times New Roman"/>
          <w:sz w:val="25"/>
          <w:szCs w:val="25"/>
          <w:color w:val="auto"/>
          <w:vertAlign w:val="subscript"/>
        </w:rPr>
        <w:t>51</w:t>
      </w:r>
      <w:r>
        <w:rPr>
          <w:sz w:val="20"/>
          <w:szCs w:val="20"/>
          <w:color w:val="auto"/>
        </w:rPr>
        <w:tab/>
      </w: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25"/>
          <w:szCs w:val="25"/>
          <w:b w:val="1"/>
          <w:bCs w:val="1"/>
          <w:color w:val="auto"/>
        </w:rPr>
        <w:tab/>
      </w:r>
      <w:r>
        <w:rPr>
          <w:rFonts w:ascii="Times New Roman" w:cs="Times New Roman" w:eastAsia="Times New Roman" w:hAnsi="Times New Roman"/>
          <w:sz w:val="25"/>
          <w:szCs w:val="25"/>
          <w:b w:val="1"/>
          <w:bCs w:val="1"/>
          <w:color w:val="auto"/>
          <w:vertAlign w:val="subscript"/>
        </w:rPr>
        <w:t>—</w:t>
      </w:r>
      <w:r>
        <w:rPr>
          <w:sz w:val="20"/>
          <w:szCs w:val="20"/>
          <w:color w:val="auto"/>
        </w:rPr>
        <w:tab/>
      </w:r>
      <w:r>
        <w:rPr>
          <w:rFonts w:ascii="Times New Roman" w:cs="Times New Roman" w:eastAsia="Times New Roman" w:hAnsi="Times New Roman"/>
          <w:sz w:val="25"/>
          <w:szCs w:val="25"/>
          <w:b w:val="1"/>
          <w:bCs w:val="1"/>
          <w:color w:val="auto"/>
          <w:vertAlign w:val="subscript"/>
        </w:rPr>
        <w:t>—</w:t>
      </w:r>
      <w:r>
        <w:rPr>
          <w:sz w:val="20"/>
          <w:szCs w:val="20"/>
          <w:color w:val="auto"/>
        </w:rPr>
        <w:tab/>
      </w:r>
      <w:r>
        <w:rPr>
          <w:rFonts w:ascii="Times New Roman" w:cs="Times New Roman" w:eastAsia="Times New Roman" w:hAnsi="Times New Roman"/>
          <w:sz w:val="18"/>
          <w:szCs w:val="18"/>
          <w:color w:val="auto"/>
          <w:vertAlign w:val="subscript"/>
        </w:rPr>
        <w:t>—</w:t>
      </w:r>
    </w:p>
    <w:p>
      <w:pPr>
        <w:ind w:left="100" w:hanging="74"/>
        <w:spacing w:after="0" w:line="228" w:lineRule="auto"/>
        <w:tabs>
          <w:tab w:leader="none" w:pos="100" w:val="left"/>
        </w:tabs>
        <w:numPr>
          <w:ilvl w:val="0"/>
          <w:numId w:val="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Canada Duvernay shale and AOSP assets were sold in December 2024.</w:t>
      </w:r>
    </w:p>
    <w:p>
      <w:pPr>
        <w:spacing w:after="0" w:line="25" w:lineRule="exact"/>
        <w:rPr>
          <w:rFonts w:ascii="Times New Roman" w:cs="Times New Roman" w:eastAsia="Times New Roman" w:hAnsi="Times New Roman"/>
          <w:sz w:val="16"/>
          <w:szCs w:val="16"/>
          <w:color w:val="auto"/>
          <w:vertAlign w:val="superscript"/>
        </w:rPr>
      </w:pPr>
    </w:p>
    <w:p>
      <w:pPr>
        <w:ind w:left="20"/>
        <w:spacing w:after="0" w:line="228" w:lineRule="auto"/>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6"/>
          <w:szCs w:val="16"/>
          <w:color w:val="auto"/>
          <w:vertAlign w:val="superscript"/>
        </w:rPr>
        <w:t>5</w:t>
      </w:r>
      <w:r>
        <w:rPr>
          <w:rFonts w:ascii="Times New Roman" w:cs="Times New Roman" w:eastAsia="Times New Roman" w:hAnsi="Times New Roman"/>
          <w:sz w:val="13"/>
          <w:szCs w:val="13"/>
          <w:color w:val="auto"/>
        </w:rPr>
        <w:t xml:space="preserve"> Indonesia Deepwater assets were sold in 2023.</w:t>
      </w:r>
    </w:p>
    <w:p>
      <w:pPr>
        <w:ind w:left="20"/>
        <w:spacing w:after="0" w:line="227" w:lineRule="auto"/>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6"/>
          <w:szCs w:val="16"/>
          <w:color w:val="auto"/>
          <w:vertAlign w:val="superscript"/>
        </w:rPr>
        <w:t>6</w:t>
      </w:r>
      <w:r>
        <w:rPr>
          <w:rFonts w:ascii="Times New Roman" w:cs="Times New Roman" w:eastAsia="Times New Roman" w:hAnsi="Times New Roman"/>
          <w:sz w:val="13"/>
          <w:szCs w:val="13"/>
          <w:color w:val="auto"/>
        </w:rPr>
        <w:t xml:space="preserve"> Chevron withdrew from Myanmar in April 2024.</w:t>
      </w:r>
    </w:p>
    <w:p>
      <w:pPr>
        <w:ind w:left="100" w:right="4920" w:hanging="74"/>
        <w:spacing w:after="0" w:line="206" w:lineRule="auto"/>
        <w:tabs>
          <w:tab w:leader="none" w:pos="80" w:val="left"/>
        </w:tabs>
        <w:numPr>
          <w:ilvl w:val="0"/>
          <w:numId w:val="1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Volumes represent Chevron’s share of production by affiliates, including Tengizchevroil in Kazakhstan and Angola LNG in Angola.</w:t>
      </w:r>
    </w:p>
    <w:p>
      <w:pPr>
        <w:spacing w:after="0" w:line="11" w:lineRule="exact"/>
        <w:rPr>
          <w:sz w:val="20"/>
          <w:szCs w:val="20"/>
          <w:color w:val="auto"/>
        </w:rPr>
      </w:pPr>
    </w:p>
    <w:p>
      <w:pPr>
        <w:ind w:left="20" w:right="4940" w:firstLine="6"/>
        <w:spacing w:after="0" w:line="209" w:lineRule="auto"/>
        <w:tabs>
          <w:tab w:leader="none" w:pos="92"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Volumes include natural gas consumed in operations of 609 million and 596 million cubic feet per day in 2024 and 2023, respectively. Total “as sold” natural gas volumes were 7,569 million and 7,148 million cubic feet per day for 2024 and 2023, respectively.</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0077C0"/>
        </w:rPr>
        <w:t>Delivery Commitments</w:t>
      </w:r>
    </w:p>
    <w:p>
      <w:pPr>
        <w:spacing w:after="0" w:line="10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 sells crude oil, natural gas, and NGLs from its producing operations under a variety of contractual obligations. Most contracts generally commit the company to sell quantities based on production from specified properties, but some NGLs and natural gas sales contracts specify delivery of fixed and determinable quantities.</w:t>
      </w:r>
    </w:p>
    <w:p>
      <w:pPr>
        <w:sectPr>
          <w:pgSz w:w="11900" w:h="16838" w:orient="portrait"/>
          <w:cols w:equalWidth="0" w:num="1">
            <w:col w:w="11240"/>
          </w:cols>
          <w:pgMar w:left="320" w:top="41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type w:val="continuous"/>
        </w:sectPr>
      </w:pPr>
    </w:p>
    <w:bookmarkStart w:id="9" w:name="page10"/>
    <w:bookmarkEnd w:id="9"/>
    <w:p>
      <w:pPr>
        <w:ind w:left="10100"/>
        <w:spacing w:after="0"/>
        <w:rPr>
          <w:sz w:val="20"/>
          <w:szCs w:val="20"/>
          <w:color w:val="auto"/>
        </w:rPr>
      </w:pPr>
      <w:r>
        <w:rPr>
          <w:rFonts w:ascii="Arial" w:cs="Arial" w:eastAsia="Arial" w:hAnsi="Arial"/>
          <w:sz w:val="14"/>
          <w:szCs w:val="14"/>
          <w:color w:val="0077C0"/>
        </w:rPr>
        <w:t>Table of Contents</w:t>
      </w:r>
    </w:p>
    <w:p>
      <w:pPr>
        <w:spacing w:after="0" w:line="200" w:lineRule="exact"/>
        <w:rPr>
          <w:sz w:val="20"/>
          <w:szCs w:val="20"/>
          <w:color w:val="auto"/>
        </w:rPr>
      </w:pPr>
    </w:p>
    <w:p>
      <w:pPr>
        <w:spacing w:after="0" w:line="31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the United States, the company is contractually committed to deliver approximately 25 million barrels of NGLs and 813 billion cubic feet of natural gas to third parties and affiliates from 2025 through 2027. The company believes it can satisfy these contracts through a combination of equity production from the company’s proved developed U.S. reserves and third-party purchases. These commitments are primarily based on contracts with indexed pricing terms.</w:t>
      </w:r>
    </w:p>
    <w:p>
      <w:pPr>
        <w:spacing w:after="0" w:line="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Outside the United States, the company is contractually committed to deliver a total of 3.2 trillion cubic feet of natural gas to third parties and affiliates from 2025 through 2027 mainly from operations in Australia and Israel. The Australia sales contracts contain variable pricing formulas that generally reference the prevailing market price for crude oil, natural gas or other petroleum products at the time of delivery. The sales contracts for Israel contain formulas that generally reflect an initial base price subject to price indexation, Brent-linked or other, over the life of the contract. The company believes it can satisfy these contracts from quantities available from production of the company’s proved developed reserves in these countries.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0077C0"/>
        </w:rPr>
        <w:t>Development Activities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u w:val="single" w:color="auto"/>
          <w:color w:val="0000FF"/>
        </w:rPr>
        <w:t>Table I</w:t>
      </w:r>
      <w:r>
        <w:rPr>
          <w:rFonts w:ascii="Times New Roman" w:cs="Times New Roman" w:eastAsia="Times New Roman" w:hAnsi="Times New Roman"/>
          <w:sz w:val="18"/>
          <w:szCs w:val="18"/>
          <w:color w:val="auto"/>
        </w:rPr>
        <w:t xml:space="preserve"> for details associated with the company’s development expenditures and costs of proved property acquisitions for 2024, 2023 and 2022.</w:t>
      </w:r>
    </w:p>
    <w:p>
      <w:pPr>
        <w:spacing w:after="0" w:line="10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following table summarizes the company’s net interest in productive and dry development wells completed in each of the past three years, and the status of the company’s development wells drilling at December 31, 2024. A “development well” is a well drilled within the known area of a crude oil or natural gas reservoir to the depth of a stratigraphic horizon known to be productive.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15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Wells Drilling*</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Net Wells Completed</w:t>
            </w:r>
          </w:p>
        </w:tc>
        <w:tc>
          <w:tcPr>
            <w:tcW w:w="0" w:type="dxa"/>
            <w:vAlign w:val="bottom"/>
          </w:tcPr>
          <w:p>
            <w:pPr>
              <w:spacing w:after="0"/>
              <w:rPr>
                <w:sz w:val="1"/>
                <w:szCs w:val="1"/>
                <w:color w:val="auto"/>
              </w:rPr>
            </w:pPr>
          </w:p>
        </w:tc>
      </w:tr>
      <w:tr>
        <w:trPr>
          <w:trHeight w:val="23"/>
        </w:trPr>
        <w:tc>
          <w:tcPr>
            <w:tcW w:w="3120" w:type="dxa"/>
            <w:vAlign w:val="bottom"/>
          </w:tcPr>
          <w:p>
            <w:pPr>
              <w:spacing w:after="0"/>
              <w:rPr>
                <w:sz w:val="2"/>
                <w:szCs w:val="2"/>
                <w:color w:val="auto"/>
              </w:rPr>
            </w:pPr>
          </w:p>
        </w:tc>
        <w:tc>
          <w:tcPr>
            <w:tcW w:w="15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at 12/31/24</w:t>
            </w: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1360" w:type="dxa"/>
            <w:vAlign w:val="bottom"/>
            <w:tcBorders>
              <w:bottom w:val="single" w:sz="8" w:color="0077C0"/>
            </w:tcBorders>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c>
          <w:tcPr>
            <w:tcW w:w="1040" w:type="dxa"/>
            <w:vAlign w:val="bottom"/>
            <w:tcBorders>
              <w:bottom w:val="single" w:sz="8" w:color="0077C0"/>
            </w:tcBorders>
          </w:tcPr>
          <w:p>
            <w:pPr>
              <w:spacing w:after="0"/>
              <w:rPr>
                <w:sz w:val="2"/>
                <w:szCs w:val="2"/>
                <w:color w:val="auto"/>
              </w:rPr>
            </w:pPr>
          </w:p>
        </w:tc>
        <w:tc>
          <w:tcPr>
            <w:tcW w:w="76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120" w:type="dxa"/>
            <w:vAlign w:val="bottom"/>
          </w:tcPr>
          <w:p>
            <w:pPr>
              <w:spacing w:after="0"/>
              <w:rPr>
                <w:sz w:val="16"/>
                <w:szCs w:val="16"/>
                <w:color w:val="auto"/>
              </w:rPr>
            </w:pPr>
          </w:p>
        </w:tc>
        <w:tc>
          <w:tcPr>
            <w:tcW w:w="1520" w:type="dxa"/>
            <w:vAlign w:val="bottom"/>
            <w:tcBorders>
              <w:bottom w:val="single" w:sz="8" w:color="0077C0"/>
            </w:tcBorders>
            <w:vMerge w:val="continue"/>
          </w:tcPr>
          <w:p>
            <w:pPr>
              <w:spacing w:after="0"/>
              <w:rPr>
                <w:sz w:val="16"/>
                <w:szCs w:val="16"/>
                <w:color w:val="auto"/>
              </w:rPr>
            </w:pPr>
          </w:p>
        </w:tc>
        <w:tc>
          <w:tcPr>
            <w:tcW w:w="400" w:type="dxa"/>
            <w:vAlign w:val="bottom"/>
            <w:tcBorders>
              <w:bottom w:val="single" w:sz="8" w:color="0077C0"/>
            </w:tcBorders>
          </w:tcPr>
          <w:p>
            <w:pPr>
              <w:spacing w:after="0"/>
              <w:rPr>
                <w:sz w:val="16"/>
                <w:szCs w:val="16"/>
                <w:color w:val="auto"/>
              </w:rPr>
            </w:pPr>
          </w:p>
        </w:tc>
        <w:tc>
          <w:tcPr>
            <w:tcW w:w="80" w:type="dxa"/>
            <w:vAlign w:val="bottom"/>
            <w:tcBorders>
              <w:bottom w:val="single" w:sz="8" w:color="0077C0"/>
            </w:tcBorders>
          </w:tcPr>
          <w:p>
            <w:pPr>
              <w:spacing w:after="0"/>
              <w:rPr>
                <w:sz w:val="16"/>
                <w:szCs w:val="16"/>
                <w:color w:val="auto"/>
              </w:rPr>
            </w:pPr>
          </w:p>
        </w:tc>
        <w:tc>
          <w:tcPr>
            <w:tcW w:w="1300" w:type="dxa"/>
            <w:vAlign w:val="bottom"/>
            <w:tcBorders>
              <w:bottom w:val="single" w:sz="8" w:color="0077C0"/>
            </w:tcBorders>
          </w:tcPr>
          <w:p>
            <w:pPr>
              <w:spacing w:after="0"/>
              <w:rPr>
                <w:sz w:val="16"/>
                <w:szCs w:val="16"/>
                <w:color w:val="auto"/>
              </w:rPr>
            </w:pPr>
          </w:p>
        </w:tc>
        <w:tc>
          <w:tcPr>
            <w:tcW w:w="6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60" w:type="dxa"/>
            <w:vAlign w:val="bottom"/>
            <w:tcBorders>
              <w:bottom w:val="single" w:sz="8" w:color="0077C0"/>
            </w:tcBorders>
          </w:tcPr>
          <w:p>
            <w:pPr>
              <w:spacing w:after="0"/>
              <w:rPr>
                <w:sz w:val="16"/>
                <w:szCs w:val="16"/>
                <w:color w:val="auto"/>
              </w:rPr>
            </w:pPr>
          </w:p>
        </w:tc>
        <w:tc>
          <w:tcPr>
            <w:tcW w:w="1000" w:type="dxa"/>
            <w:vAlign w:val="bottom"/>
            <w:tcBorders>
              <w:bottom w:val="single" w:sz="8" w:color="0077C0"/>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40" w:type="dxa"/>
            <w:vAlign w:val="bottom"/>
            <w:tcBorders>
              <w:bottom w:val="single" w:sz="8" w:color="0077C0"/>
            </w:tcBorders>
          </w:tcPr>
          <w:p>
            <w:pPr>
              <w:spacing w:after="0"/>
              <w:rPr>
                <w:sz w:val="16"/>
                <w:szCs w:val="16"/>
                <w:color w:val="auto"/>
              </w:rPr>
            </w:pPr>
          </w:p>
        </w:tc>
        <w:tc>
          <w:tcPr>
            <w:tcW w:w="760" w:type="dxa"/>
            <w:vAlign w:val="bottom"/>
            <w:tcBorders>
              <w:bottom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6"/>
        </w:trPr>
        <w:tc>
          <w:tcPr>
            <w:tcW w:w="3120" w:type="dxa"/>
            <w:vAlign w:val="bottom"/>
            <w:tcBorders>
              <w:bottom w:val="single" w:sz="8" w:color="0077C0"/>
            </w:tcBorders>
          </w:tcPr>
          <w:p>
            <w:pPr>
              <w:spacing w:after="0"/>
              <w:rPr>
                <w:sz w:val="17"/>
                <w:szCs w:val="17"/>
                <w:color w:val="auto"/>
              </w:rPr>
            </w:pPr>
          </w:p>
        </w:tc>
        <w:tc>
          <w:tcPr>
            <w:tcW w:w="1520" w:type="dxa"/>
            <w:vAlign w:val="bottom"/>
            <w:tcBorders>
              <w:bottom w:val="single" w:sz="8" w:color="0077C0"/>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4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Net</w:t>
            </w:r>
          </w:p>
        </w:tc>
        <w:tc>
          <w:tcPr>
            <w:tcW w:w="80" w:type="dxa"/>
            <w:vAlign w:val="bottom"/>
            <w:tcBorders>
              <w:bottom w:val="single" w:sz="8" w:color="0077C0"/>
            </w:tcBorders>
          </w:tcPr>
          <w:p>
            <w:pPr>
              <w:spacing w:after="0"/>
              <w:rPr>
                <w:sz w:val="17"/>
                <w:szCs w:val="17"/>
                <w:color w:val="auto"/>
              </w:rPr>
            </w:pPr>
          </w:p>
        </w:tc>
        <w:tc>
          <w:tcPr>
            <w:tcW w:w="1300" w:type="dxa"/>
            <w:vAlign w:val="bottom"/>
            <w:tcBorders>
              <w:bottom w:val="single" w:sz="8" w:color="0077C0"/>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Prod.</w:t>
            </w:r>
          </w:p>
        </w:tc>
        <w:tc>
          <w:tcPr>
            <w:tcW w:w="6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Dry</w:t>
            </w:r>
          </w:p>
        </w:tc>
        <w:tc>
          <w:tcPr>
            <w:tcW w:w="1360" w:type="dxa"/>
            <w:vAlign w:val="bottom"/>
            <w:tcBorders>
              <w:bottom w:val="single" w:sz="8" w:color="0077C0"/>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Prod.</w:t>
            </w:r>
          </w:p>
        </w:tc>
        <w:tc>
          <w:tcPr>
            <w:tcW w:w="1000" w:type="dxa"/>
            <w:vAlign w:val="bottom"/>
            <w:tcBorders>
              <w:bottom w:val="single" w:sz="8" w:color="0077C0"/>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Dry</w:t>
            </w:r>
          </w:p>
        </w:tc>
        <w:tc>
          <w:tcPr>
            <w:tcW w:w="1040" w:type="dxa"/>
            <w:vAlign w:val="bottom"/>
            <w:tcBorders>
              <w:bottom w:val="single" w:sz="8" w:color="0077C0"/>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Prod.</w:t>
            </w:r>
          </w:p>
        </w:tc>
        <w:tc>
          <w:tcPr>
            <w:tcW w:w="760" w:type="dxa"/>
            <w:vAlign w:val="bottom"/>
            <w:tcBorders>
              <w:bottom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Dry</w:t>
            </w:r>
          </w:p>
        </w:tc>
        <w:tc>
          <w:tcPr>
            <w:tcW w:w="0" w:type="dxa"/>
            <w:vAlign w:val="bottom"/>
          </w:tcPr>
          <w:p>
            <w:pPr>
              <w:spacing w:after="0"/>
              <w:rPr>
                <w:sz w:val="1"/>
                <w:szCs w:val="1"/>
                <w:color w:val="auto"/>
              </w:rPr>
            </w:pPr>
          </w:p>
        </w:tc>
      </w:tr>
      <w:tr>
        <w:trPr>
          <w:trHeight w:val="19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52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451</w:t>
            </w:r>
          </w:p>
        </w:tc>
        <w:tc>
          <w:tcPr>
            <w:tcW w:w="40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355</w:t>
            </w:r>
          </w:p>
        </w:tc>
        <w:tc>
          <w:tcPr>
            <w:tcW w:w="138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630</w:t>
            </w:r>
          </w:p>
        </w:tc>
        <w:tc>
          <w:tcPr>
            <w:tcW w:w="66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w:t>
            </w:r>
          </w:p>
        </w:tc>
        <w:tc>
          <w:tcPr>
            <w:tcW w:w="13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697</w:t>
            </w:r>
          </w:p>
        </w:tc>
        <w:tc>
          <w:tcPr>
            <w:tcW w:w="10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2</w:t>
            </w:r>
          </w:p>
        </w:tc>
        <w:tc>
          <w:tcPr>
            <w:tcW w:w="10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454</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1"/>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Americas</w:t>
            </w:r>
          </w:p>
        </w:tc>
        <w:tc>
          <w:tcPr>
            <w:tcW w:w="152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9</w:t>
            </w:r>
          </w:p>
        </w:tc>
        <w:tc>
          <w:tcPr>
            <w:tcW w:w="40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w:t>
            </w:r>
          </w:p>
        </w:tc>
        <w:tc>
          <w:tcPr>
            <w:tcW w:w="138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64</w:t>
            </w:r>
          </w:p>
        </w:tc>
        <w:tc>
          <w:tcPr>
            <w:tcW w:w="66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39</w:t>
            </w:r>
          </w:p>
        </w:tc>
        <w:tc>
          <w:tcPr>
            <w:tcW w:w="10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35</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Africa</w:t>
            </w:r>
          </w:p>
        </w:tc>
        <w:tc>
          <w:tcPr>
            <w:tcW w:w="152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4</w:t>
            </w:r>
          </w:p>
        </w:tc>
        <w:tc>
          <w:tcPr>
            <w:tcW w:w="40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w:t>
            </w:r>
          </w:p>
        </w:tc>
        <w:tc>
          <w:tcPr>
            <w:tcW w:w="138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6</w:t>
            </w:r>
          </w:p>
        </w:tc>
        <w:tc>
          <w:tcPr>
            <w:tcW w:w="66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7</w:t>
            </w:r>
          </w:p>
        </w:tc>
        <w:tc>
          <w:tcPr>
            <w:tcW w:w="10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6</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Asia</w:t>
            </w:r>
          </w:p>
        </w:tc>
        <w:tc>
          <w:tcPr>
            <w:tcW w:w="152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24</w:t>
            </w:r>
          </w:p>
        </w:tc>
        <w:tc>
          <w:tcPr>
            <w:tcW w:w="40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9</w:t>
            </w:r>
          </w:p>
        </w:tc>
        <w:tc>
          <w:tcPr>
            <w:tcW w:w="138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72</w:t>
            </w:r>
          </w:p>
        </w:tc>
        <w:tc>
          <w:tcPr>
            <w:tcW w:w="66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w:t>
            </w:r>
          </w:p>
        </w:tc>
        <w:tc>
          <w:tcPr>
            <w:tcW w:w="13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58</w:t>
            </w:r>
          </w:p>
        </w:tc>
        <w:tc>
          <w:tcPr>
            <w:tcW w:w="10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2</w:t>
            </w:r>
          </w:p>
        </w:tc>
        <w:tc>
          <w:tcPr>
            <w:tcW w:w="10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32</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3"/>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Australia</w:t>
            </w:r>
          </w:p>
        </w:tc>
        <w:tc>
          <w:tcPr>
            <w:tcW w:w="152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w:t>
            </w:r>
          </w:p>
        </w:tc>
        <w:tc>
          <w:tcPr>
            <w:tcW w:w="66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3</w:t>
            </w:r>
          </w:p>
        </w:tc>
        <w:tc>
          <w:tcPr>
            <w:tcW w:w="10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1</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152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1</w:t>
            </w:r>
          </w:p>
        </w:tc>
        <w:tc>
          <w:tcPr>
            <w:tcW w:w="40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30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1</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120" w:type="dxa"/>
            <w:vAlign w:val="bottom"/>
            <w:tcBorders>
              <w:bottom w:val="single" w:sz="8" w:color="0077C0"/>
            </w:tcBorders>
          </w:tcPr>
          <w:p>
            <w:pPr>
              <w:spacing w:after="0"/>
              <w:rPr>
                <w:sz w:val="2"/>
                <w:szCs w:val="2"/>
                <w:color w:val="auto"/>
              </w:rPr>
            </w:pPr>
          </w:p>
        </w:tc>
        <w:tc>
          <w:tcPr>
            <w:tcW w:w="1520" w:type="dxa"/>
            <w:vAlign w:val="bottom"/>
            <w:tcBorders>
              <w:bottom w:val="single" w:sz="8" w:color="0077C0"/>
            </w:tcBorders>
          </w:tcPr>
          <w:p>
            <w:pPr>
              <w:spacing w:after="0"/>
              <w:rPr>
                <w:sz w:val="2"/>
                <w:szCs w:val="2"/>
                <w:color w:val="auto"/>
              </w:rPr>
            </w:pPr>
          </w:p>
        </w:tc>
        <w:tc>
          <w:tcPr>
            <w:tcW w:w="400" w:type="dxa"/>
            <w:vAlign w:val="bottom"/>
            <w:tcBorders>
              <w:bottom w:val="single" w:sz="8" w:color="0077C0"/>
              <w:right w:val="single" w:sz="8" w:color="0077C0"/>
            </w:tcBorders>
          </w:tcPr>
          <w:p>
            <w:pPr>
              <w:spacing w:after="0"/>
              <w:rPr>
                <w:sz w:val="2"/>
                <w:szCs w:val="2"/>
                <w:color w:val="auto"/>
              </w:rPr>
            </w:pPr>
          </w:p>
        </w:tc>
        <w:tc>
          <w:tcPr>
            <w:tcW w:w="80" w:type="dxa"/>
            <w:vAlign w:val="bottom"/>
            <w:tcBorders>
              <w:bottom w:val="single" w:sz="8" w:color="0077C0"/>
            </w:tcBorders>
          </w:tcPr>
          <w:p>
            <w:pPr>
              <w:spacing w:after="0"/>
              <w:rPr>
                <w:sz w:val="2"/>
                <w:szCs w:val="2"/>
                <w:color w:val="auto"/>
              </w:rPr>
            </w:pPr>
          </w:p>
        </w:tc>
        <w:tc>
          <w:tcPr>
            <w:tcW w:w="1300" w:type="dxa"/>
            <w:vAlign w:val="bottom"/>
            <w:tcBorders>
              <w:bottom w:val="single" w:sz="8" w:color="0077C0"/>
            </w:tcBorders>
          </w:tcPr>
          <w:p>
            <w:pPr>
              <w:spacing w:after="0"/>
              <w:rPr>
                <w:sz w:val="2"/>
                <w:szCs w:val="2"/>
                <w:color w:val="auto"/>
              </w:rPr>
            </w:pPr>
          </w:p>
        </w:tc>
        <w:tc>
          <w:tcPr>
            <w:tcW w:w="660" w:type="dxa"/>
            <w:vAlign w:val="bottom"/>
            <w:tcBorders>
              <w:bottom w:val="single" w:sz="8" w:color="0077C0"/>
              <w:right w:val="single" w:sz="8" w:color="0077C0"/>
            </w:tcBorders>
          </w:tcPr>
          <w:p>
            <w:pPr>
              <w:spacing w:after="0"/>
              <w:rPr>
                <w:sz w:val="2"/>
                <w:szCs w:val="2"/>
                <w:color w:val="auto"/>
              </w:rPr>
            </w:pPr>
          </w:p>
        </w:tc>
        <w:tc>
          <w:tcPr>
            <w:tcW w:w="1360" w:type="dxa"/>
            <w:vAlign w:val="bottom"/>
            <w:tcBorders>
              <w:bottom w:val="single" w:sz="8" w:color="0077C0"/>
            </w:tcBorders>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c>
          <w:tcPr>
            <w:tcW w:w="1040" w:type="dxa"/>
            <w:vAlign w:val="bottom"/>
            <w:tcBorders>
              <w:bottom w:val="single" w:sz="8" w:color="0077C0"/>
            </w:tcBorders>
          </w:tcPr>
          <w:p>
            <w:pPr>
              <w:spacing w:after="0"/>
              <w:rPr>
                <w:sz w:val="2"/>
                <w:szCs w:val="2"/>
                <w:color w:val="auto"/>
              </w:rPr>
            </w:pPr>
          </w:p>
        </w:tc>
        <w:tc>
          <w:tcPr>
            <w:tcW w:w="76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12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Consolidated Companies</w:t>
            </w:r>
          </w:p>
        </w:tc>
        <w:tc>
          <w:tcPr>
            <w:tcW w:w="1520" w:type="dxa"/>
            <w:vAlign w:val="bottom"/>
            <w:tcBorders>
              <w:bottom w:val="single" w:sz="8" w:color="0077C0"/>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489</w:t>
            </w:r>
          </w:p>
        </w:tc>
        <w:tc>
          <w:tcPr>
            <w:tcW w:w="40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374</w:t>
            </w:r>
          </w:p>
        </w:tc>
        <w:tc>
          <w:tcPr>
            <w:tcW w:w="1380" w:type="dxa"/>
            <w:vAlign w:val="bottom"/>
            <w:tcBorders>
              <w:bottom w:val="single" w:sz="8" w:color="0077C0"/>
            </w:tcBorders>
            <w:gridSpan w:val="2"/>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774</w:t>
            </w:r>
          </w:p>
        </w:tc>
        <w:tc>
          <w:tcPr>
            <w:tcW w:w="66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w:t>
            </w:r>
          </w:p>
        </w:tc>
        <w:tc>
          <w:tcPr>
            <w:tcW w:w="1360" w:type="dxa"/>
            <w:vAlign w:val="bottom"/>
            <w:tcBorders>
              <w:bottom w:val="single" w:sz="8" w:color="0077C0"/>
            </w:tcBorders>
          </w:tcPr>
          <w:p>
            <w:pPr>
              <w:jc w:val="right"/>
              <w:ind w:right="308"/>
              <w:spacing w:after="0"/>
              <w:rPr>
                <w:sz w:val="20"/>
                <w:szCs w:val="20"/>
                <w:color w:val="auto"/>
              </w:rPr>
            </w:pPr>
            <w:r>
              <w:rPr>
                <w:rFonts w:ascii="Times New Roman" w:cs="Times New Roman" w:eastAsia="Times New Roman" w:hAnsi="Times New Roman"/>
                <w:sz w:val="14"/>
                <w:szCs w:val="14"/>
                <w:color w:val="auto"/>
              </w:rPr>
              <w:t>804</w:t>
            </w:r>
          </w:p>
        </w:tc>
        <w:tc>
          <w:tcPr>
            <w:tcW w:w="1000" w:type="dxa"/>
            <w:vAlign w:val="bottom"/>
            <w:tcBorders>
              <w:bottom w:val="single" w:sz="8" w:color="0077C0"/>
            </w:tcBorders>
          </w:tcPr>
          <w:p>
            <w:pPr>
              <w:jc w:val="right"/>
              <w:ind w:right="328"/>
              <w:spacing w:after="0"/>
              <w:rPr>
                <w:sz w:val="20"/>
                <w:szCs w:val="20"/>
                <w:color w:val="auto"/>
              </w:rPr>
            </w:pPr>
            <w:r>
              <w:rPr>
                <w:rFonts w:ascii="Times New Roman" w:cs="Times New Roman" w:eastAsia="Times New Roman" w:hAnsi="Times New Roman"/>
                <w:sz w:val="14"/>
                <w:szCs w:val="14"/>
                <w:color w:val="auto"/>
              </w:rPr>
              <w:t>4</w:t>
            </w:r>
          </w:p>
        </w:tc>
        <w:tc>
          <w:tcPr>
            <w:tcW w:w="1040" w:type="dxa"/>
            <w:vAlign w:val="bottom"/>
            <w:tcBorders>
              <w:bottom w:val="single" w:sz="8" w:color="0077C0"/>
            </w:tcBorders>
          </w:tcPr>
          <w:p>
            <w:pPr>
              <w:jc w:val="right"/>
              <w:ind w:right="308"/>
              <w:spacing w:after="0"/>
              <w:rPr>
                <w:sz w:val="20"/>
                <w:szCs w:val="20"/>
                <w:color w:val="auto"/>
              </w:rPr>
            </w:pPr>
            <w:r>
              <w:rPr>
                <w:rFonts w:ascii="Times New Roman" w:cs="Times New Roman" w:eastAsia="Times New Roman" w:hAnsi="Times New Roman"/>
                <w:sz w:val="14"/>
                <w:szCs w:val="14"/>
                <w:color w:val="auto"/>
              </w:rPr>
              <w:t>529</w:t>
            </w:r>
          </w:p>
        </w:tc>
        <w:tc>
          <w:tcPr>
            <w:tcW w:w="76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6"/>
        </w:trPr>
        <w:tc>
          <w:tcPr>
            <w:tcW w:w="312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color w:val="auto"/>
              </w:rPr>
              <w:t>Affiliates</w:t>
            </w:r>
          </w:p>
        </w:tc>
        <w:tc>
          <w:tcPr>
            <w:tcW w:w="1520" w:type="dxa"/>
            <w:vAlign w:val="bottom"/>
            <w:tcBorders>
              <w:bottom w:val="single" w:sz="8" w:color="0077C0"/>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3</w:t>
            </w:r>
          </w:p>
        </w:tc>
        <w:tc>
          <w:tcPr>
            <w:tcW w:w="40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w:t>
            </w:r>
          </w:p>
        </w:tc>
        <w:tc>
          <w:tcPr>
            <w:tcW w:w="1380" w:type="dxa"/>
            <w:vAlign w:val="bottom"/>
            <w:tcBorders>
              <w:bottom w:val="single" w:sz="8" w:color="0077C0"/>
            </w:tcBorders>
            <w:gridSpan w:val="2"/>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3</w:t>
            </w:r>
          </w:p>
        </w:tc>
        <w:tc>
          <w:tcPr>
            <w:tcW w:w="66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bottom w:val="single" w:sz="8" w:color="0077C0"/>
            </w:tcBorders>
          </w:tcPr>
          <w:p>
            <w:pPr>
              <w:jc w:val="right"/>
              <w:ind w:right="308"/>
              <w:spacing w:after="0"/>
              <w:rPr>
                <w:sz w:val="20"/>
                <w:szCs w:val="20"/>
                <w:color w:val="auto"/>
              </w:rPr>
            </w:pPr>
            <w:r>
              <w:rPr>
                <w:rFonts w:ascii="Times New Roman" w:cs="Times New Roman" w:eastAsia="Times New Roman" w:hAnsi="Times New Roman"/>
                <w:sz w:val="14"/>
                <w:szCs w:val="14"/>
                <w:color w:val="auto"/>
              </w:rPr>
              <w:t>4</w:t>
            </w:r>
          </w:p>
        </w:tc>
        <w:tc>
          <w:tcPr>
            <w:tcW w:w="1000" w:type="dxa"/>
            <w:vAlign w:val="bottom"/>
            <w:tcBorders>
              <w:bottom w:val="single" w:sz="8" w:color="0077C0"/>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0077C0"/>
            </w:tcBorders>
          </w:tcPr>
          <w:p>
            <w:pPr>
              <w:jc w:val="right"/>
              <w:ind w:right="308"/>
              <w:spacing w:after="0"/>
              <w:rPr>
                <w:sz w:val="20"/>
                <w:szCs w:val="20"/>
                <w:color w:val="auto"/>
              </w:rPr>
            </w:pPr>
            <w:r>
              <w:rPr>
                <w:rFonts w:ascii="Times New Roman" w:cs="Times New Roman" w:eastAsia="Times New Roman" w:hAnsi="Times New Roman"/>
                <w:sz w:val="14"/>
                <w:szCs w:val="14"/>
                <w:color w:val="auto"/>
              </w:rPr>
              <w:t>6</w:t>
            </w:r>
          </w:p>
        </w:tc>
        <w:tc>
          <w:tcPr>
            <w:tcW w:w="76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12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Including Affiliates</w:t>
            </w:r>
          </w:p>
        </w:tc>
        <w:tc>
          <w:tcPr>
            <w:tcW w:w="1520" w:type="dxa"/>
            <w:vAlign w:val="bottom"/>
            <w:tcBorders>
              <w:bottom w:val="single" w:sz="8" w:color="0077C0"/>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492</w:t>
            </w:r>
          </w:p>
        </w:tc>
        <w:tc>
          <w:tcPr>
            <w:tcW w:w="40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375</w:t>
            </w:r>
          </w:p>
        </w:tc>
        <w:tc>
          <w:tcPr>
            <w:tcW w:w="1380" w:type="dxa"/>
            <w:vAlign w:val="bottom"/>
            <w:tcBorders>
              <w:bottom w:val="single" w:sz="8" w:color="0077C0"/>
            </w:tcBorders>
            <w:gridSpan w:val="2"/>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777</w:t>
            </w:r>
          </w:p>
        </w:tc>
        <w:tc>
          <w:tcPr>
            <w:tcW w:w="66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w:t>
            </w:r>
          </w:p>
        </w:tc>
        <w:tc>
          <w:tcPr>
            <w:tcW w:w="1360" w:type="dxa"/>
            <w:vAlign w:val="bottom"/>
            <w:tcBorders>
              <w:bottom w:val="single" w:sz="8" w:color="0077C0"/>
            </w:tcBorders>
          </w:tcPr>
          <w:p>
            <w:pPr>
              <w:jc w:val="right"/>
              <w:ind w:right="308"/>
              <w:spacing w:after="0"/>
              <w:rPr>
                <w:sz w:val="20"/>
                <w:szCs w:val="20"/>
                <w:color w:val="auto"/>
              </w:rPr>
            </w:pPr>
            <w:r>
              <w:rPr>
                <w:rFonts w:ascii="Times New Roman" w:cs="Times New Roman" w:eastAsia="Times New Roman" w:hAnsi="Times New Roman"/>
                <w:sz w:val="14"/>
                <w:szCs w:val="14"/>
                <w:color w:val="auto"/>
              </w:rPr>
              <w:t>808</w:t>
            </w:r>
          </w:p>
        </w:tc>
        <w:tc>
          <w:tcPr>
            <w:tcW w:w="1000" w:type="dxa"/>
            <w:vAlign w:val="bottom"/>
            <w:tcBorders>
              <w:bottom w:val="single" w:sz="8" w:color="0077C0"/>
            </w:tcBorders>
          </w:tcPr>
          <w:p>
            <w:pPr>
              <w:jc w:val="right"/>
              <w:ind w:right="328"/>
              <w:spacing w:after="0"/>
              <w:rPr>
                <w:sz w:val="20"/>
                <w:szCs w:val="20"/>
                <w:color w:val="auto"/>
              </w:rPr>
            </w:pPr>
            <w:r>
              <w:rPr>
                <w:rFonts w:ascii="Times New Roman" w:cs="Times New Roman" w:eastAsia="Times New Roman" w:hAnsi="Times New Roman"/>
                <w:sz w:val="14"/>
                <w:szCs w:val="14"/>
                <w:color w:val="auto"/>
              </w:rPr>
              <w:t>4</w:t>
            </w:r>
          </w:p>
        </w:tc>
        <w:tc>
          <w:tcPr>
            <w:tcW w:w="1040" w:type="dxa"/>
            <w:vAlign w:val="bottom"/>
            <w:tcBorders>
              <w:bottom w:val="single" w:sz="8" w:color="0077C0"/>
            </w:tcBorders>
          </w:tcPr>
          <w:p>
            <w:pPr>
              <w:jc w:val="right"/>
              <w:ind w:right="308"/>
              <w:spacing w:after="0"/>
              <w:rPr>
                <w:sz w:val="20"/>
                <w:szCs w:val="20"/>
                <w:color w:val="auto"/>
              </w:rPr>
            </w:pPr>
            <w:r>
              <w:rPr>
                <w:rFonts w:ascii="Times New Roman" w:cs="Times New Roman" w:eastAsia="Times New Roman" w:hAnsi="Times New Roman"/>
                <w:sz w:val="14"/>
                <w:szCs w:val="14"/>
                <w:color w:val="auto"/>
              </w:rPr>
              <w:t>535</w:t>
            </w:r>
          </w:p>
        </w:tc>
        <w:tc>
          <w:tcPr>
            <w:tcW w:w="76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3"/>
          <w:szCs w:val="13"/>
          <w:color w:val="auto"/>
        </w:rPr>
        <w:t>* Gross wells represent the total number of wells in which Chevron has an ownership interest. Net wells represent the sum of Chevron’s ownership interest in gross wells.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0077C0"/>
        </w:rPr>
        <w:t>Exploration Activities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u w:val="single" w:color="auto"/>
          <w:color w:val="0000FF"/>
        </w:rPr>
        <w:t>Table I</w:t>
      </w:r>
      <w:r>
        <w:rPr>
          <w:rFonts w:ascii="Times New Roman" w:cs="Times New Roman" w:eastAsia="Times New Roman" w:hAnsi="Times New Roman"/>
          <w:sz w:val="18"/>
          <w:szCs w:val="18"/>
          <w:color w:val="auto"/>
        </w:rPr>
        <w:t xml:space="preserve"> for detail on the company’s exploration expenditures and costs of unproved property acquisitions for 2024, 2023 and 2022.</w:t>
      </w:r>
    </w:p>
    <w:p>
      <w:pPr>
        <w:spacing w:after="0" w:line="1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following table summarizes the company’s net interests in productive and dry exploratory wells completed in each of the past three years, and the number of exploratory wells drilling at December 31, 2024. “Exploratory wells” are wells drilled to find and produce crude oil or natural gas in unknown areas and include delineation and appraisal wells, which are wells drilled to find a new reservoir in a field previously found to be productive of crude oil or natural gas in another reservoir or to extend a known reservoir.</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Wells Drilling*</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Net Wells Completed</w:t>
            </w:r>
          </w:p>
        </w:tc>
        <w:tc>
          <w:tcPr>
            <w:tcW w:w="0" w:type="dxa"/>
            <w:vAlign w:val="bottom"/>
          </w:tcPr>
          <w:p>
            <w:pPr>
              <w:spacing w:after="0"/>
              <w:rPr>
                <w:sz w:val="1"/>
                <w:szCs w:val="1"/>
                <w:color w:val="auto"/>
              </w:rPr>
            </w:pPr>
          </w:p>
        </w:tc>
      </w:tr>
      <w:tr>
        <w:trPr>
          <w:trHeight w:val="23"/>
        </w:trPr>
        <w:tc>
          <w:tcPr>
            <w:tcW w:w="3120" w:type="dxa"/>
            <w:vAlign w:val="bottom"/>
          </w:tcPr>
          <w:p>
            <w:pPr>
              <w:spacing w:after="0"/>
              <w:rPr>
                <w:sz w:val="2"/>
                <w:szCs w:val="2"/>
                <w:color w:val="auto"/>
              </w:rPr>
            </w:pPr>
          </w:p>
        </w:tc>
        <w:tc>
          <w:tcPr>
            <w:tcW w:w="15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at 12/31/24</w:t>
            </w: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1360" w:type="dxa"/>
            <w:vAlign w:val="bottom"/>
            <w:tcBorders>
              <w:bottom w:val="single" w:sz="8" w:color="0077C0"/>
            </w:tcBorders>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c>
          <w:tcPr>
            <w:tcW w:w="1040" w:type="dxa"/>
            <w:vAlign w:val="bottom"/>
            <w:tcBorders>
              <w:bottom w:val="single" w:sz="8" w:color="0077C0"/>
            </w:tcBorders>
          </w:tcPr>
          <w:p>
            <w:pPr>
              <w:spacing w:after="0"/>
              <w:rPr>
                <w:sz w:val="2"/>
                <w:szCs w:val="2"/>
                <w:color w:val="auto"/>
              </w:rPr>
            </w:pPr>
          </w:p>
        </w:tc>
        <w:tc>
          <w:tcPr>
            <w:tcW w:w="76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120" w:type="dxa"/>
            <w:vAlign w:val="bottom"/>
          </w:tcPr>
          <w:p>
            <w:pPr>
              <w:spacing w:after="0"/>
              <w:rPr>
                <w:sz w:val="16"/>
                <w:szCs w:val="16"/>
                <w:color w:val="auto"/>
              </w:rPr>
            </w:pPr>
          </w:p>
        </w:tc>
        <w:tc>
          <w:tcPr>
            <w:tcW w:w="1540" w:type="dxa"/>
            <w:vAlign w:val="bottom"/>
            <w:tcBorders>
              <w:bottom w:val="single" w:sz="8" w:color="0077C0"/>
            </w:tcBorders>
            <w:vMerge w:val="continue"/>
          </w:tcPr>
          <w:p>
            <w:pPr>
              <w:spacing w:after="0"/>
              <w:rPr>
                <w:sz w:val="16"/>
                <w:szCs w:val="16"/>
                <w:color w:val="auto"/>
              </w:rPr>
            </w:pPr>
          </w:p>
        </w:tc>
        <w:tc>
          <w:tcPr>
            <w:tcW w:w="380" w:type="dxa"/>
            <w:vAlign w:val="bottom"/>
            <w:tcBorders>
              <w:bottom w:val="single" w:sz="8" w:color="0077C0"/>
            </w:tcBorders>
          </w:tcPr>
          <w:p>
            <w:pPr>
              <w:spacing w:after="0"/>
              <w:rPr>
                <w:sz w:val="16"/>
                <w:szCs w:val="16"/>
                <w:color w:val="auto"/>
              </w:rPr>
            </w:pPr>
          </w:p>
        </w:tc>
        <w:tc>
          <w:tcPr>
            <w:tcW w:w="80" w:type="dxa"/>
            <w:vAlign w:val="bottom"/>
            <w:tcBorders>
              <w:bottom w:val="single" w:sz="8" w:color="0077C0"/>
            </w:tcBorders>
          </w:tcPr>
          <w:p>
            <w:pPr>
              <w:spacing w:after="0"/>
              <w:rPr>
                <w:sz w:val="16"/>
                <w:szCs w:val="16"/>
                <w:color w:val="auto"/>
              </w:rPr>
            </w:pPr>
          </w:p>
        </w:tc>
        <w:tc>
          <w:tcPr>
            <w:tcW w:w="1300" w:type="dxa"/>
            <w:vAlign w:val="bottom"/>
            <w:tcBorders>
              <w:bottom w:val="single" w:sz="8" w:color="0077C0"/>
            </w:tcBorders>
          </w:tcPr>
          <w:p>
            <w:pPr>
              <w:spacing w:after="0"/>
              <w:rPr>
                <w:sz w:val="16"/>
                <w:szCs w:val="16"/>
                <w:color w:val="auto"/>
              </w:rPr>
            </w:pPr>
          </w:p>
        </w:tc>
        <w:tc>
          <w:tcPr>
            <w:tcW w:w="6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60" w:type="dxa"/>
            <w:vAlign w:val="bottom"/>
            <w:tcBorders>
              <w:bottom w:val="single" w:sz="8" w:color="0077C0"/>
            </w:tcBorders>
          </w:tcPr>
          <w:p>
            <w:pPr>
              <w:spacing w:after="0"/>
              <w:rPr>
                <w:sz w:val="16"/>
                <w:szCs w:val="16"/>
                <w:color w:val="auto"/>
              </w:rPr>
            </w:pPr>
          </w:p>
        </w:tc>
        <w:tc>
          <w:tcPr>
            <w:tcW w:w="1000" w:type="dxa"/>
            <w:vAlign w:val="bottom"/>
            <w:tcBorders>
              <w:bottom w:val="single" w:sz="8" w:color="0077C0"/>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40" w:type="dxa"/>
            <w:vAlign w:val="bottom"/>
            <w:tcBorders>
              <w:bottom w:val="single" w:sz="8" w:color="0077C0"/>
            </w:tcBorders>
          </w:tcPr>
          <w:p>
            <w:pPr>
              <w:spacing w:after="0"/>
              <w:rPr>
                <w:sz w:val="16"/>
                <w:szCs w:val="16"/>
                <w:color w:val="auto"/>
              </w:rPr>
            </w:pPr>
          </w:p>
        </w:tc>
        <w:tc>
          <w:tcPr>
            <w:tcW w:w="760" w:type="dxa"/>
            <w:vAlign w:val="bottom"/>
            <w:tcBorders>
              <w:bottom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6"/>
        </w:trPr>
        <w:tc>
          <w:tcPr>
            <w:tcW w:w="3120" w:type="dxa"/>
            <w:vAlign w:val="bottom"/>
            <w:tcBorders>
              <w:bottom w:val="single" w:sz="8" w:color="0077C0"/>
            </w:tcBorders>
          </w:tcPr>
          <w:p>
            <w:pPr>
              <w:spacing w:after="0"/>
              <w:rPr>
                <w:sz w:val="17"/>
                <w:szCs w:val="17"/>
                <w:color w:val="auto"/>
              </w:rPr>
            </w:pPr>
          </w:p>
        </w:tc>
        <w:tc>
          <w:tcPr>
            <w:tcW w:w="1540" w:type="dxa"/>
            <w:vAlign w:val="bottom"/>
            <w:tcBorders>
              <w:bottom w:val="single" w:sz="8" w:color="0077C0"/>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Net</w:t>
            </w:r>
          </w:p>
        </w:tc>
        <w:tc>
          <w:tcPr>
            <w:tcW w:w="80" w:type="dxa"/>
            <w:vAlign w:val="bottom"/>
            <w:tcBorders>
              <w:bottom w:val="single" w:sz="8" w:color="0077C0"/>
            </w:tcBorders>
          </w:tcPr>
          <w:p>
            <w:pPr>
              <w:spacing w:after="0"/>
              <w:rPr>
                <w:sz w:val="17"/>
                <w:szCs w:val="17"/>
                <w:color w:val="auto"/>
              </w:rPr>
            </w:pPr>
          </w:p>
        </w:tc>
        <w:tc>
          <w:tcPr>
            <w:tcW w:w="1300" w:type="dxa"/>
            <w:vAlign w:val="bottom"/>
            <w:tcBorders>
              <w:bottom w:val="single" w:sz="8" w:color="0077C0"/>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Prod.</w:t>
            </w:r>
          </w:p>
        </w:tc>
        <w:tc>
          <w:tcPr>
            <w:tcW w:w="6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Dry</w:t>
            </w:r>
          </w:p>
        </w:tc>
        <w:tc>
          <w:tcPr>
            <w:tcW w:w="1360" w:type="dxa"/>
            <w:vAlign w:val="bottom"/>
            <w:tcBorders>
              <w:bottom w:val="single" w:sz="8" w:color="0077C0"/>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Prod.</w:t>
            </w:r>
          </w:p>
        </w:tc>
        <w:tc>
          <w:tcPr>
            <w:tcW w:w="1000" w:type="dxa"/>
            <w:vAlign w:val="bottom"/>
            <w:tcBorders>
              <w:bottom w:val="single" w:sz="8" w:color="0077C0"/>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Dry</w:t>
            </w:r>
          </w:p>
        </w:tc>
        <w:tc>
          <w:tcPr>
            <w:tcW w:w="1040" w:type="dxa"/>
            <w:vAlign w:val="bottom"/>
            <w:tcBorders>
              <w:bottom w:val="single" w:sz="8" w:color="0077C0"/>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Prod.</w:t>
            </w:r>
          </w:p>
        </w:tc>
        <w:tc>
          <w:tcPr>
            <w:tcW w:w="760" w:type="dxa"/>
            <w:vAlign w:val="bottom"/>
            <w:tcBorders>
              <w:bottom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Dry</w:t>
            </w:r>
          </w:p>
        </w:tc>
        <w:tc>
          <w:tcPr>
            <w:tcW w:w="0" w:type="dxa"/>
            <w:vAlign w:val="bottom"/>
          </w:tcPr>
          <w:p>
            <w:pPr>
              <w:spacing w:after="0"/>
              <w:rPr>
                <w:sz w:val="1"/>
                <w:szCs w:val="1"/>
                <w:color w:val="auto"/>
              </w:rPr>
            </w:pPr>
          </w:p>
        </w:tc>
      </w:tr>
      <w:tr>
        <w:trPr>
          <w:trHeight w:val="19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54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w:t>
            </w:r>
          </w:p>
        </w:tc>
        <w:tc>
          <w:tcPr>
            <w:tcW w:w="38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w:t>
            </w:r>
          </w:p>
        </w:tc>
        <w:tc>
          <w:tcPr>
            <w:tcW w:w="138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5</w:t>
            </w:r>
          </w:p>
        </w:tc>
        <w:tc>
          <w:tcPr>
            <w:tcW w:w="66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w:t>
            </w:r>
          </w:p>
        </w:tc>
        <w:tc>
          <w:tcPr>
            <w:tcW w:w="13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2</w:t>
            </w:r>
          </w:p>
        </w:tc>
        <w:tc>
          <w:tcPr>
            <w:tcW w:w="10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3</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1"/>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Americas</w:t>
            </w:r>
          </w:p>
        </w:tc>
        <w:tc>
          <w:tcPr>
            <w:tcW w:w="154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1</w:t>
            </w:r>
          </w:p>
        </w:tc>
        <w:tc>
          <w:tcPr>
            <w:tcW w:w="66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1</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3"/>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Africa</w:t>
            </w:r>
          </w:p>
        </w:tc>
        <w:tc>
          <w:tcPr>
            <w:tcW w:w="154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1</w:t>
            </w:r>
          </w:p>
        </w:tc>
        <w:tc>
          <w:tcPr>
            <w:tcW w:w="38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1</w:t>
            </w:r>
          </w:p>
        </w:tc>
        <w:tc>
          <w:tcPr>
            <w:tcW w:w="66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w:t>
            </w:r>
          </w:p>
        </w:tc>
        <w:tc>
          <w:tcPr>
            <w:tcW w:w="13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1</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Asia</w:t>
            </w:r>
          </w:p>
        </w:tc>
        <w:tc>
          <w:tcPr>
            <w:tcW w:w="154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3</w:t>
            </w:r>
          </w:p>
        </w:tc>
        <w:tc>
          <w:tcPr>
            <w:tcW w:w="66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w:t>
            </w:r>
          </w:p>
        </w:tc>
        <w:tc>
          <w:tcPr>
            <w:tcW w:w="13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1</w:t>
            </w:r>
          </w:p>
        </w:tc>
        <w:tc>
          <w:tcPr>
            <w:tcW w:w="10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Australia</w:t>
            </w:r>
          </w:p>
        </w:tc>
        <w:tc>
          <w:tcPr>
            <w:tcW w:w="154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30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154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30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120" w:type="dxa"/>
            <w:vAlign w:val="bottom"/>
            <w:tcBorders>
              <w:bottom w:val="single" w:sz="8" w:color="0077C0"/>
            </w:tcBorders>
          </w:tcPr>
          <w:p>
            <w:pPr>
              <w:spacing w:after="0"/>
              <w:rPr>
                <w:sz w:val="2"/>
                <w:szCs w:val="2"/>
                <w:color w:val="auto"/>
              </w:rPr>
            </w:pPr>
          </w:p>
        </w:tc>
        <w:tc>
          <w:tcPr>
            <w:tcW w:w="1540" w:type="dxa"/>
            <w:vAlign w:val="bottom"/>
            <w:tcBorders>
              <w:bottom w:val="single" w:sz="8" w:color="0077C0"/>
            </w:tcBorders>
          </w:tcPr>
          <w:p>
            <w:pPr>
              <w:spacing w:after="0"/>
              <w:rPr>
                <w:sz w:val="2"/>
                <w:szCs w:val="2"/>
                <w:color w:val="auto"/>
              </w:rPr>
            </w:pPr>
          </w:p>
        </w:tc>
        <w:tc>
          <w:tcPr>
            <w:tcW w:w="380" w:type="dxa"/>
            <w:vAlign w:val="bottom"/>
            <w:tcBorders>
              <w:bottom w:val="single" w:sz="8" w:color="0077C0"/>
              <w:right w:val="single" w:sz="8" w:color="0077C0"/>
            </w:tcBorders>
          </w:tcPr>
          <w:p>
            <w:pPr>
              <w:spacing w:after="0"/>
              <w:rPr>
                <w:sz w:val="2"/>
                <w:szCs w:val="2"/>
                <w:color w:val="auto"/>
              </w:rPr>
            </w:pPr>
          </w:p>
        </w:tc>
        <w:tc>
          <w:tcPr>
            <w:tcW w:w="80" w:type="dxa"/>
            <w:vAlign w:val="bottom"/>
            <w:tcBorders>
              <w:bottom w:val="single" w:sz="8" w:color="0077C0"/>
            </w:tcBorders>
          </w:tcPr>
          <w:p>
            <w:pPr>
              <w:spacing w:after="0"/>
              <w:rPr>
                <w:sz w:val="2"/>
                <w:szCs w:val="2"/>
                <w:color w:val="auto"/>
              </w:rPr>
            </w:pPr>
          </w:p>
        </w:tc>
        <w:tc>
          <w:tcPr>
            <w:tcW w:w="1300" w:type="dxa"/>
            <w:vAlign w:val="bottom"/>
            <w:tcBorders>
              <w:bottom w:val="single" w:sz="8" w:color="0077C0"/>
            </w:tcBorders>
          </w:tcPr>
          <w:p>
            <w:pPr>
              <w:spacing w:after="0"/>
              <w:rPr>
                <w:sz w:val="2"/>
                <w:szCs w:val="2"/>
                <w:color w:val="auto"/>
              </w:rPr>
            </w:pPr>
          </w:p>
        </w:tc>
        <w:tc>
          <w:tcPr>
            <w:tcW w:w="660" w:type="dxa"/>
            <w:vAlign w:val="bottom"/>
            <w:tcBorders>
              <w:bottom w:val="single" w:sz="8" w:color="0077C0"/>
              <w:right w:val="single" w:sz="8" w:color="0077C0"/>
            </w:tcBorders>
          </w:tcPr>
          <w:p>
            <w:pPr>
              <w:spacing w:after="0"/>
              <w:rPr>
                <w:sz w:val="2"/>
                <w:szCs w:val="2"/>
                <w:color w:val="auto"/>
              </w:rPr>
            </w:pPr>
          </w:p>
        </w:tc>
        <w:tc>
          <w:tcPr>
            <w:tcW w:w="1360" w:type="dxa"/>
            <w:vAlign w:val="bottom"/>
            <w:tcBorders>
              <w:bottom w:val="single" w:sz="8" w:color="0077C0"/>
            </w:tcBorders>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c>
          <w:tcPr>
            <w:tcW w:w="1040" w:type="dxa"/>
            <w:vAlign w:val="bottom"/>
            <w:tcBorders>
              <w:bottom w:val="single" w:sz="8" w:color="0077C0"/>
            </w:tcBorders>
          </w:tcPr>
          <w:p>
            <w:pPr>
              <w:spacing w:after="0"/>
              <w:rPr>
                <w:sz w:val="2"/>
                <w:szCs w:val="2"/>
                <w:color w:val="auto"/>
              </w:rPr>
            </w:pPr>
          </w:p>
        </w:tc>
        <w:tc>
          <w:tcPr>
            <w:tcW w:w="76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12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Consolidated Companies</w:t>
            </w:r>
          </w:p>
        </w:tc>
        <w:tc>
          <w:tcPr>
            <w:tcW w:w="1540" w:type="dxa"/>
            <w:vAlign w:val="bottom"/>
            <w:tcBorders>
              <w:bottom w:val="single" w:sz="8" w:color="0077C0"/>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3</w:t>
            </w:r>
          </w:p>
        </w:tc>
        <w:tc>
          <w:tcPr>
            <w:tcW w:w="38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w:t>
            </w:r>
          </w:p>
        </w:tc>
        <w:tc>
          <w:tcPr>
            <w:tcW w:w="1380" w:type="dxa"/>
            <w:vAlign w:val="bottom"/>
            <w:tcBorders>
              <w:bottom w:val="single" w:sz="8" w:color="0077C0"/>
            </w:tcBorders>
            <w:gridSpan w:val="2"/>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10</w:t>
            </w:r>
          </w:p>
        </w:tc>
        <w:tc>
          <w:tcPr>
            <w:tcW w:w="66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w:t>
            </w:r>
          </w:p>
        </w:tc>
        <w:tc>
          <w:tcPr>
            <w:tcW w:w="1360" w:type="dxa"/>
            <w:vAlign w:val="bottom"/>
            <w:tcBorders>
              <w:bottom w:val="single" w:sz="8" w:color="0077C0"/>
            </w:tcBorders>
          </w:tcPr>
          <w:p>
            <w:pPr>
              <w:jc w:val="right"/>
              <w:ind w:right="308"/>
              <w:spacing w:after="0"/>
              <w:rPr>
                <w:sz w:val="20"/>
                <w:szCs w:val="20"/>
                <w:color w:val="auto"/>
              </w:rPr>
            </w:pPr>
            <w:r>
              <w:rPr>
                <w:rFonts w:ascii="Times New Roman" w:cs="Times New Roman" w:eastAsia="Times New Roman" w:hAnsi="Times New Roman"/>
                <w:sz w:val="14"/>
                <w:szCs w:val="14"/>
                <w:color w:val="auto"/>
              </w:rPr>
              <w:t>1</w:t>
            </w:r>
          </w:p>
        </w:tc>
        <w:tc>
          <w:tcPr>
            <w:tcW w:w="1000" w:type="dxa"/>
            <w:vAlign w:val="bottom"/>
            <w:tcBorders>
              <w:bottom w:val="single" w:sz="8" w:color="0077C0"/>
            </w:tcBorders>
          </w:tcPr>
          <w:p>
            <w:pPr>
              <w:jc w:val="right"/>
              <w:ind w:right="328"/>
              <w:spacing w:after="0"/>
              <w:rPr>
                <w:sz w:val="20"/>
                <w:szCs w:val="20"/>
                <w:color w:val="auto"/>
              </w:rPr>
            </w:pPr>
            <w:r>
              <w:rPr>
                <w:rFonts w:ascii="Times New Roman" w:cs="Times New Roman" w:eastAsia="Times New Roman" w:hAnsi="Times New Roman"/>
                <w:sz w:val="14"/>
                <w:szCs w:val="14"/>
                <w:color w:val="auto"/>
              </w:rPr>
              <w:t>2</w:t>
            </w:r>
          </w:p>
        </w:tc>
        <w:tc>
          <w:tcPr>
            <w:tcW w:w="1040" w:type="dxa"/>
            <w:vAlign w:val="bottom"/>
            <w:tcBorders>
              <w:bottom w:val="single" w:sz="8" w:color="0077C0"/>
            </w:tcBorders>
          </w:tcPr>
          <w:p>
            <w:pPr>
              <w:jc w:val="right"/>
              <w:ind w:right="308"/>
              <w:spacing w:after="0"/>
              <w:rPr>
                <w:sz w:val="20"/>
                <w:szCs w:val="20"/>
                <w:color w:val="auto"/>
              </w:rPr>
            </w:pPr>
            <w:r>
              <w:rPr>
                <w:rFonts w:ascii="Times New Roman" w:cs="Times New Roman" w:eastAsia="Times New Roman" w:hAnsi="Times New Roman"/>
                <w:sz w:val="14"/>
                <w:szCs w:val="14"/>
                <w:color w:val="auto"/>
              </w:rPr>
              <w:t>7</w:t>
            </w:r>
          </w:p>
        </w:tc>
        <w:tc>
          <w:tcPr>
            <w:tcW w:w="76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6"/>
        </w:trPr>
        <w:tc>
          <w:tcPr>
            <w:tcW w:w="312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color w:val="auto"/>
              </w:rPr>
              <w:t>Affiliates</w:t>
            </w:r>
          </w:p>
        </w:tc>
        <w:tc>
          <w:tcPr>
            <w:tcW w:w="1540" w:type="dxa"/>
            <w:vAlign w:val="bottom"/>
            <w:tcBorders>
              <w:bottom w:val="single" w:sz="8" w:color="0077C0"/>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0077C0"/>
            </w:tcBorders>
          </w:tcPr>
          <w:p>
            <w:pPr>
              <w:spacing w:after="0"/>
              <w:rPr>
                <w:sz w:val="17"/>
                <w:szCs w:val="17"/>
                <w:color w:val="auto"/>
              </w:rPr>
            </w:pPr>
          </w:p>
        </w:tc>
        <w:tc>
          <w:tcPr>
            <w:tcW w:w="1300" w:type="dxa"/>
            <w:vAlign w:val="bottom"/>
            <w:tcBorders>
              <w:bottom w:val="single" w:sz="8" w:color="0077C0"/>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bottom w:val="single" w:sz="8" w:color="0077C0"/>
            </w:tcBorders>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0077C0"/>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0077C0"/>
            </w:tcBorders>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12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Including Affiliates</w:t>
            </w:r>
          </w:p>
        </w:tc>
        <w:tc>
          <w:tcPr>
            <w:tcW w:w="1540" w:type="dxa"/>
            <w:vAlign w:val="bottom"/>
            <w:tcBorders>
              <w:bottom w:val="single" w:sz="8" w:color="0077C0"/>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3</w:t>
            </w:r>
          </w:p>
        </w:tc>
        <w:tc>
          <w:tcPr>
            <w:tcW w:w="38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w:t>
            </w:r>
          </w:p>
        </w:tc>
        <w:tc>
          <w:tcPr>
            <w:tcW w:w="1380" w:type="dxa"/>
            <w:vAlign w:val="bottom"/>
            <w:tcBorders>
              <w:bottom w:val="single" w:sz="8" w:color="0077C0"/>
            </w:tcBorders>
            <w:gridSpan w:val="2"/>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10</w:t>
            </w:r>
          </w:p>
        </w:tc>
        <w:tc>
          <w:tcPr>
            <w:tcW w:w="66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w:t>
            </w:r>
          </w:p>
        </w:tc>
        <w:tc>
          <w:tcPr>
            <w:tcW w:w="1360" w:type="dxa"/>
            <w:vAlign w:val="bottom"/>
            <w:tcBorders>
              <w:bottom w:val="single" w:sz="8" w:color="0077C0"/>
            </w:tcBorders>
          </w:tcPr>
          <w:p>
            <w:pPr>
              <w:jc w:val="right"/>
              <w:ind w:right="308"/>
              <w:spacing w:after="0"/>
              <w:rPr>
                <w:sz w:val="20"/>
                <w:szCs w:val="20"/>
                <w:color w:val="auto"/>
              </w:rPr>
            </w:pPr>
            <w:r>
              <w:rPr>
                <w:rFonts w:ascii="Times New Roman" w:cs="Times New Roman" w:eastAsia="Times New Roman" w:hAnsi="Times New Roman"/>
                <w:sz w:val="14"/>
                <w:szCs w:val="14"/>
                <w:color w:val="auto"/>
              </w:rPr>
              <w:t>1</w:t>
            </w:r>
          </w:p>
        </w:tc>
        <w:tc>
          <w:tcPr>
            <w:tcW w:w="1000" w:type="dxa"/>
            <w:vAlign w:val="bottom"/>
            <w:tcBorders>
              <w:bottom w:val="single" w:sz="8" w:color="0077C0"/>
            </w:tcBorders>
          </w:tcPr>
          <w:p>
            <w:pPr>
              <w:jc w:val="right"/>
              <w:ind w:right="328"/>
              <w:spacing w:after="0"/>
              <w:rPr>
                <w:sz w:val="20"/>
                <w:szCs w:val="20"/>
                <w:color w:val="auto"/>
              </w:rPr>
            </w:pPr>
            <w:r>
              <w:rPr>
                <w:rFonts w:ascii="Times New Roman" w:cs="Times New Roman" w:eastAsia="Times New Roman" w:hAnsi="Times New Roman"/>
                <w:sz w:val="14"/>
                <w:szCs w:val="14"/>
                <w:color w:val="auto"/>
              </w:rPr>
              <w:t>2</w:t>
            </w:r>
          </w:p>
        </w:tc>
        <w:tc>
          <w:tcPr>
            <w:tcW w:w="1040" w:type="dxa"/>
            <w:vAlign w:val="bottom"/>
            <w:tcBorders>
              <w:bottom w:val="single" w:sz="8" w:color="0077C0"/>
            </w:tcBorders>
          </w:tcPr>
          <w:p>
            <w:pPr>
              <w:jc w:val="right"/>
              <w:ind w:right="308"/>
              <w:spacing w:after="0"/>
              <w:rPr>
                <w:sz w:val="20"/>
                <w:szCs w:val="20"/>
                <w:color w:val="auto"/>
              </w:rPr>
            </w:pPr>
            <w:r>
              <w:rPr>
                <w:rFonts w:ascii="Times New Roman" w:cs="Times New Roman" w:eastAsia="Times New Roman" w:hAnsi="Times New Roman"/>
                <w:sz w:val="14"/>
                <w:szCs w:val="14"/>
                <w:color w:val="auto"/>
              </w:rPr>
              <w:t>7</w:t>
            </w:r>
          </w:p>
        </w:tc>
        <w:tc>
          <w:tcPr>
            <w:tcW w:w="76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3"/>
          <w:szCs w:val="13"/>
          <w:color w:val="auto"/>
        </w:rPr>
        <w:t>* Gross wells represent the total number of wells in which Chevron has an ownership interest. Net wells represent the sum of Chevron’s ownership interest in gross wells.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0" w:name="page11"/>
    <w:bookmarkEnd w:id="10"/>
    <w:p>
      <w:pPr>
        <w:ind w:left="10100"/>
        <w:spacing w:after="0"/>
        <w:rPr>
          <w:sz w:val="20"/>
          <w:szCs w:val="20"/>
          <w:color w:val="auto"/>
        </w:rPr>
      </w:pPr>
      <w:r>
        <w:rPr>
          <w:rFonts w:ascii="Arial" w:cs="Arial" w:eastAsia="Arial" w:hAnsi="Arial"/>
          <w:sz w:val="14"/>
          <w:szCs w:val="14"/>
          <w:color w:val="0077C0"/>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0077C0"/>
        </w:rPr>
        <w:t>Review of Ongoing Activities in Key Areas</w:t>
      </w:r>
    </w:p>
    <w:p>
      <w:pPr>
        <w:spacing w:after="0" w:line="10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 xml:space="preserve">Chevron has exploration and production activities in many of the world’s major hydrocarbon basins. Chevron’s 2024 key upstream activities, some of which are also discussed in the section </w:t>
      </w:r>
      <w:r>
        <w:rPr>
          <w:rFonts w:ascii="Times New Roman" w:cs="Times New Roman" w:eastAsia="Times New Roman" w:hAnsi="Times New Roman"/>
          <w:sz w:val="18"/>
          <w:szCs w:val="18"/>
          <w:u w:val="single" w:color="auto"/>
          <w:color w:val="0000FF"/>
        </w:rPr>
        <w:t>Management’s Discussion and Analysis of Financial Condition and Results of Operations</w:t>
      </w:r>
      <w:r>
        <w:rPr>
          <w:rFonts w:ascii="Times New Roman" w:cs="Times New Roman" w:eastAsia="Times New Roman" w:hAnsi="Times New Roman"/>
          <w:sz w:val="18"/>
          <w:szCs w:val="18"/>
          <w:color w:val="auto"/>
        </w:rPr>
        <w:t xml:space="preserve">, are presented below. The comments include references to “total production” and “net production,” which are defined under “Production” in </w:t>
      </w:r>
      <w:r>
        <w:rPr>
          <w:rFonts w:ascii="Times New Roman" w:cs="Times New Roman" w:eastAsia="Times New Roman" w:hAnsi="Times New Roman"/>
          <w:sz w:val="18"/>
          <w:szCs w:val="18"/>
          <w:u w:val="single" w:color="auto"/>
          <w:color w:val="0000FF"/>
        </w:rPr>
        <w:t>Exhibit 99.1</w:t>
      </w:r>
      <w:r>
        <w:rPr>
          <w:rFonts w:ascii="Times New Roman" w:cs="Times New Roman" w:eastAsia="Times New Roman" w:hAnsi="Times New Roman"/>
          <w:sz w:val="18"/>
          <w:szCs w:val="18"/>
          <w:color w:val="auto"/>
        </w:rPr>
        <w:t>.</w:t>
      </w:r>
    </w:p>
    <w:p>
      <w:pPr>
        <w:spacing w:after="0" w:line="4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discussion that follows references the status of proved reserves recognition for significant long lead time projects not on production as well as for projects recently placed on production. Reserves are not discussed for exploration activities or recent discoveries that have not advanced to a project stage, or for mature areas of production that do not have individual projects requiring significant levels of capital or exploratory investment. Projected start-up timing for nonoperated projects are per operator’s estimate.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0077C0"/>
        </w:rPr>
        <w:t>United States</w:t>
      </w:r>
    </w:p>
    <w:p>
      <w:pPr>
        <w:spacing w:after="0" w:line="8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 xml:space="preserve">Upstream activities in the United States are primarily located in Texas, New Mexico, Colorado, California and the Gulf of America. Acreage for the United States can be found in the </w:t>
      </w:r>
      <w:r>
        <w:rPr>
          <w:rFonts w:ascii="Times New Roman" w:cs="Times New Roman" w:eastAsia="Times New Roman" w:hAnsi="Times New Roman"/>
          <w:sz w:val="18"/>
          <w:szCs w:val="18"/>
          <w:u w:val="single" w:color="auto"/>
          <w:color w:val="0000FF"/>
        </w:rPr>
        <w:t>Acreage</w:t>
      </w:r>
      <w:r>
        <w:rPr>
          <w:rFonts w:ascii="Times New Roman" w:cs="Times New Roman" w:eastAsia="Times New Roman" w:hAnsi="Times New Roman"/>
          <w:sz w:val="18"/>
          <w:szCs w:val="18"/>
          <w:color w:val="auto"/>
        </w:rPr>
        <w:t xml:space="preserve"> table. Net daily oil-equivalent production in the United States can be found in the </w:t>
      </w:r>
      <w:r>
        <w:rPr>
          <w:rFonts w:ascii="Times New Roman" w:cs="Times New Roman" w:eastAsia="Times New Roman" w:hAnsi="Times New Roman"/>
          <w:sz w:val="18"/>
          <w:szCs w:val="18"/>
          <w:u w:val="single" w:color="auto"/>
          <w:color w:val="0000FF"/>
        </w:rPr>
        <w:t>Net Production of Crude Oil, Natural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Gas Liquids and Natural Gas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table.</w:t>
      </w:r>
    </w:p>
    <w:p>
      <w:pPr>
        <w:spacing w:after="0" w:line="4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As one of the largest producers in the Permian Basin, Chevron continues to develop its advantaged portfolio of 1,780,000 net acres in the Delaware and Midland basins in west Texas and southeast New Mexico and is expected to achieve one million barrels of net oil-equivalent production per day in 2025. The asset is comprised of stacked formations enabling production from multiple geologic zones from single surface locations, staging the development for optimized capacity utilization of facilities and infrastructure. The company has implemented a factory development strategy utilizing multi-well pads to drill a series of horizontal wells that are subsequently completed using hydraulic fracture stimulation. This manufacturing-style process, combined with advantaged acreage holdings and technological advancements, have enabled productivity improvements across unique geological locations throughout the basin. Acreage transactions enabling longer laterals and the company’s diversified land assets via non-operated joint ventures and royalty positions have also contributed to higher returns. The company continued to progress water handling initiatives and ongoing emission reductions, including the partial or full electrification of drilling and hydraulic fracturing fleets, and the expansion of electricity sources with two new solar projects reaching final investment decision in 2024. Chevron’s 2024 net daily production in the Permian Basin averaged 405,000 barrels of crude oil, 251,000 barrels of NGLs and 1.6 billion cubic feet of natural gas.</w:t>
      </w:r>
    </w:p>
    <w:p>
      <w:pPr>
        <w:spacing w:after="0" w:line="7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Chevron also holds approximately 72,000 net acres in the Haynesville Shale in east Texas. The company continues to pursue strategic opportunities for these assets.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Chevron is the largest oil and natural gas producer in Colorado, where development is focused across approximately 580,000 net acres in the Denver-Julesburg (DJ) Basin. Chevron follows a factory development strategy utilizing multi-well pads to drill a series of horizontal wells that are subsequently completed using hydraulic fracture stimulation. It has also implemented facility design and electrification improvements to consolidate assets and remove facilities, reducing surface footprint and greenhouse gas emissions. In 2024, Chevron’s net daily production in Colorado averaged 132,000 barrels of crude oil, 107,000 barrels of NGLs and 930 million cubic feet of natural gas. Chevron also has operations in Colorado’s Piceance Basin, as well as an acreage position in Wyoming.</w:t>
      </w:r>
    </w:p>
    <w:p>
      <w:pPr>
        <w:spacing w:after="0" w:line="5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 2024, Chevron’s California average net daily oil-equivalent production was 71,000 barrels. Chevron owns and operates between 87 and 100 percent interests in six fields including Kern River, Cymric/McKittrick, Midway Sunset, San Ardo, Coalinga and Lost Hills. The company announced its first solar-to-hydrogen production project in Kern County, which will create lower carbon hydrogen through electrolysis, utilizing solar power, land and non-potable produced water from Chevron’s existing assets.</w:t>
      </w:r>
    </w:p>
    <w:p>
      <w:pPr>
        <w:spacing w:after="0" w:line="6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During 2024, net daily production in the Gulf of America averaged 168,000 barrels of crude oil, 10,000 barrels of NGLs and 86 million cubic feet of natural gas. Chevron is engaged in various operated and nonoperated exploration, development and production activities in the deepwater Gulf of America. Chevron also holds nonoperated interests in several shelf fields.</w:t>
      </w:r>
    </w:p>
    <w:p>
      <w:pPr>
        <w:spacing w:after="0" w:line="4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Chevron has a 62.9 percent-owned and operated interest in the unit areas containing the Anchor Field, located in the Green Canyon area. Stage 1 of the Anchor development that consists of a seven-well subsea development and a semi-submersible floating production unit achieved first oil in August 2024 utilizing an industry-first 20,000 pounds per square inch</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1" w:name="page12"/>
    <w:bookmarkEnd w:id="11"/>
    <w:p>
      <w:pPr>
        <w:ind w:left="10100"/>
        <w:spacing w:after="0"/>
        <w:rPr>
          <w:sz w:val="20"/>
          <w:szCs w:val="20"/>
          <w:color w:val="auto"/>
        </w:rPr>
      </w:pPr>
      <w:r>
        <w:rPr>
          <w:rFonts w:ascii="Arial" w:cs="Arial" w:eastAsia="Arial" w:hAnsi="Arial"/>
          <w:sz w:val="14"/>
          <w:szCs w:val="14"/>
          <w:color w:val="0077C0"/>
        </w:rPr>
        <w:t>Table of Contents</w:t>
      </w:r>
    </w:p>
    <w:p>
      <w:pPr>
        <w:spacing w:after="0" w:line="200" w:lineRule="exact"/>
        <w:rPr>
          <w:sz w:val="20"/>
          <w:szCs w:val="20"/>
          <w:color w:val="auto"/>
        </w:rPr>
      </w:pPr>
    </w:p>
    <w:p>
      <w:pPr>
        <w:spacing w:after="0" w:line="31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deepwater technology. Two producing wells were brought online and development drilling is progressing on subsequent wells. The field has an estimated remaining production life of 30 years.</w:t>
      </w:r>
    </w:p>
    <w:p>
      <w:pPr>
        <w:spacing w:after="0" w:line="2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Chevron has a 60 percent-owned and operated interest in the Ballymore Field located in the Mississippi Canyon area, which is being developed as a subsea tieback to the existing Chevron 75 percent-owned and operated Blind Faith facility. The development includes three production wells, with first oil expected in 2025. Proved reserves have been recognized for this project.</w:t>
      </w:r>
    </w:p>
    <w:p>
      <w:pPr>
        <w:spacing w:after="0" w:line="6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Chevron has a 60 percent-owned and operated interest in the Big Foot Field, located in the deepwater Walker Ridge area. First oil from further development is expected in 2025 and 2026. The field has an estimated remaining production life of 25 years.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Chevron has a 50 percent-owned and operated interest in the Jack Field, a 51 percent-owned and operated interest in the St. Malo Field and a 40.6 percent-owned and operated interest in the production host facility used for the joint development of both fields, all located in the Walker Ridge area. In 2024, the St. Malo Stage 4 waterflood project delivered first water injection and completed the installation of a second multi-phase subsea pump module within the St. Malo Field. An additional St. Malo well delivered first oil and further development drilling commenced in the Jack Field. The Jack/St. Malo Stage 5 project reached final investment decision (FID), with first oil expected in 2026. The Jack and St. Malo fields have an estimated remaining production life of 20 years.</w:t>
      </w:r>
    </w:p>
    <w:p>
      <w:pPr>
        <w:spacing w:after="0" w:line="5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has a 58 percent-owned and operated interest in the deepwater Tahiti Field, located in the Green Canyon area. In 2024, the company’s first deepwater Gulf of America producer-to-injector conversion well started water injection and an additional water injector well reached FID. The Tahiti Field surpassed 500 million barrels of oil-equivalent cumulative production in 2024 and has an estimated remaining production life of 20 years.</w:t>
      </w:r>
    </w:p>
    <w:p>
      <w:pPr>
        <w:spacing w:after="0" w:line="6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has a 15.6 percent nonoperated working interest in the deepwater Mad Dog Field, located in the Green Canyon area. In 2024, first water injection was achieved from the Mad Dog 2 project and additional producing wells were brought online. The field has an estimated remaining production life of more than 30 years.</w:t>
      </w:r>
    </w:p>
    <w:p>
      <w:pPr>
        <w:spacing w:after="0" w:line="4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Chevron has a 37.5 percent nonoperated working interest in the Perdido Regional Host, which accommodates production from the Great White, Silvertip and Tobago fields in the Alaminos Canyon area. In 2024, the Silvertip Expansion Project, in which Chevron has a 60 percent nonoperated working interest, reached FID, with first oil expected in 2026. Additional development drilling in the Great White Field is currently ongoing, with first oil expected in 2025. The Perdido asset has an estimated remaining production life of more than 15 years.</w:t>
      </w:r>
    </w:p>
    <w:p>
      <w:pPr>
        <w:spacing w:after="0" w:line="6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Chevron has a 25 percent nonoperated working interest in the Stampede Field, which is located in the Green Canyon area. In 2024, development drilling on a new well with tie back to the host facility commenced and first oil is expected in 2025. The Stampede Field has an estimated remaining production life of more than 20 years.</w:t>
      </w:r>
    </w:p>
    <w:p>
      <w:pPr>
        <w:spacing w:after="0" w:line="4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 has a 40 percent nonoperated working interest in the Whale discovery located in the Alaminos Canyon area. Whale consists of a fifteen-well subsea development and floating production unit. In January 2025, first production was achieved with two producing wells brought online and development drilling in progress on subsequent wells. The field has an estimated remaining production life of more than 25 years.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2024, Chevron was formally awarded 26 exploration blocks as a result of Gulf of America lease sale 261.</w:t>
      </w:r>
    </w:p>
    <w:p>
      <w:pPr>
        <w:spacing w:after="0" w:line="10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Chevron has a 50 percent interest in Bayou Bend, a carbon dioxide transportation and sequestration affiliate that holds approximately 140,000 acres for carbon dioxide storage. In 2024, onshore and offshore stratigraphic wells were drilled to delineate carbon dioxide storage potential.</w:t>
      </w:r>
    </w:p>
    <w:p>
      <w:pPr>
        <w:spacing w:after="0" w:line="2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Chevron owns a majority interest in ACES Delta, LLC, a joint venture developing the Advanced Clean Energy Storage Project in Delta, Utah. The project, currently under construction, is designed to produce hydrogen made from renewable energy, store that hydrogen in two salt caverns, and deliver it as needed to hydrogen-capable gas turbines to generate power. The project is expected to be commercially operational in 2025.</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0077C0"/>
        </w:rPr>
        <w:t>Other Americas</w:t>
      </w:r>
    </w:p>
    <w:p>
      <w:pPr>
        <w:spacing w:after="0" w:line="11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 xml:space="preserve">“Other Americas” includes Argentina, Brazil, Canada, Colombia, Mexico, Suriname, Uruguay and Venezuela. Acreage for “Other Americas” can be found in the </w:t>
      </w:r>
      <w:r>
        <w:rPr>
          <w:rFonts w:ascii="Times New Roman" w:cs="Times New Roman" w:eastAsia="Times New Roman" w:hAnsi="Times New Roman"/>
          <w:sz w:val="18"/>
          <w:szCs w:val="18"/>
          <w:u w:val="single" w:color="auto"/>
          <w:color w:val="0000FF"/>
        </w:rPr>
        <w:t>Acreage</w:t>
      </w:r>
      <w:r>
        <w:rPr>
          <w:rFonts w:ascii="Times New Roman" w:cs="Times New Roman" w:eastAsia="Times New Roman" w:hAnsi="Times New Roman"/>
          <w:sz w:val="18"/>
          <w:szCs w:val="18"/>
          <w:color w:val="auto"/>
        </w:rPr>
        <w:t xml:space="preserve"> table. Net daily oil-equivalent production from these countries can be found in the </w:t>
      </w:r>
      <w:r>
        <w:rPr>
          <w:rFonts w:ascii="Times New Roman" w:cs="Times New Roman" w:eastAsia="Times New Roman" w:hAnsi="Times New Roman"/>
          <w:sz w:val="18"/>
          <w:szCs w:val="18"/>
          <w:u w:val="single" w:color="auto"/>
          <w:color w:val="0000FF"/>
        </w:rPr>
        <w:t>Net Production of Crude Oil, Natural Gas Liquids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Natural Gas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table.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2" w:name="page13"/>
    <w:bookmarkEnd w:id="12"/>
    <w:p>
      <w:pPr>
        <w:ind w:left="10100"/>
        <w:spacing w:after="0"/>
        <w:rPr>
          <w:sz w:val="20"/>
          <w:szCs w:val="20"/>
          <w:color w:val="auto"/>
        </w:rPr>
      </w:pPr>
      <w:r>
        <w:rPr>
          <w:rFonts w:ascii="Arial" w:cs="Arial" w:eastAsia="Arial" w:hAnsi="Arial"/>
          <w:sz w:val="14"/>
          <w:szCs w:val="14"/>
          <w:color w:val="0077C0"/>
        </w:rPr>
        <w:t>Table of Contents</w:t>
      </w:r>
    </w:p>
    <w:p>
      <w:pPr>
        <w:spacing w:after="0" w:line="200" w:lineRule="exact"/>
        <w:rPr>
          <w:sz w:val="20"/>
          <w:szCs w:val="20"/>
          <w:color w:val="auto"/>
        </w:rPr>
      </w:pPr>
    </w:p>
    <w:p>
      <w:pPr>
        <w:spacing w:after="0" w:line="31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Argentina </w:t>
      </w:r>
      <w:r>
        <w:rPr>
          <w:rFonts w:ascii="Times New Roman" w:cs="Times New Roman" w:eastAsia="Times New Roman" w:hAnsi="Times New Roman"/>
          <w:sz w:val="18"/>
          <w:szCs w:val="18"/>
          <w:color w:val="000000"/>
        </w:rPr>
        <w:t>Chevron has a 50 percent nonoperated interest in the Loma Campana and Narambuena concessions in the Vaca Muerta shale. At Loma</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Compana, 48 horizontal wells were drilled in 2024, with 46 wells in total put on production. This concession expires in 2048, and the Narambuena concession expires in 2027.</w:t>
      </w:r>
    </w:p>
    <w:p>
      <w:pPr>
        <w:spacing w:after="0" w:line="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Chevron owns and operates a 100 percent interest in the El Trapial Field with conventional waterflood. The conventional field concession expires in 2032. Chevron also owns and operates a 100 percent interest in the east area of the El Trapial Field in the Vaca Muerta shale formation for unconventional development. In 2024, Chevron continued development on its unconventional resources with one drilling rig. The unconventional concession expires in 2057.</w:t>
      </w:r>
    </w:p>
    <w:p>
      <w:pPr>
        <w:spacing w:after="0" w:line="5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Chevron has a 14 percent interest in a pipeline system that provides an important export route for Argentina’s crude oil. During 2024, a majority of the company’s exported crude oil was transported through this pipeline system. Chevron is currently evaluating other strategic alternatives to increase its export capacity in the country.</w:t>
      </w:r>
    </w:p>
    <w:p>
      <w:pPr>
        <w:spacing w:after="0" w:line="5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Brazil </w:t>
      </w:r>
      <w:r>
        <w:rPr>
          <w:rFonts w:ascii="Times New Roman" w:cs="Times New Roman" w:eastAsia="Times New Roman" w:hAnsi="Times New Roman"/>
          <w:sz w:val="18"/>
          <w:szCs w:val="18"/>
          <w:color w:val="000000"/>
        </w:rPr>
        <w:t>Chevron holds 35 percent nonoperated interests in two blocks in the Campos Basin, following the relinquishment of two blocks in 2024. Chevron</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secured 15 additional exploration blocks in the South Santos and Pelotas basins in 2024.</w:t>
      </w:r>
    </w:p>
    <w:p>
      <w:pPr>
        <w:spacing w:after="0" w:line="4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Canada </w:t>
      </w:r>
      <w:r>
        <w:rPr>
          <w:rFonts w:ascii="Times New Roman" w:cs="Times New Roman" w:eastAsia="Times New Roman" w:hAnsi="Times New Roman"/>
          <w:sz w:val="18"/>
          <w:szCs w:val="18"/>
          <w:color w:val="000000"/>
        </w:rPr>
        <w:t>Upstream interests in Canada are concentrated in the offshore Atlantic region of Newfoundland and Labrador. The company also has interests in</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the Northeast British Columbia and the Beaufort Sea region of the Northwest Territories.</w:t>
      </w:r>
    </w:p>
    <w:p>
      <w:pPr>
        <w:spacing w:after="0" w:line="3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Chevron has a 26.9 percent nonoperated working interest in the Hibernia Field and a 24.1 percent nonoperated working interest in the unitized Hibernia Southern Extension areas offshore Atlantic Canada. The company has a 29.6 percent nonoperated working interest in the Hebron Field, also offshore Atlantic Canada.</w:t>
      </w:r>
    </w:p>
    <w:p>
      <w:pPr>
        <w:spacing w:after="0" w:line="4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In December 2024, the company sold its 20 percent nonoperated working interest in the Athabasca Oil Sands Project and associated Quest carbon capture and storage project in Alberta, as well as its operated assets in the Duvernay shale.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FF0000"/>
        </w:rPr>
        <w:t xml:space="preserve">Colombia </w:t>
      </w:r>
      <w:r>
        <w:rPr>
          <w:rFonts w:ascii="Times New Roman" w:cs="Times New Roman" w:eastAsia="Times New Roman" w:hAnsi="Times New Roman"/>
          <w:sz w:val="18"/>
          <w:szCs w:val="18"/>
          <w:color w:val="000000"/>
        </w:rPr>
        <w:t>Chevron has a 40 percent-owned and operated interest in the offshore Colombia-3 Block.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FF0000"/>
        </w:rPr>
        <w:t xml:space="preserve">Mexico </w:t>
      </w:r>
      <w:r>
        <w:rPr>
          <w:rFonts w:ascii="Times New Roman" w:cs="Times New Roman" w:eastAsia="Times New Roman" w:hAnsi="Times New Roman"/>
          <w:sz w:val="18"/>
          <w:szCs w:val="18"/>
          <w:color w:val="000000"/>
        </w:rPr>
        <w:t>All blocks in which Chevron has a participating interest are in the process of being relinquished to the government.</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Suriname </w:t>
      </w:r>
      <w:r>
        <w:rPr>
          <w:rFonts w:ascii="Times New Roman" w:cs="Times New Roman" w:eastAsia="Times New Roman" w:hAnsi="Times New Roman"/>
          <w:sz w:val="18"/>
          <w:szCs w:val="18"/>
          <w:color w:val="000000"/>
        </w:rPr>
        <w:t>Chevron has a 40 percent-owned and operated working interest in Block 5 and an 80 percent-owned and operated interest in the shallow water</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Block 7. Chevron also holds a 33.3 percent nonoperated working interest in deepwater Block 42.</w:t>
      </w:r>
    </w:p>
    <w:p>
      <w:pPr>
        <w:spacing w:after="0" w:line="4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Uruguay </w:t>
      </w:r>
      <w:r>
        <w:rPr>
          <w:rFonts w:ascii="Times New Roman" w:cs="Times New Roman" w:eastAsia="Times New Roman" w:hAnsi="Times New Roman"/>
          <w:sz w:val="18"/>
          <w:szCs w:val="18"/>
          <w:color w:val="000000"/>
        </w:rPr>
        <w:t>In 2024, Chevron acquired a 60 percent-owned and operated interest in offshore exploration Block OFF-1 with plans to initiate a 3D seismic</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campaign in 2025.</w:t>
      </w:r>
    </w:p>
    <w:p>
      <w:pPr>
        <w:spacing w:after="0" w:line="4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Venezuela </w:t>
      </w:r>
      <w:r>
        <w:rPr>
          <w:rFonts w:ascii="Times New Roman" w:cs="Times New Roman" w:eastAsia="Times New Roman" w:hAnsi="Times New Roman"/>
          <w:sz w:val="18"/>
          <w:szCs w:val="18"/>
          <w:color w:val="000000"/>
        </w:rPr>
        <w:t>Chevron’s interests in Venezuela are located in western Venezuela, the Orinoco Belt and offshore Venezuela. As of December 31, 2024, no</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proved reserves are recognized for these interests. In 2024, the company conducted activities in Venezuela consistent with the authorization provided pursuant to licenses issued by the United States government.</w:t>
      </w:r>
    </w:p>
    <w:p>
      <w:pPr>
        <w:spacing w:after="0" w:line="4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Chevron has a 39.2 percent interest in Petroboscan, which operates the Boscan Field in western Venezuela, as well as a 25.2 percent interest in Petroindependiente, which operates the LL-652 Field in Lake Maracaibo with licenses that expire in 2041. Chevron has a 30 percent interest in Petropiar, which operates the heavy oil Huyapari Field under an agreement expiring in 2047, and a 35.8 percent interest in Petroindependencia, which includes the Carabobo 3 heavy oil project located in three blocks in the Orinoco Belt under a contract expiring in 2050.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3027045</wp:posOffset>
            </wp:positionH>
            <wp:positionV relativeFrom="paragraph">
              <wp:posOffset>-229870</wp:posOffset>
            </wp:positionV>
            <wp:extent cx="285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Chevron also operates and holds a 60 percent interest in the Loran gas field offshore Venezuela. This is part of a cross- border field that includes the Manatee Field in Trinidad and Tobago. This license expires in 2039.</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0077C0"/>
        </w:rPr>
        <w:t>Africa</w:t>
      </w:r>
    </w:p>
    <w:p>
      <w:pPr>
        <w:spacing w:after="0" w:line="10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 xml:space="preserve">In Africa, the company is engaged in upstream activities in Angola, Cameroon, Egypt, Equatorial Guinea, Namibia and Nigeria. Acreage for Africa can be found in the </w:t>
      </w:r>
      <w:r>
        <w:rPr>
          <w:rFonts w:ascii="Times New Roman" w:cs="Times New Roman" w:eastAsia="Times New Roman" w:hAnsi="Times New Roman"/>
          <w:sz w:val="18"/>
          <w:szCs w:val="18"/>
          <w:u w:val="single" w:color="auto"/>
          <w:color w:val="0000FF"/>
        </w:rPr>
        <w:t>Acreage</w:t>
      </w:r>
      <w:r>
        <w:rPr>
          <w:rFonts w:ascii="Times New Roman" w:cs="Times New Roman" w:eastAsia="Times New Roman" w:hAnsi="Times New Roman"/>
          <w:sz w:val="18"/>
          <w:szCs w:val="18"/>
          <w:color w:val="auto"/>
        </w:rPr>
        <w:t xml:space="preserve"> table. Net daily oil-equivalent production from these countries can be found in the </w:t>
      </w:r>
      <w:r>
        <w:rPr>
          <w:rFonts w:ascii="Times New Roman" w:cs="Times New Roman" w:eastAsia="Times New Roman" w:hAnsi="Times New Roman"/>
          <w:sz w:val="18"/>
          <w:szCs w:val="18"/>
          <w:u w:val="single" w:color="auto"/>
          <w:color w:val="0000FF"/>
        </w:rPr>
        <w:t>Net Production of Crude Oil, Natural Gas Liquids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 Natural Gas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table.</w:t>
      </w:r>
    </w:p>
    <w:p>
      <w:pPr>
        <w:spacing w:after="0" w:line="5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Angola </w:t>
      </w:r>
      <w:r>
        <w:rPr>
          <w:rFonts w:ascii="Times New Roman" w:cs="Times New Roman" w:eastAsia="Times New Roman" w:hAnsi="Times New Roman"/>
          <w:sz w:val="18"/>
          <w:szCs w:val="18"/>
          <w:color w:val="000000"/>
        </w:rPr>
        <w:t>The company operates and holds a 39.2 percent interest in Block 0, a concession adjacent to the Cabinda coastline that expires in 2050. The Block</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0 Sanha Lean Gas Connection Project (SLGC) was completed in 2024 and added a new platform that ties the existing complex to new connecting pipelines for gathering and exporting gas from Blocks 0 and 14 to Angola LNG.</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2024, construction continued at the South N’Dola project located in Area B of Block 0, with first oil expected in 2025.</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3" w:name="page14"/>
    <w:bookmarkEnd w:id="13"/>
    <w:p>
      <w:pPr>
        <w:ind w:left="10100"/>
        <w:spacing w:after="0"/>
        <w:rPr>
          <w:sz w:val="20"/>
          <w:szCs w:val="20"/>
          <w:color w:val="auto"/>
        </w:rPr>
      </w:pPr>
      <w:r>
        <w:rPr>
          <w:rFonts w:ascii="Arial" w:cs="Arial" w:eastAsia="Arial" w:hAnsi="Arial"/>
          <w:sz w:val="14"/>
          <w:szCs w:val="14"/>
          <w:color w:val="0077C0"/>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Chevron also operates and holds a 31 percent interest in a production sharing contract (PSC) for deepwater Block 14 that expires in 2028.</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2024, Chevron added frontier exploration acreage positions for Blocks 49 and 50 offshore Angola in the deepwater lower Congo Basin.</w:t>
      </w:r>
    </w:p>
    <w:p>
      <w:pPr>
        <w:spacing w:after="0" w:line="11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Chevron has a 36.4 percent shareholding in Angola LNG Limited, which operates an onshore natural gas liquefaction plant in Soyo, Angola. The plant has the capacity to process 1.1 billion cubic feet of natural gas per day. This is the world’s first LNG plant supplied with associated gas, where the natural gas is a byproduct of crude oil production. Feedstock for the plant originates from multiple fields and operators.</w:t>
      </w:r>
    </w:p>
    <w:p>
      <w:pPr>
        <w:spacing w:after="0" w:line="4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Chevron owns a 31 percent nonoperated working interest in the New Gas Consortium Project (NGC). NGC is an offshore gas concession in which the Quiluma and Maboqueiro (Q&amp;M) fields will be the first to be developed, with first production expected in 2026</w:t>
      </w:r>
      <w:r>
        <w:rPr>
          <w:rFonts w:ascii="Times New Roman" w:cs="Times New Roman" w:eastAsia="Times New Roman" w:hAnsi="Times New Roman"/>
          <w:sz w:val="18"/>
          <w:szCs w:val="18"/>
          <w:color w:val="EE2724"/>
        </w:rPr>
        <w:t>.</w:t>
      </w:r>
      <w:r>
        <w:rPr>
          <w:rFonts w:ascii="Times New Roman" w:cs="Times New Roman" w:eastAsia="Times New Roman" w:hAnsi="Times New Roman"/>
          <w:sz w:val="18"/>
          <w:szCs w:val="18"/>
          <w:color w:val="auto"/>
        </w:rPr>
        <w:t xml:space="preserve"> The Q&amp;M development includes two wellhead platforms and an onshore gas treatment plant with connections to the Angola LNG plant. Proved reserves were recognized for this project in 2024.</w:t>
      </w:r>
    </w:p>
    <w:p>
      <w:pPr>
        <w:spacing w:after="0" w:line="6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Angola-Democratic Republic of Congo (DRC) Joint Development Area </w:t>
      </w:r>
      <w:r>
        <w:rPr>
          <w:rFonts w:ascii="Times New Roman" w:cs="Times New Roman" w:eastAsia="Times New Roman" w:hAnsi="Times New Roman"/>
          <w:sz w:val="18"/>
          <w:szCs w:val="18"/>
          <w:color w:val="000000"/>
        </w:rPr>
        <w:t>Chevron has a 31 percent interest in a production sharing agreement (PSA) with</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the Angola and DRC governments to explore Block 14/23 located in the Zone of Common Interest established between the Republic of Angola and DRC maritime area.</w:t>
      </w:r>
    </w:p>
    <w:p>
      <w:pPr>
        <w:spacing w:after="0" w:line="4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Angola-Republic of Congo (ROC) Joint Development Area </w:t>
      </w:r>
      <w:r>
        <w:rPr>
          <w:rFonts w:ascii="Times New Roman" w:cs="Times New Roman" w:eastAsia="Times New Roman" w:hAnsi="Times New Roman"/>
          <w:sz w:val="18"/>
          <w:szCs w:val="18"/>
          <w:color w:val="000000"/>
        </w:rPr>
        <w:t>Chevron operates and holds a 15.5 percent interest in the Lianzi Unitization Zone (Lianzi),</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which is located in an area shared equally by Angola and the ROC. This interest expires in 2031. In January 2025, the company sold its interest in the ROC portion of Lianzi, while retaining the Angolan portion</w:t>
      </w:r>
      <w:r>
        <w:rPr>
          <w:rFonts w:ascii="Times New Roman" w:cs="Times New Roman" w:eastAsia="Times New Roman" w:hAnsi="Times New Roman"/>
          <w:sz w:val="18"/>
          <w:szCs w:val="18"/>
          <w:i w:val="1"/>
          <w:iCs w:val="1"/>
          <w:color w:val="3051F2"/>
        </w:rPr>
        <w: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FF0000"/>
        </w:rPr>
        <w:t xml:space="preserve">Republic of Congo </w:t>
      </w:r>
      <w:r>
        <w:rPr>
          <w:rFonts w:ascii="Times New Roman" w:cs="Times New Roman" w:eastAsia="Times New Roman" w:hAnsi="Times New Roman"/>
          <w:sz w:val="18"/>
          <w:szCs w:val="18"/>
          <w:color w:val="000000"/>
        </w:rPr>
        <w:t>In January 2025, the company sold its 31.5 percent nonoperated interest in the offshore Haute Mer permit area.</w:t>
      </w:r>
    </w:p>
    <w:p>
      <w:pPr>
        <w:spacing w:after="0" w:line="104"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Cameroon </w:t>
      </w:r>
      <w:r>
        <w:rPr>
          <w:rFonts w:ascii="Times New Roman" w:cs="Times New Roman" w:eastAsia="Times New Roman" w:hAnsi="Times New Roman"/>
          <w:sz w:val="18"/>
          <w:szCs w:val="18"/>
          <w:color w:val="000000"/>
        </w:rPr>
        <w:t>Chevron has a 100 percent interest in the YoYo Block in the Douala Basin. Preliminary development plans include a possible joint development</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between YoYo and the Yolanda fields located in Equatorial Guinea Block I.</w:t>
      </w:r>
    </w:p>
    <w:p>
      <w:pPr>
        <w:spacing w:after="0" w:line="1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Egypt </w:t>
      </w:r>
      <w:r>
        <w:rPr>
          <w:rFonts w:ascii="Times New Roman" w:cs="Times New Roman" w:eastAsia="Times New Roman" w:hAnsi="Times New Roman"/>
          <w:sz w:val="18"/>
          <w:szCs w:val="18"/>
          <w:color w:val="000000"/>
        </w:rPr>
        <w:t>Chevron has interests in Egypt blocks in both the Mediterranean and Red Sea. In the Mediterranean Sea, Chevron holds a 63 percent-owned and</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operated interest in North El Dabaa (Block 4), a 45 percent-owned and operated interest in the Nargis Block and a 27 percent non-operated working interest in North Cleopatra (Block 7). In 2024, Chevron relinquished its 63 percent-owned and operated interest in North Sidi Barrani (Block 2) and its 27 percent nonoperated interest in North Marina (Block 6).</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Red Sea, the company holds a 45 percent-owned and operated interest in Block 1.</w:t>
      </w:r>
    </w:p>
    <w:p>
      <w:pPr>
        <w:spacing w:after="0" w:line="11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Equatorial Guinea </w:t>
      </w:r>
      <w:r>
        <w:rPr>
          <w:rFonts w:ascii="Times New Roman" w:cs="Times New Roman" w:eastAsia="Times New Roman" w:hAnsi="Times New Roman"/>
          <w:sz w:val="18"/>
          <w:szCs w:val="18"/>
          <w:color w:val="000000"/>
        </w:rPr>
        <w:t>Chevron has a 38 percent-owned and operated interest in the Aseng Field and the Yolanda Field in Block I and a 45 percent-owned and</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operated interest in the Alen Field in Block O. The Yolanda field is a discovered natural gas field that straddles the Equatorial Guinea and Cameroon maritime border, for which development options are being reviewed with both governments.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holds a 32 percent nonoperated interest in the Alba natural gas and condensate field.</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Chevron holds interests in two processing facilities located in Punta Europa. These include a 28 percent nonoperated interest in the Alba LPG Plant and a 45 percent nonoperated interest in the Atlantic Methanol Production Company.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2024, Chevron added two exploration acreage positions for Blocks EG-06 and EG-11, offshore Bioko Island.</w:t>
      </w:r>
    </w:p>
    <w:p>
      <w:pPr>
        <w:spacing w:after="0" w:line="100"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Namibia </w:t>
      </w:r>
      <w:r>
        <w:rPr>
          <w:rFonts w:ascii="Times New Roman" w:cs="Times New Roman" w:eastAsia="Times New Roman" w:hAnsi="Times New Roman"/>
          <w:sz w:val="18"/>
          <w:szCs w:val="18"/>
          <w:color w:val="000000"/>
        </w:rPr>
        <w:t>Chevron has an 80 percent-owned and operated interest in Petroleum Exploration License (PEL) 90 (Block 2813B) in the Orange Basin, offshore</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Namibia. In early 2025, Chevron acquired an 80 percent-owned and operated interest in PEL82 (Blocks 2112B and 2212A) in the Walvis Basin.</w:t>
      </w:r>
    </w:p>
    <w:p>
      <w:pPr>
        <w:spacing w:after="0" w:line="1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Nigeria </w:t>
      </w:r>
      <w:r>
        <w:rPr>
          <w:rFonts w:ascii="Times New Roman" w:cs="Times New Roman" w:eastAsia="Times New Roman" w:hAnsi="Times New Roman"/>
          <w:sz w:val="18"/>
          <w:szCs w:val="18"/>
          <w:color w:val="000000"/>
        </w:rPr>
        <w:t>Chevron holds 40 percent interests in concessions across the onshore and shallow-offshore regions of the Niger Delta, most of which were</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converted in 2024 to the terms of the Petroleum Industry Act of 2021. The company also holds acreage positions in five operated and six nonoperated deepwater blocks, with working interests ranging from 20 to 100 percent.</w:t>
      </w:r>
    </w:p>
    <w:p>
      <w:pPr>
        <w:spacing w:after="0" w:line="4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Chevron operates and holds a 67.3 percent working interest in the Agbami Field, which straddles deepwater Petroleum Mining Lease (PML) 52 (previously known as Oil Mining License (OML) 127) and OML 128. PML 52 expires in 2044, and OML 128 expires in 2042. Additionally, Chevron holds a 30 percent nonoperated working interest in the Usan Field in OML 138 that expires in 2042.</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4" w:name="page15"/>
    <w:bookmarkEnd w:id="14"/>
    <w:p>
      <w:pPr>
        <w:ind w:left="10100"/>
        <w:spacing w:after="0"/>
        <w:rPr>
          <w:sz w:val="20"/>
          <w:szCs w:val="20"/>
          <w:color w:val="auto"/>
        </w:rPr>
      </w:pPr>
      <w:r>
        <w:rPr>
          <w:rFonts w:ascii="Arial" w:cs="Arial" w:eastAsia="Arial" w:hAnsi="Arial"/>
          <w:sz w:val="14"/>
          <w:szCs w:val="14"/>
          <w:color w:val="0077C0"/>
        </w:rPr>
        <w:t>Table of Contents</w:t>
      </w:r>
    </w:p>
    <w:p>
      <w:pPr>
        <w:spacing w:after="0" w:line="200" w:lineRule="exact"/>
        <w:rPr>
          <w:sz w:val="20"/>
          <w:szCs w:val="20"/>
          <w:color w:val="auto"/>
        </w:rPr>
      </w:pPr>
    </w:p>
    <w:p>
      <w:pPr>
        <w:spacing w:after="0" w:line="3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deepwater exploration, Chevron operates and holds a 55 percent working interest in the Nsiko discovery in OML 140 and a 100 percent working interest in the Aparo discovery in OML 132. Chevron also holds a 27 percent nonoperated working interest in OML 139 and OML 154, and the company continues to work with the operator to evaluate development options for the multiple deepwater discoveries in the Usan area, including the Owowo Field, which straddles OML 139 and OML 154. The development plan for the Owowo Field involves a subsea tie-back to the existing Usan floating, production, storage and offloading vessel. The field development plan for the Owowo Stage 1 development project was approved in August 2024. At the end of 2024, no proved reserves were recognized for this project.</w:t>
      </w:r>
    </w:p>
    <w:p>
      <w:pPr>
        <w:spacing w:after="0" w:line="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Also, in the deepwater area, the third-party-operated Bonga South West Aparo Field in OML 118 straddles both OML 132 and OML 140. Chevron holds a 16.6 percent nonoperated working interest in the unitized area. The development plan involves subsea wells tied back to a floating production, storage and offloading vessel. At the end of 2024, no proved reserves were recognized for this project.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Chevron holds a 40 percent-owned and operated working interest in Oil Prospecting License (OPL) 215 that covers 256,000 net acres.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2024, Chevron discovered new oil in the Niger Delta at Petroleum Mining Lease 49 (previously within OML 90). This Meji NW-1 discovery is expected to increase Chevron’s oil production in the joint venture asset in which it holds a 40 percent working interest.</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Chevron operates the Escravos Gas Plant, which has a total processing capacity of 680 million cubic feet per day of natural gas and liquefied petroleum gas and condensate export capacity of 58,000 barrels per day. The company operates the 33,000-barrel-per-day Escravos Gas to Liquids facility. In addition, the company holds a 36.9 percent interest in the West African Gas Pipeline Company Limited affiliate, which supplies Nigerian natural gas to customers in Benin, Togo and Ghana.</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0077C0"/>
        </w:rPr>
        <w:t>Asia</w:t>
      </w:r>
    </w:p>
    <w:p>
      <w:pPr>
        <w:spacing w:after="0" w:line="10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 xml:space="preserve">In Asia, the company is engaged in upstream activities in Bangladesh, China, Cyprus, Indonesia, Israel, Kazakhstan, the Partitioned Zone between Saudi Arabia and Kuwait, Russia and Thailand. Acreage for Asia can be found in the </w:t>
      </w:r>
      <w:r>
        <w:rPr>
          <w:rFonts w:ascii="Times New Roman" w:cs="Times New Roman" w:eastAsia="Times New Roman" w:hAnsi="Times New Roman"/>
          <w:sz w:val="18"/>
          <w:szCs w:val="18"/>
          <w:u w:val="single" w:color="auto"/>
          <w:color w:val="0000FF"/>
        </w:rPr>
        <w:t>Acreage</w:t>
      </w:r>
      <w:r>
        <w:rPr>
          <w:rFonts w:ascii="Times New Roman" w:cs="Times New Roman" w:eastAsia="Times New Roman" w:hAnsi="Times New Roman"/>
          <w:sz w:val="18"/>
          <w:szCs w:val="18"/>
          <w:color w:val="auto"/>
        </w:rPr>
        <w:t xml:space="preserve"> table. Net daily oil-equivalent production for these countries can be found in the </w:t>
      </w:r>
      <w:r>
        <w:rPr>
          <w:rFonts w:ascii="Times New Roman" w:cs="Times New Roman" w:eastAsia="Times New Roman" w:hAnsi="Times New Roman"/>
          <w:sz w:val="18"/>
          <w:szCs w:val="18"/>
          <w:u w:val="single" w:color="auto"/>
          <w:color w:val="0000FF"/>
        </w:rPr>
        <w:t>Net Production of Crude Oil, Natural Gas Liquids and Natural Gas</w:t>
      </w:r>
      <w:r>
        <w:rPr>
          <w:rFonts w:ascii="Times New Roman" w:cs="Times New Roman" w:eastAsia="Times New Roman" w:hAnsi="Times New Roman"/>
          <w:sz w:val="18"/>
          <w:szCs w:val="18"/>
          <w:color w:val="auto"/>
        </w:rPr>
        <w:t xml:space="preserve"> table.</w:t>
      </w:r>
    </w:p>
    <w:p>
      <w:pPr>
        <w:spacing w:after="0" w:line="38"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Bangladesh </w:t>
      </w:r>
      <w:r>
        <w:rPr>
          <w:rFonts w:ascii="Times New Roman" w:cs="Times New Roman" w:eastAsia="Times New Roman" w:hAnsi="Times New Roman"/>
          <w:sz w:val="18"/>
          <w:szCs w:val="18"/>
          <w:color w:val="000000"/>
        </w:rPr>
        <w:t>Chevron Bangladesh operates and holds 100 percent interest in Block 12 (Bibiyana field) and Blocks 13 and 14 (Jalalabad and Moulavi Bazar</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fields) under two PSCs. The rights to produce from Bibiyana and Jalalabad expire in 2034 and from Moulavi Bazar in 2038.</w:t>
      </w:r>
    </w:p>
    <w:p>
      <w:pPr>
        <w:spacing w:after="0" w:line="1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China </w:t>
      </w:r>
      <w:r>
        <w:rPr>
          <w:rFonts w:ascii="Times New Roman" w:cs="Times New Roman" w:eastAsia="Times New Roman" w:hAnsi="Times New Roman"/>
          <w:sz w:val="18"/>
          <w:szCs w:val="18"/>
          <w:color w:val="000000"/>
        </w:rPr>
        <w:t>Chevron has a 49 percent nonoperated working interest in the Chuandongbei project, including the Luojiazhai and Gunziping natural gas fields</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located onshore in the Sichuan Basin with the PSC expiring in 2038. The company also has a 32.7 percent nonoperated working interest in Block 16/19 in the Pearl River Mouth Basin, with the PSC expiring in 2028.</w:t>
      </w:r>
    </w:p>
    <w:p>
      <w:pPr>
        <w:spacing w:after="0" w:line="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Bohai Bay, the company previously held a 24.5 percent nonoperated working interests in the Qinhuangdao (QHD) 32-6 PSC, which expired in November 2024.</w:t>
      </w:r>
    </w:p>
    <w:p>
      <w:pPr>
        <w:spacing w:after="0" w:line="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Cyprus </w:t>
      </w:r>
      <w:r>
        <w:rPr>
          <w:rFonts w:ascii="Times New Roman" w:cs="Times New Roman" w:eastAsia="Times New Roman" w:hAnsi="Times New Roman"/>
          <w:sz w:val="18"/>
          <w:szCs w:val="18"/>
          <w:color w:val="000000"/>
        </w:rPr>
        <w:t>The company holds a 35 percent-owned and operated interest in the Aphrodite gas field in Block 12 under a PSC, with an exploitation license that</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expires in 2044. In February 2025, the government and the joint venture agreed to a development and production plan with revised PSC project milestones.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FF0000"/>
        </w:rPr>
        <w:t xml:space="preserve">Indonesia </w:t>
      </w:r>
      <w:r>
        <w:rPr>
          <w:rFonts w:ascii="Times New Roman" w:cs="Times New Roman" w:eastAsia="Times New Roman" w:hAnsi="Times New Roman"/>
          <w:sz w:val="18"/>
          <w:szCs w:val="18"/>
          <w:color w:val="000000"/>
        </w:rPr>
        <w:t>In 2024, Chevron commenced an exploration project managed by its joint venture at the Way Ratai geothermal working area in Lampung.</w:t>
      </w:r>
    </w:p>
    <w:p>
      <w:pPr>
        <w:spacing w:after="0" w:line="10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Israel </w:t>
      </w:r>
      <w:r>
        <w:rPr>
          <w:rFonts w:ascii="Times New Roman" w:cs="Times New Roman" w:eastAsia="Times New Roman" w:hAnsi="Times New Roman"/>
          <w:sz w:val="18"/>
          <w:szCs w:val="18"/>
          <w:color w:val="000000"/>
        </w:rPr>
        <w:t>Chevron holds a 39.7 percent-owned and operated interest in the Leviathan Field, which operates under a concession that expires in 2044. A third</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gathering pipeline is under construction and is expected to increase gas production capacity from approximately 1.2 to 1.4 billion cubic feet per day from the Leviathan reservoir. This pipeline is scheduled for completion in early 2026.</w:t>
      </w:r>
    </w:p>
    <w:p>
      <w:pPr>
        <w:spacing w:after="0" w:line="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Chevron is also undergoing front end engineering design (FEED) and procurement for long lead items to further expand the installed capacity at the Leviathan Field from 1.4 to up to 2.1 billion cubic feet per day. This expansion aims to increase production and improve the monetization of the asset, including opportunities via existing and planned regional infrastructure as well as potential avenues for entry into the global LNG market. The FEED work is critical to reach FID and is contingent upon meeting certain commercial and regulatory conditions.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5" w:name="page16"/>
    <w:bookmarkEnd w:id="15"/>
    <w:p>
      <w:pPr>
        <w:ind w:left="10100"/>
        <w:spacing w:after="0"/>
        <w:rPr>
          <w:sz w:val="20"/>
          <w:szCs w:val="20"/>
          <w:color w:val="auto"/>
        </w:rPr>
      </w:pPr>
      <w:r>
        <w:rPr>
          <w:rFonts w:ascii="Arial" w:cs="Arial" w:eastAsia="Arial" w:hAnsi="Arial"/>
          <w:sz w:val="14"/>
          <w:szCs w:val="14"/>
          <w:color w:val="0077C0"/>
        </w:rPr>
        <w:t>Table of Contents</w:t>
      </w:r>
    </w:p>
    <w:p>
      <w:pPr>
        <w:spacing w:after="0" w:line="200" w:lineRule="exact"/>
        <w:rPr>
          <w:sz w:val="20"/>
          <w:szCs w:val="20"/>
          <w:color w:val="auto"/>
        </w:rPr>
      </w:pPr>
    </w:p>
    <w:p>
      <w:pPr>
        <w:spacing w:after="0" w:line="31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also holds a 25 percent-owned and operated interest in the Tamar gas field, which operates under a concession that expires in 2038. Phase 1 of the Tamar Optimization Project includes installation of a new pipeline to increase delivery capacity to the processing platform, allowing for production at the platform to increase from approximately 1.0 billion to 1.2 billion cubic feet per day. This project is scheduled for completion in 2025.</w:t>
      </w:r>
    </w:p>
    <w:p>
      <w:pPr>
        <w:spacing w:after="0" w:line="6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Chevron reached FID on Phase 2 of the Tamar Optimization Project in February 2024, which is expected to further increase capacity up to approximately 1.6 billion cubic feet of gas per day and includes investment in additional midstream infrastructure. This project is scheduled for completion in 2026.</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Kazakhstan </w:t>
      </w:r>
      <w:r>
        <w:rPr>
          <w:rFonts w:ascii="Times New Roman" w:cs="Times New Roman" w:eastAsia="Times New Roman" w:hAnsi="Times New Roman"/>
          <w:sz w:val="18"/>
          <w:szCs w:val="18"/>
          <w:color w:val="000000"/>
        </w:rPr>
        <w:t>Chevron has a 50 percent interest in the Tengizchevroil (TCO) affiliate and an 18 percent nonoperated working interest in the Karachaganak</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field.</w:t>
      </w:r>
    </w:p>
    <w:p>
      <w:pPr>
        <w:spacing w:after="0" w:line="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TCO is developing the Tengiz and Korolev crude oil fields in western Kazakhstan under a concession agreement that expires in 2033. Most of TCO’s 2024 crude oil production was exported through the Caspian Pipeline Consortium (CPC) pipeline.</w:t>
      </w:r>
    </w:p>
    <w:p>
      <w:pPr>
        <w:spacing w:after="0" w:line="5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TCO completed the Wellhead Pressure Management Project (WPMP) in 2024 while also completing two major train turnarounds. In early 2025, TCO started oil production at the Future Growth Project (FGP). FGP is the third processing plant in operation at the Tengiz oil field, which is expected to increase crude oil production by 260,000 barrels per day at full capacity and ramp-up total output to one million barrels of oil-equivalent per day.</w:t>
      </w:r>
    </w:p>
    <w:p>
      <w:pPr>
        <w:spacing w:after="0" w:line="4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Karachaganak field is located in northwest Kazakhstan, and operations are conducted under a PSA that expires in 2038. During 2024, a majority of the exported liquids were transported through the CPC pipeline. In 2024, the Karachaganak Expansion Project Stage 1A facility scope was completed with final associated injector well to be completed in first-half 2025 and Stage 1B continued development expecting to complete second-half 2026. Both projects increase gas re-injection capacity and extend stable field production. Proved reserves have been recognized for both projects.</w:t>
      </w:r>
    </w:p>
    <w:p>
      <w:pPr>
        <w:spacing w:after="0" w:line="47"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Kazakhstan/Russia </w:t>
      </w:r>
      <w:r>
        <w:rPr>
          <w:rFonts w:ascii="Times New Roman" w:cs="Times New Roman" w:eastAsia="Times New Roman" w:hAnsi="Times New Roman"/>
          <w:sz w:val="18"/>
          <w:szCs w:val="18"/>
          <w:color w:val="000000"/>
        </w:rPr>
        <w:t>Chevron has a 15 percent interest in the CPC. Through 2024, CPC transported an average of 1.4 million barrels of crude oil per day,</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composed of 1.2 million barrels per day from Kazakhstan and 0.2 million barrels per day from Russia.</w:t>
      </w:r>
    </w:p>
    <w:p>
      <w:pPr>
        <w:spacing w:after="0" w:line="19"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Kurdistan Region of Iraq </w:t>
      </w:r>
      <w:r>
        <w:rPr>
          <w:rFonts w:ascii="Times New Roman" w:cs="Times New Roman" w:eastAsia="Times New Roman" w:hAnsi="Times New Roman"/>
          <w:sz w:val="18"/>
          <w:szCs w:val="18"/>
          <w:color w:val="000000"/>
        </w:rPr>
        <w:t>After relinquishment of company interests in Sarta and Qara Dagh PSCs in 2023, Chevron continues to work with the</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government and joint venture partner on final exit agreements, expected to be completed in early 2025.</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FF0000"/>
        </w:rPr>
        <w:t xml:space="preserve">Myanmar </w:t>
      </w:r>
      <w:r>
        <w:rPr>
          <w:rFonts w:ascii="Times New Roman" w:cs="Times New Roman" w:eastAsia="Times New Roman" w:hAnsi="Times New Roman"/>
          <w:sz w:val="18"/>
          <w:szCs w:val="18"/>
          <w:color w:val="000000"/>
        </w:rPr>
        <w:t>Chevron withdrew from Myanmar, effective April 2024.</w:t>
      </w:r>
    </w:p>
    <w:p>
      <w:pPr>
        <w:spacing w:after="0" w:line="11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Partitioned Zone </w:t>
      </w:r>
      <w:r>
        <w:rPr>
          <w:rFonts w:ascii="Times New Roman" w:cs="Times New Roman" w:eastAsia="Times New Roman" w:hAnsi="Times New Roman"/>
          <w:sz w:val="18"/>
          <w:szCs w:val="18"/>
          <w:color w:val="000000"/>
        </w:rPr>
        <w:t>Chevron holds a concession to operate the Kingdom of Saudi Arabia’s 50 percent interest in the hydrocarbon resources in the onshore</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area of the Partitioned Zone between Saudi Arabia and Kuwait. The concession expires in 2046. In 2024, the NWWB-1 exploration well reached total depth and was placed on production. Current activities focus on optimizing base business, further exploration and development drilling and delivering new technology that enables production growth.</w:t>
      </w:r>
    </w:p>
    <w:p>
      <w:pPr>
        <w:spacing w:after="0" w:line="4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Thailand </w:t>
      </w:r>
      <w:r>
        <w:rPr>
          <w:rFonts w:ascii="Times New Roman" w:cs="Times New Roman" w:eastAsia="Times New Roman" w:hAnsi="Times New Roman"/>
          <w:sz w:val="18"/>
          <w:szCs w:val="18"/>
          <w:color w:val="000000"/>
        </w:rPr>
        <w:t>Chevron holds operated interests in the Pattani Basin, located in the Gulf of Thailand, with ownership ranging from 35 percent to 71.2 percent.</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Concessions for producing areas within this basin expire between 2028 and 2035. Chevron has a 35 percent-owned and operated interest in the Pailin field in Block 12/27. Chevron also has a 16 percent nonoperated working interest in the Arthit field located in the Malay Basin. Concessions for the producing areas within this basin expire between 2036 and 2040. Chevron also has an exploration and production license for Block G2/65, which covers 3.7 million net acres.</w:t>
      </w:r>
    </w:p>
    <w:p>
      <w:pPr>
        <w:spacing w:after="0" w:line="50"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Chevron holds between 30 to 80 percent operated and nonoperated working interests in the Thailand-Cambodia Overlapping Claims Area that are inactive, pending resolution of border issues between Thailand and Cambodia.</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0077C0"/>
        </w:rPr>
        <w:t>Australia</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Chevron is the largest producer of LNG in Australia. Acreage can be found in the </w:t>
      </w:r>
      <w:r>
        <w:rPr>
          <w:rFonts w:ascii="Times New Roman" w:cs="Times New Roman" w:eastAsia="Times New Roman" w:hAnsi="Times New Roman"/>
          <w:sz w:val="18"/>
          <w:szCs w:val="18"/>
          <w:u w:val="single" w:color="auto"/>
          <w:color w:val="0000FF"/>
        </w:rPr>
        <w:t>Acreage</w:t>
      </w:r>
      <w:r>
        <w:rPr>
          <w:rFonts w:ascii="Times New Roman" w:cs="Times New Roman" w:eastAsia="Times New Roman" w:hAnsi="Times New Roman"/>
          <w:sz w:val="18"/>
          <w:szCs w:val="18"/>
          <w:color w:val="auto"/>
        </w:rPr>
        <w:t xml:space="preserve"> table. Net daily oil-equivalent production can be found in the </w:t>
      </w:r>
      <w:r>
        <w:rPr>
          <w:rFonts w:ascii="Times New Roman" w:cs="Times New Roman" w:eastAsia="Times New Roman" w:hAnsi="Times New Roman"/>
          <w:sz w:val="18"/>
          <w:szCs w:val="18"/>
          <w:u w:val="single" w:color="auto"/>
          <w:color w:val="0000FF"/>
        </w:rPr>
        <w:t>Net Production of Crude Oil, Natural Gas Liquids and Natural Gas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table.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Upstream activities in Australia are concentrated offshore Western Australia, where the company is the operator of two major LNG projects, Gorgon and Wheatstone, and has a nonoperated working interest in the North West Shelf (NWS) Venture and exploration acreage in the Carnarvon Basin.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6" w:name="page17"/>
    <w:bookmarkEnd w:id="16"/>
    <w:p>
      <w:pPr>
        <w:ind w:left="10100"/>
        <w:spacing w:after="0"/>
        <w:rPr>
          <w:sz w:val="20"/>
          <w:szCs w:val="20"/>
          <w:color w:val="auto"/>
        </w:rPr>
      </w:pPr>
      <w:r>
        <w:rPr>
          <w:rFonts w:ascii="Arial" w:cs="Arial" w:eastAsia="Arial" w:hAnsi="Arial"/>
          <w:sz w:val="14"/>
          <w:szCs w:val="14"/>
          <w:color w:val="0077C0"/>
        </w:rPr>
        <w:t>Table of Contents</w:t>
      </w:r>
    </w:p>
    <w:p>
      <w:pPr>
        <w:spacing w:after="0" w:line="200" w:lineRule="exact"/>
        <w:rPr>
          <w:sz w:val="20"/>
          <w:szCs w:val="20"/>
          <w:color w:val="auto"/>
        </w:rPr>
      </w:pPr>
    </w:p>
    <w:p>
      <w:pPr>
        <w:spacing w:after="0" w:line="3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Chevron holds a 47.3 percent-owned and operated interest in Gorgon on Barrow Island, which includes the development of the Gorgon and Jansz-Io fields, a three-train 15.6 million-metric-ton-per-year LNG facility, a carbon capture and underground storage facility and a domestic gas plant. Progress on the Jansz-Io Compression project continued during 2024 with first gas expected in 2028. Proved reserves have been recognized for this project. Gorgon’s estimated remaining economic life exceeds 40 years.</w:t>
      </w:r>
    </w:p>
    <w:p>
      <w:pPr>
        <w:spacing w:after="0" w:line="5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Chevron holds an 80.2 percent interest in the offshore licenses and a 64.1 percent-owned and operated interest in the LNG facilities associated with Wheatstone. Wheatstone includes the development of the Wheatstone and Iago fields, a two-train, 8.9 million-metric-ton-per-year LNG facility, and a domestic gas plant. The onshore facilities are located at Ashburton North on the coast of Western Australia. Wheatstone’s estimated remaining economic life exceeds 16 years.</w:t>
      </w:r>
    </w:p>
    <w:p>
      <w:pPr>
        <w:spacing w:after="0" w:line="6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Chevron has a 16.7 percent nonoperated working interest in the NWS Venture in Western Australia. In 2024, the company agreed to an asset swap of its 16.7 percent interest in the NWS Project, NWS Oil Project and its 20 percent interest in Angel Carbon Capture and Storage Project with Woodside’s 13 percent nonoperated interest in the Wheatstone Project and 65 percent operated interest in the Julimar-Brunello fields and related infrastructure, which is expected to close in 2026, subject to customary closing conditions and regulations.</w:t>
      </w:r>
    </w:p>
    <w:p>
      <w:pPr>
        <w:spacing w:after="0" w:line="5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company continues to evaluate exploration and appraisal activity across the Carnarvon Basin, in which it holds more than 2.6 million net acres. In 2024, Chevron was awarded the WA-553-P exploration permit in the North Carnarvon Basin, which covers approximately 800,000 net acres. Chevron owns and operates the Clio, Acme and Acme West fields. The company is collaborating with other Carnarvon Basin participants to assess the possibility of developing Clio and Acme through shared utilization of existing infrastructure.</w:t>
      </w:r>
    </w:p>
    <w:p>
      <w:pPr>
        <w:spacing w:after="0" w:line="5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Chevron holds operated and nonoperated working interests ranging from 20 to 70 percent, in five greenhouse gas assessment permits to evaluate the potential of carbon dioxide storage. The blocks, including four in the Carnarvon Basin off the northwestern coast of Western Australia and one in the Bonaparte Basin offshore Northern Territory, total nearly 10.2 million gross acres. This acreage includes Block G-18-AP and Block G-20-AP, both awarded in 2024 and the Angel Carbon Capture and Storage Project, subject to the asset swap mentioned above.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0077C0"/>
        </w:rPr>
        <w:t>United Kingdom</w:t>
      </w:r>
    </w:p>
    <w:p>
      <w:pPr>
        <w:spacing w:after="0" w:line="10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 xml:space="preserve">Acreage can be found in the </w:t>
      </w:r>
      <w:r>
        <w:rPr>
          <w:rFonts w:ascii="Times New Roman" w:cs="Times New Roman" w:eastAsia="Times New Roman" w:hAnsi="Times New Roman"/>
          <w:sz w:val="18"/>
          <w:szCs w:val="18"/>
          <w:u w:val="single" w:color="auto"/>
          <w:color w:val="0000FF"/>
        </w:rPr>
        <w:t>Acreage</w:t>
      </w:r>
      <w:r>
        <w:rPr>
          <w:rFonts w:ascii="Times New Roman" w:cs="Times New Roman" w:eastAsia="Times New Roman" w:hAnsi="Times New Roman"/>
          <w:sz w:val="18"/>
          <w:szCs w:val="18"/>
          <w:color w:val="auto"/>
        </w:rPr>
        <w:t xml:space="preserve"> table. Net oil equivalent production for the United Kingdom can be found in the </w:t>
      </w:r>
      <w:r>
        <w:rPr>
          <w:rFonts w:ascii="Times New Roman" w:cs="Times New Roman" w:eastAsia="Times New Roman" w:hAnsi="Times New Roman"/>
          <w:sz w:val="18"/>
          <w:szCs w:val="18"/>
          <w:u w:val="single" w:color="auto"/>
          <w:color w:val="0000FF"/>
        </w:rPr>
        <w:t>Net Production of Crude Oil, Natural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Gas Liquids and Natural Gas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table.</w:t>
      </w:r>
    </w:p>
    <w:p>
      <w:pPr>
        <w:spacing w:after="0" w:line="2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Chevron holds a 19.4 percent nonoperated working interest in the Clair Field, located west of the Shetland Islands. The Clair Field currently consists of two platform drilling centers: the original Clair Phase 1 and a later added Clair Ridge center. The company is assessing a third drilling center to develop further resources in the area. The Clair Field has an estimated remaining production life extending beyond 2050.</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0077C0"/>
        </w:rPr>
        <w:t>Sales of Natural Gas Liquids and Natural Gas</w:t>
      </w:r>
    </w:p>
    <w:p>
      <w:pPr>
        <w:spacing w:after="0" w:line="10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company sells NGLs and natural gas from its producing operations under a variety of contractual arrangements. In addition, the company also makes third-party purchases and sales of NGLs and natural gas in connection with its supply and trading activities.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and international sales of NGLs averaged 511,000 and 268,000 barrels per day, respectively, in 2024.</w:t>
      </w:r>
    </w:p>
    <w:p>
      <w:pPr>
        <w:spacing w:after="0" w:line="11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During 2024, U.S. and international sales of natural gas averaged 5.2 billion and 5.7 billion cubic feet per day, respectively, which includes the company’s share of equity affiliates’ sales. Outside the United States, substantially all of the natural gas sales from the company’s producing interests are from operations in Angola, Australia, Bangladesh, Canada, Equatorial Guinea, Kazakhstan, Israel, Nigeria and Thailand.</w:t>
      </w:r>
    </w:p>
    <w:p>
      <w:pPr>
        <w:spacing w:after="0" w:line="4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u w:val="single" w:color="auto"/>
          <w:color w:val="0000FF"/>
        </w:rPr>
        <w:t>Selected Operating Data</w:t>
      </w:r>
      <w:r>
        <w:rPr>
          <w:rFonts w:ascii="Times New Roman" w:cs="Times New Roman" w:eastAsia="Times New Roman" w:hAnsi="Times New Roman"/>
          <w:sz w:val="18"/>
          <w:szCs w:val="18"/>
          <w:color w:val="auto"/>
        </w:rPr>
        <w:t xml:space="preserve"> in Management’s Discussion and Analysis of Financial Condition and Results of Operations, for further information on the company’s sales volumes of NGLs and natural gas. Refer also to </w:t>
      </w:r>
      <w:r>
        <w:rPr>
          <w:rFonts w:ascii="Times New Roman" w:cs="Times New Roman" w:eastAsia="Times New Roman" w:hAnsi="Times New Roman"/>
          <w:sz w:val="18"/>
          <w:szCs w:val="18"/>
          <w:u w:val="single" w:color="auto"/>
          <w:color w:val="0000FF"/>
        </w:rPr>
        <w:t>Delivery Commitments</w:t>
      </w:r>
      <w:r>
        <w:rPr>
          <w:rFonts w:ascii="Times New Roman" w:cs="Times New Roman" w:eastAsia="Times New Roman" w:hAnsi="Times New Roman"/>
          <w:sz w:val="18"/>
          <w:szCs w:val="18"/>
          <w:color w:val="auto"/>
        </w:rPr>
        <w:t xml:space="preserve"> for information related to the company’s delivery commitments for the sale of crude oil and natural gas.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7" w:name="page18"/>
    <w:bookmarkEnd w:id="17"/>
    <w:p>
      <w:pPr>
        <w:ind w:left="10100"/>
        <w:spacing w:after="0"/>
        <w:rPr>
          <w:sz w:val="20"/>
          <w:szCs w:val="20"/>
          <w:color w:val="auto"/>
        </w:rPr>
      </w:pPr>
      <w:r>
        <w:rPr>
          <w:rFonts w:ascii="Arial" w:cs="Arial" w:eastAsia="Arial" w:hAnsi="Arial"/>
          <w:sz w:val="14"/>
          <w:szCs w:val="14"/>
          <w:color w:val="0077C0"/>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Downstream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77C0"/>
        </w:rPr>
        <w:t>Refining Operations</w:t>
      </w:r>
    </w:p>
    <w:p>
      <w:pPr>
        <w:spacing w:after="0" w:line="10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At the end of 2024, the company had a refining network capable of processing 1.8 million barrels per day. Operable capacity at December 31, 2024, and daily refinery inputs for the company and affiliate refineries for 2022 through 2024, are summarized in the table below. Average crude unit distillation capacity utilization was 87.9 percent in 2024 and 89.8 percent in 2023.</w:t>
      </w:r>
    </w:p>
    <w:p>
      <w:pPr>
        <w:spacing w:after="0" w:line="6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At U.S. refineries, crude unit distillation capacity utilization, which includes all crude oil and other inputs, averaged 86.6 percent in 2024, compared with 90.8 percent in 2023. Chevron processes both imported and domestic crude oil in its U.S. refining operations. Imported crude oil accounted for approximately 60 percent of Chevron’s U.S. refinery inputs in both 2024 and 2023.</w:t>
      </w:r>
    </w:p>
    <w:p>
      <w:pPr>
        <w:spacing w:after="0" w:line="4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 the United States, the company continued work on projects aimed at improving refinery flexibility and reliability. In 2024, the company completed the upgrade of the Pasadena Refinery, which is expected to increase light crude oil throughput capacity to 125,000 barrels per day with a phased start-up through first-quarter 2025. This project should allow the company to process more equity crude from the Permian Basin, supply more products to customers in the U.S. Gulf Coast and realize synergies with the company’s Pascagoula Refinery.</w:t>
      </w:r>
    </w:p>
    <w:p>
      <w:pPr>
        <w:spacing w:after="0" w:line="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Outside the United States, the company has interests in three large refineries in Singapore, South Korea and Thailand. Singapore Refining Company (SRC), a 50 percent-owned joint venture, has a total capacity of 290,000 barrels of crude per day and manufactures a wide range of petroleum products. The 50 percent-owned GS Caltex (GSC) Yeosu Refinery in South Korea remains one of the world’s largest refineries with a total crude capacity of 800,000 barrels per day. The company’s 60.6 percent-owned refinery in Thailand, Star Petroleum Refining Public Company Limited (SPRC), continues to supply high-quality petroleum products into regional markets.</w:t>
      </w:r>
    </w:p>
    <w:p>
      <w:pPr>
        <w:spacing w:after="0" w:line="1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Petroleum Refineries: Locations, Capacities and Crude Unit Inputs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Capacities and inputs in thousands of barrels per day</w:t>
            </w:r>
          </w:p>
        </w:tc>
        <w:tc>
          <w:tcPr>
            <w:tcW w:w="2000" w:type="dxa"/>
            <w:vAlign w:val="bottom"/>
          </w:tcPr>
          <w:p>
            <w:pPr>
              <w:spacing w:after="0"/>
              <w:rPr>
                <w:sz w:val="16"/>
                <w:szCs w:val="16"/>
                <w:color w:val="auto"/>
              </w:rPr>
            </w:pPr>
          </w:p>
        </w:tc>
        <w:tc>
          <w:tcPr>
            <w:tcW w:w="186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0" w:type="dxa"/>
            <w:vAlign w:val="bottom"/>
          </w:tcPr>
          <w:p>
            <w:pPr>
              <w:spacing w:after="0"/>
              <w:rPr>
                <w:sz w:val="16"/>
                <w:szCs w:val="16"/>
                <w:color w:val="auto"/>
              </w:rPr>
            </w:pPr>
          </w:p>
        </w:tc>
        <w:tc>
          <w:tcPr>
            <w:tcW w:w="20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Refinery Crude Unit Inputs*</w:t>
            </w:r>
          </w:p>
        </w:tc>
      </w:tr>
      <w:tr>
        <w:trPr>
          <w:trHeight w:val="23"/>
        </w:trPr>
        <w:tc>
          <w:tcPr>
            <w:tcW w:w="2680" w:type="dxa"/>
            <w:vAlign w:val="bottom"/>
            <w:tcBorders>
              <w:bottom w:val="single" w:sz="8" w:color="0077C0"/>
            </w:tcBorders>
          </w:tcPr>
          <w:p>
            <w:pPr>
              <w:spacing w:after="0"/>
              <w:rPr>
                <w:sz w:val="2"/>
                <w:szCs w:val="2"/>
                <w:color w:val="auto"/>
              </w:rPr>
            </w:pPr>
          </w:p>
        </w:tc>
        <w:tc>
          <w:tcPr>
            <w:tcW w:w="1860" w:type="dxa"/>
            <w:vAlign w:val="bottom"/>
            <w:tcBorders>
              <w:bottom w:val="single" w:sz="8" w:color="0077C0"/>
            </w:tcBorders>
          </w:tcPr>
          <w:p>
            <w:pPr>
              <w:spacing w:after="0"/>
              <w:rPr>
                <w:sz w:val="2"/>
                <w:szCs w:val="2"/>
                <w:color w:val="auto"/>
              </w:rPr>
            </w:pPr>
          </w:p>
        </w:tc>
        <w:tc>
          <w:tcPr>
            <w:tcW w:w="2000" w:type="dxa"/>
            <w:vAlign w:val="bottom"/>
            <w:tcBorders>
              <w:bottom w:val="single" w:sz="8" w:color="0077C0"/>
            </w:tcBorders>
          </w:tcPr>
          <w:p>
            <w:pPr>
              <w:spacing w:after="0"/>
              <w:rPr>
                <w:sz w:val="2"/>
                <w:szCs w:val="2"/>
                <w:color w:val="auto"/>
              </w:rPr>
            </w:pPr>
          </w:p>
        </w:tc>
        <w:tc>
          <w:tcPr>
            <w:tcW w:w="1860" w:type="dxa"/>
            <w:vAlign w:val="bottom"/>
            <w:tcBorders>
              <w:bottom w:val="single" w:sz="8" w:color="0077C0"/>
            </w:tcBorders>
          </w:tcPr>
          <w:p>
            <w:pPr>
              <w:spacing w:after="0"/>
              <w:rPr>
                <w:sz w:val="2"/>
                <w:szCs w:val="2"/>
                <w:color w:val="auto"/>
              </w:rPr>
            </w:pPr>
          </w:p>
        </w:tc>
        <w:tc>
          <w:tcPr>
            <w:tcW w:w="800" w:type="dxa"/>
            <w:vAlign w:val="bottom"/>
            <w:tcBorders>
              <w:bottom w:val="single" w:sz="8" w:color="0077C0"/>
            </w:tcBorders>
          </w:tcPr>
          <w:p>
            <w:pPr>
              <w:spacing w:after="0"/>
              <w:rPr>
                <w:sz w:val="2"/>
                <w:szCs w:val="2"/>
                <w:color w:val="auto"/>
              </w:rPr>
            </w:pPr>
          </w:p>
        </w:tc>
        <w:tc>
          <w:tcPr>
            <w:tcW w:w="1220" w:type="dxa"/>
            <w:vAlign w:val="bottom"/>
            <w:tcBorders>
              <w:bottom w:val="single" w:sz="8" w:color="0077C0"/>
            </w:tcBorders>
          </w:tcPr>
          <w:p>
            <w:pPr>
              <w:spacing w:after="0"/>
              <w:rPr>
                <w:sz w:val="2"/>
                <w:szCs w:val="2"/>
                <w:color w:val="auto"/>
              </w:rPr>
            </w:pPr>
          </w:p>
        </w:tc>
        <w:tc>
          <w:tcPr>
            <w:tcW w:w="720" w:type="dxa"/>
            <w:vAlign w:val="bottom"/>
            <w:tcBorders>
              <w:bottom w:val="single" w:sz="8" w:color="0077C0"/>
            </w:tcBorders>
          </w:tcPr>
          <w:p>
            <w:pPr>
              <w:spacing w:after="0"/>
              <w:rPr>
                <w:sz w:val="2"/>
                <w:szCs w:val="2"/>
                <w:color w:val="auto"/>
              </w:rPr>
            </w:pPr>
          </w:p>
        </w:tc>
        <w:tc>
          <w:tcPr>
            <w:tcW w:w="100" w:type="dxa"/>
            <w:vAlign w:val="bottom"/>
            <w:tcBorders>
              <w:bottom w:val="single" w:sz="8" w:color="0077C0"/>
            </w:tcBorders>
          </w:tcPr>
          <w:p>
            <w:pPr>
              <w:spacing w:after="0"/>
              <w:rPr>
                <w:sz w:val="2"/>
                <w:szCs w:val="2"/>
                <w:color w:val="auto"/>
              </w:rPr>
            </w:pPr>
          </w:p>
        </w:tc>
      </w:tr>
      <w:tr>
        <w:trPr>
          <w:trHeight w:val="190"/>
        </w:trPr>
        <w:tc>
          <w:tcPr>
            <w:tcW w:w="268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Locations</w:t>
            </w:r>
          </w:p>
        </w:tc>
        <w:tc>
          <w:tcPr>
            <w:tcW w:w="1860" w:type="dxa"/>
            <w:vAlign w:val="bottom"/>
            <w:tcBorders>
              <w:bottom w:val="single" w:sz="8" w:color="0077C0"/>
            </w:tcBorders>
          </w:tcPr>
          <w:p>
            <w:pPr>
              <w:spacing w:after="0"/>
              <w:rPr>
                <w:sz w:val="16"/>
                <w:szCs w:val="16"/>
                <w:color w:val="auto"/>
              </w:rPr>
            </w:pPr>
          </w:p>
        </w:tc>
        <w:tc>
          <w:tcPr>
            <w:tcW w:w="2000" w:type="dxa"/>
            <w:vAlign w:val="bottom"/>
            <w:tcBorders>
              <w:bottom w:val="single" w:sz="8" w:color="0077C0"/>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60" w:type="dxa"/>
            <w:vAlign w:val="bottom"/>
            <w:tcBorders>
              <w:bottom w:val="single" w:sz="8" w:color="0077C0"/>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Operable Capacity</w:t>
            </w:r>
          </w:p>
        </w:tc>
        <w:tc>
          <w:tcPr>
            <w:tcW w:w="800" w:type="dxa"/>
            <w:vAlign w:val="bottom"/>
            <w:tcBorders>
              <w:bottom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20" w:type="dxa"/>
            <w:vAlign w:val="bottom"/>
            <w:tcBorders>
              <w:bottom w:val="single" w:sz="8" w:color="0077C0"/>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0077C0"/>
            </w:tcBorders>
          </w:tcPr>
          <w:p>
            <w:pPr>
              <w:spacing w:after="0"/>
              <w:rPr>
                <w:sz w:val="16"/>
                <w:szCs w:val="16"/>
                <w:color w:val="auto"/>
              </w:rPr>
            </w:pPr>
          </w:p>
        </w:tc>
      </w:tr>
      <w:tr>
        <w:trPr>
          <w:trHeight w:val="190"/>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Pascagoula</w:t>
            </w:r>
          </w:p>
        </w:tc>
        <w:tc>
          <w:tcPr>
            <w:tcW w:w="18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Mississippi</w:t>
            </w:r>
          </w:p>
        </w:tc>
        <w:tc>
          <w:tcPr>
            <w:tcW w:w="200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1</w:t>
            </w:r>
          </w:p>
        </w:tc>
        <w:tc>
          <w:tcPr>
            <w:tcW w:w="18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369</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337</w:t>
            </w:r>
          </w:p>
        </w:tc>
        <w:tc>
          <w:tcPr>
            <w:tcW w:w="122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355</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359</w:t>
            </w:r>
          </w:p>
        </w:tc>
        <w:tc>
          <w:tcPr>
            <w:tcW w:w="100" w:type="dxa"/>
            <w:vAlign w:val="bottom"/>
          </w:tcPr>
          <w:p>
            <w:pPr>
              <w:spacing w:after="0"/>
              <w:rPr>
                <w:sz w:val="16"/>
                <w:szCs w:val="16"/>
                <w:color w:val="auto"/>
              </w:rPr>
            </w:pPr>
          </w:p>
        </w:tc>
      </w:tr>
      <w:tr>
        <w:trPr>
          <w:trHeight w:val="191"/>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El Segundo</w:t>
            </w:r>
          </w:p>
        </w:tc>
        <w:tc>
          <w:tcPr>
            <w:tcW w:w="18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California</w:t>
            </w:r>
          </w:p>
        </w:tc>
        <w:tc>
          <w:tcPr>
            <w:tcW w:w="200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1</w:t>
            </w:r>
          </w:p>
        </w:tc>
        <w:tc>
          <w:tcPr>
            <w:tcW w:w="18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290</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224</w:t>
            </w:r>
          </w:p>
        </w:tc>
        <w:tc>
          <w:tcPr>
            <w:tcW w:w="122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232</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tcPr>
          <w:p>
            <w:pPr>
              <w:spacing w:after="0"/>
              <w:rPr>
                <w:sz w:val="16"/>
                <w:szCs w:val="16"/>
                <w:color w:val="auto"/>
              </w:rPr>
            </w:pPr>
          </w:p>
        </w:tc>
      </w:tr>
      <w:tr>
        <w:trPr>
          <w:trHeight w:val="203"/>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Richmond</w:t>
            </w:r>
          </w:p>
        </w:tc>
        <w:tc>
          <w:tcPr>
            <w:tcW w:w="18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California</w:t>
            </w:r>
          </w:p>
        </w:tc>
        <w:tc>
          <w:tcPr>
            <w:tcW w:w="200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1</w:t>
            </w:r>
          </w:p>
        </w:tc>
        <w:tc>
          <w:tcPr>
            <w:tcW w:w="18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257</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242</w:t>
            </w:r>
          </w:p>
        </w:tc>
        <w:tc>
          <w:tcPr>
            <w:tcW w:w="122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236</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17"/>
                <w:szCs w:val="17"/>
                <w:color w:val="auto"/>
              </w:rPr>
            </w:pPr>
          </w:p>
        </w:tc>
      </w:tr>
      <w:tr>
        <w:trPr>
          <w:trHeight w:val="203"/>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Pasadena</w:t>
            </w:r>
          </w:p>
        </w:tc>
        <w:tc>
          <w:tcPr>
            <w:tcW w:w="18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Texas</w:t>
            </w:r>
          </w:p>
        </w:tc>
        <w:tc>
          <w:tcPr>
            <w:tcW w:w="200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1</w:t>
            </w:r>
          </w:p>
        </w:tc>
        <w:tc>
          <w:tcPr>
            <w:tcW w:w="18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85</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65</w:t>
            </w:r>
          </w:p>
        </w:tc>
        <w:tc>
          <w:tcPr>
            <w:tcW w:w="122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84</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7"/>
                <w:szCs w:val="17"/>
                <w:color w:val="auto"/>
              </w:rPr>
            </w:pPr>
          </w:p>
        </w:tc>
      </w:tr>
      <w:tr>
        <w:trPr>
          <w:trHeight w:val="203"/>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Salt Lake City</w:t>
            </w:r>
          </w:p>
        </w:tc>
        <w:tc>
          <w:tcPr>
            <w:tcW w:w="18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Utah</w:t>
            </w:r>
          </w:p>
        </w:tc>
        <w:tc>
          <w:tcPr>
            <w:tcW w:w="200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1</w:t>
            </w:r>
          </w:p>
        </w:tc>
        <w:tc>
          <w:tcPr>
            <w:tcW w:w="18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58</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49</w:t>
            </w:r>
          </w:p>
        </w:tc>
        <w:tc>
          <w:tcPr>
            <w:tcW w:w="122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55</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7"/>
                <w:szCs w:val="17"/>
                <w:color w:val="auto"/>
              </w:rPr>
            </w:pPr>
          </w:p>
        </w:tc>
      </w:tr>
      <w:tr>
        <w:trPr>
          <w:trHeight w:val="23"/>
        </w:trPr>
        <w:tc>
          <w:tcPr>
            <w:tcW w:w="4540" w:type="dxa"/>
            <w:vAlign w:val="bottom"/>
            <w:tcBorders>
              <w:bottom w:val="single" w:sz="8" w:color="0077C0"/>
            </w:tcBorders>
            <w:gridSpan w:val="2"/>
          </w:tcPr>
          <w:p>
            <w:pPr>
              <w:spacing w:after="0"/>
              <w:rPr>
                <w:sz w:val="2"/>
                <w:szCs w:val="2"/>
                <w:color w:val="auto"/>
              </w:rPr>
            </w:pPr>
          </w:p>
        </w:tc>
        <w:tc>
          <w:tcPr>
            <w:tcW w:w="2000" w:type="dxa"/>
            <w:vAlign w:val="bottom"/>
            <w:tcBorders>
              <w:bottom w:val="single" w:sz="8" w:color="0077C0"/>
            </w:tcBorders>
          </w:tcPr>
          <w:p>
            <w:pPr>
              <w:spacing w:after="0"/>
              <w:rPr>
                <w:sz w:val="2"/>
                <w:szCs w:val="2"/>
                <w:color w:val="auto"/>
              </w:rPr>
            </w:pPr>
          </w:p>
        </w:tc>
        <w:tc>
          <w:tcPr>
            <w:tcW w:w="1860" w:type="dxa"/>
            <w:vAlign w:val="bottom"/>
            <w:tcBorders>
              <w:bottom w:val="single" w:sz="8" w:color="0077C0"/>
            </w:tcBorders>
          </w:tcPr>
          <w:p>
            <w:pPr>
              <w:spacing w:after="0"/>
              <w:rPr>
                <w:sz w:val="2"/>
                <w:szCs w:val="2"/>
                <w:color w:val="auto"/>
              </w:rPr>
            </w:pPr>
          </w:p>
        </w:tc>
        <w:tc>
          <w:tcPr>
            <w:tcW w:w="800" w:type="dxa"/>
            <w:vAlign w:val="bottom"/>
            <w:tcBorders>
              <w:bottom w:val="single" w:sz="8" w:color="0077C0"/>
            </w:tcBorders>
          </w:tcPr>
          <w:p>
            <w:pPr>
              <w:spacing w:after="0"/>
              <w:rPr>
                <w:sz w:val="2"/>
                <w:szCs w:val="2"/>
                <w:color w:val="auto"/>
              </w:rPr>
            </w:pPr>
          </w:p>
        </w:tc>
        <w:tc>
          <w:tcPr>
            <w:tcW w:w="1220" w:type="dxa"/>
            <w:vAlign w:val="bottom"/>
            <w:tcBorders>
              <w:bottom w:val="single" w:sz="8" w:color="0077C0"/>
            </w:tcBorders>
          </w:tcPr>
          <w:p>
            <w:pPr>
              <w:spacing w:after="0"/>
              <w:rPr>
                <w:sz w:val="2"/>
                <w:szCs w:val="2"/>
                <w:color w:val="auto"/>
              </w:rPr>
            </w:pPr>
          </w:p>
        </w:tc>
        <w:tc>
          <w:tcPr>
            <w:tcW w:w="720" w:type="dxa"/>
            <w:vAlign w:val="bottom"/>
            <w:tcBorders>
              <w:bottom w:val="single" w:sz="8" w:color="0077C0"/>
            </w:tcBorders>
          </w:tcPr>
          <w:p>
            <w:pPr>
              <w:spacing w:after="0"/>
              <w:rPr>
                <w:sz w:val="2"/>
                <w:szCs w:val="2"/>
                <w:color w:val="auto"/>
              </w:rPr>
            </w:pPr>
          </w:p>
        </w:tc>
        <w:tc>
          <w:tcPr>
            <w:tcW w:w="100" w:type="dxa"/>
            <w:vAlign w:val="bottom"/>
            <w:tcBorders>
              <w:bottom w:val="single" w:sz="8" w:color="0077C0"/>
            </w:tcBorders>
          </w:tcPr>
          <w:p>
            <w:pPr>
              <w:spacing w:after="0"/>
              <w:rPr>
                <w:sz w:val="2"/>
                <w:szCs w:val="2"/>
                <w:color w:val="auto"/>
              </w:rPr>
            </w:pPr>
          </w:p>
        </w:tc>
      </w:tr>
      <w:tr>
        <w:trPr>
          <w:trHeight w:val="190"/>
        </w:trPr>
        <w:tc>
          <w:tcPr>
            <w:tcW w:w="4540" w:type="dxa"/>
            <w:vAlign w:val="bottom"/>
            <w:tcBorders>
              <w:bottom w:val="single" w:sz="8" w:color="0077C0"/>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Consolidated Companies — United States</w:t>
            </w:r>
          </w:p>
        </w:tc>
        <w:tc>
          <w:tcPr>
            <w:tcW w:w="2000" w:type="dxa"/>
            <w:vAlign w:val="bottom"/>
            <w:tcBorders>
              <w:bottom w:val="single" w:sz="8" w:color="0077C0"/>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5</w:t>
            </w:r>
          </w:p>
        </w:tc>
        <w:tc>
          <w:tcPr>
            <w:tcW w:w="1860" w:type="dxa"/>
            <w:vAlign w:val="bottom"/>
            <w:tcBorders>
              <w:bottom w:val="single" w:sz="8" w:color="0077C0"/>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1,059</w:t>
            </w:r>
          </w:p>
        </w:tc>
        <w:tc>
          <w:tcPr>
            <w:tcW w:w="800" w:type="dxa"/>
            <w:vAlign w:val="bottom"/>
            <w:tcBorders>
              <w:bottom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917</w:t>
            </w:r>
          </w:p>
        </w:tc>
        <w:tc>
          <w:tcPr>
            <w:tcW w:w="1220" w:type="dxa"/>
            <w:vAlign w:val="bottom"/>
            <w:tcBorders>
              <w:bottom w:val="single" w:sz="8" w:color="0077C0"/>
            </w:tcBorders>
          </w:tcPr>
          <w:p>
            <w:pPr>
              <w:jc w:val="right"/>
              <w:ind w:right="248"/>
              <w:spacing w:after="0"/>
              <w:rPr>
                <w:sz w:val="20"/>
                <w:szCs w:val="20"/>
                <w:color w:val="auto"/>
              </w:rPr>
            </w:pPr>
            <w:r>
              <w:rPr>
                <w:rFonts w:ascii="Times New Roman" w:cs="Times New Roman" w:eastAsia="Times New Roman" w:hAnsi="Times New Roman"/>
                <w:sz w:val="14"/>
                <w:szCs w:val="14"/>
                <w:color w:val="auto"/>
              </w:rPr>
              <w:t>962</w:t>
            </w: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924</w:t>
            </w:r>
          </w:p>
        </w:tc>
        <w:tc>
          <w:tcPr>
            <w:tcW w:w="100" w:type="dxa"/>
            <w:vAlign w:val="bottom"/>
            <w:tcBorders>
              <w:bottom w:val="single" w:sz="8" w:color="0077C0"/>
            </w:tcBorders>
          </w:tcPr>
          <w:p>
            <w:pPr>
              <w:spacing w:after="0"/>
              <w:rPr>
                <w:sz w:val="16"/>
                <w:szCs w:val="16"/>
                <w:color w:val="auto"/>
              </w:rPr>
            </w:pPr>
          </w:p>
        </w:tc>
      </w:tr>
      <w:tr>
        <w:trPr>
          <w:trHeight w:val="196"/>
        </w:trPr>
        <w:tc>
          <w:tcPr>
            <w:tcW w:w="268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color w:val="auto"/>
              </w:rPr>
              <w:t>Map Ta Phut</w:t>
            </w:r>
          </w:p>
        </w:tc>
        <w:tc>
          <w:tcPr>
            <w:tcW w:w="1860" w:type="dxa"/>
            <w:vAlign w:val="bottom"/>
            <w:tcBorders>
              <w:bottom w:val="single" w:sz="8" w:color="0077C0"/>
            </w:tcBorders>
          </w:tcPr>
          <w:p>
            <w:pPr>
              <w:ind w:left="80"/>
              <w:spacing w:after="0"/>
              <w:rPr>
                <w:sz w:val="20"/>
                <w:szCs w:val="20"/>
                <w:color w:val="auto"/>
              </w:rPr>
            </w:pPr>
            <w:r>
              <w:rPr>
                <w:rFonts w:ascii="Times New Roman" w:cs="Times New Roman" w:eastAsia="Times New Roman" w:hAnsi="Times New Roman"/>
                <w:sz w:val="14"/>
                <w:szCs w:val="14"/>
                <w:color w:val="auto"/>
              </w:rPr>
              <w:t>Thailand</w:t>
            </w:r>
          </w:p>
        </w:tc>
        <w:tc>
          <w:tcPr>
            <w:tcW w:w="2000" w:type="dxa"/>
            <w:vAlign w:val="bottom"/>
            <w:tcBorders>
              <w:bottom w:val="single" w:sz="8" w:color="0077C0"/>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1</w:t>
            </w:r>
          </w:p>
        </w:tc>
        <w:tc>
          <w:tcPr>
            <w:tcW w:w="1860" w:type="dxa"/>
            <w:vAlign w:val="bottom"/>
            <w:tcBorders>
              <w:bottom w:val="single" w:sz="8" w:color="0077C0"/>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175</w:t>
            </w:r>
          </w:p>
        </w:tc>
        <w:tc>
          <w:tcPr>
            <w:tcW w:w="800" w:type="dxa"/>
            <w:vAlign w:val="bottom"/>
            <w:tcBorders>
              <w:bottom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160</w:t>
            </w:r>
          </w:p>
        </w:tc>
        <w:tc>
          <w:tcPr>
            <w:tcW w:w="1220" w:type="dxa"/>
            <w:vAlign w:val="bottom"/>
            <w:tcBorders>
              <w:bottom w:val="single" w:sz="8" w:color="0077C0"/>
            </w:tcBorders>
          </w:tcPr>
          <w:p>
            <w:pPr>
              <w:jc w:val="right"/>
              <w:ind w:right="288"/>
              <w:spacing w:after="0"/>
              <w:rPr>
                <w:sz w:val="20"/>
                <w:szCs w:val="20"/>
                <w:color w:val="auto"/>
              </w:rPr>
            </w:pPr>
            <w:r>
              <w:rPr>
                <w:rFonts w:ascii="Times New Roman" w:cs="Times New Roman" w:eastAsia="Times New Roman" w:hAnsi="Times New Roman"/>
                <w:sz w:val="14"/>
                <w:szCs w:val="14"/>
                <w:color w:val="auto"/>
              </w:rPr>
              <w:t>153</w:t>
            </w:r>
          </w:p>
        </w:tc>
        <w:tc>
          <w:tcPr>
            <w:tcW w:w="72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Borders>
              <w:bottom w:val="single" w:sz="8" w:color="0077C0"/>
            </w:tcBorders>
          </w:tcPr>
          <w:p>
            <w:pPr>
              <w:spacing w:after="0"/>
              <w:rPr>
                <w:sz w:val="17"/>
                <w:szCs w:val="17"/>
                <w:color w:val="auto"/>
              </w:rPr>
            </w:pPr>
          </w:p>
        </w:tc>
      </w:tr>
      <w:tr>
        <w:trPr>
          <w:trHeight w:val="196"/>
        </w:trPr>
        <w:tc>
          <w:tcPr>
            <w:tcW w:w="4540" w:type="dxa"/>
            <w:vAlign w:val="bottom"/>
            <w:tcBorders>
              <w:bottom w:val="single" w:sz="8" w:color="0077C0"/>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Consolidated Companies — International</w:t>
            </w:r>
          </w:p>
        </w:tc>
        <w:tc>
          <w:tcPr>
            <w:tcW w:w="2000" w:type="dxa"/>
            <w:vAlign w:val="bottom"/>
            <w:tcBorders>
              <w:bottom w:val="single" w:sz="8" w:color="0077C0"/>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1</w:t>
            </w:r>
          </w:p>
        </w:tc>
        <w:tc>
          <w:tcPr>
            <w:tcW w:w="1860" w:type="dxa"/>
            <w:vAlign w:val="bottom"/>
            <w:tcBorders>
              <w:bottom w:val="single" w:sz="8" w:color="0077C0"/>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175</w:t>
            </w:r>
          </w:p>
        </w:tc>
        <w:tc>
          <w:tcPr>
            <w:tcW w:w="800" w:type="dxa"/>
            <w:vAlign w:val="bottom"/>
            <w:tcBorders>
              <w:bottom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160</w:t>
            </w:r>
          </w:p>
        </w:tc>
        <w:tc>
          <w:tcPr>
            <w:tcW w:w="1220" w:type="dxa"/>
            <w:vAlign w:val="bottom"/>
            <w:tcBorders>
              <w:bottom w:val="single" w:sz="8" w:color="0077C0"/>
            </w:tcBorders>
          </w:tcPr>
          <w:p>
            <w:pPr>
              <w:jc w:val="right"/>
              <w:ind w:right="288"/>
              <w:spacing w:after="0"/>
              <w:rPr>
                <w:sz w:val="20"/>
                <w:szCs w:val="20"/>
                <w:color w:val="auto"/>
              </w:rPr>
            </w:pPr>
            <w:r>
              <w:rPr>
                <w:rFonts w:ascii="Times New Roman" w:cs="Times New Roman" w:eastAsia="Times New Roman" w:hAnsi="Times New Roman"/>
                <w:sz w:val="14"/>
                <w:szCs w:val="14"/>
                <w:color w:val="auto"/>
              </w:rPr>
              <w:t>153</w:t>
            </w: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17"/>
                <w:szCs w:val="17"/>
                <w:color w:val="auto"/>
              </w:rPr>
            </w:pPr>
          </w:p>
        </w:tc>
      </w:tr>
      <w:tr>
        <w:trPr>
          <w:trHeight w:val="190"/>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Yeosu</w:t>
            </w:r>
          </w:p>
        </w:tc>
        <w:tc>
          <w:tcPr>
            <w:tcW w:w="18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South Korea</w:t>
            </w:r>
          </w:p>
        </w:tc>
        <w:tc>
          <w:tcPr>
            <w:tcW w:w="200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1</w:t>
            </w:r>
          </w:p>
        </w:tc>
        <w:tc>
          <w:tcPr>
            <w:tcW w:w="18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400</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369</w:t>
            </w:r>
          </w:p>
        </w:tc>
        <w:tc>
          <w:tcPr>
            <w:tcW w:w="122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367</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375</w:t>
            </w:r>
          </w:p>
        </w:tc>
        <w:tc>
          <w:tcPr>
            <w:tcW w:w="100" w:type="dxa"/>
            <w:vAlign w:val="bottom"/>
          </w:tcPr>
          <w:p>
            <w:pPr>
              <w:spacing w:after="0"/>
              <w:rPr>
                <w:sz w:val="16"/>
                <w:szCs w:val="16"/>
                <w:color w:val="auto"/>
              </w:rPr>
            </w:pPr>
          </w:p>
        </w:tc>
      </w:tr>
      <w:tr>
        <w:trPr>
          <w:trHeight w:val="191"/>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Pulau Merlimau</w:t>
            </w:r>
          </w:p>
        </w:tc>
        <w:tc>
          <w:tcPr>
            <w:tcW w:w="18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Singapore</w:t>
            </w:r>
          </w:p>
        </w:tc>
        <w:tc>
          <w:tcPr>
            <w:tcW w:w="200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1</w:t>
            </w:r>
          </w:p>
        </w:tc>
        <w:tc>
          <w:tcPr>
            <w:tcW w:w="18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145</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117</w:t>
            </w:r>
          </w:p>
        </w:tc>
        <w:tc>
          <w:tcPr>
            <w:tcW w:w="122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116</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Pr>
          <w:p>
            <w:pPr>
              <w:spacing w:after="0"/>
              <w:rPr>
                <w:sz w:val="16"/>
                <w:szCs w:val="16"/>
                <w:color w:val="auto"/>
              </w:rPr>
            </w:pPr>
          </w:p>
        </w:tc>
      </w:tr>
      <w:tr>
        <w:trPr>
          <w:trHeight w:val="23"/>
        </w:trPr>
        <w:tc>
          <w:tcPr>
            <w:tcW w:w="2680" w:type="dxa"/>
            <w:vAlign w:val="bottom"/>
            <w:tcBorders>
              <w:bottom w:val="single" w:sz="8" w:color="0077C0"/>
            </w:tcBorders>
          </w:tcPr>
          <w:p>
            <w:pPr>
              <w:spacing w:after="0"/>
              <w:rPr>
                <w:sz w:val="2"/>
                <w:szCs w:val="2"/>
                <w:color w:val="auto"/>
              </w:rPr>
            </w:pPr>
          </w:p>
        </w:tc>
        <w:tc>
          <w:tcPr>
            <w:tcW w:w="1860" w:type="dxa"/>
            <w:vAlign w:val="bottom"/>
            <w:tcBorders>
              <w:bottom w:val="single" w:sz="8" w:color="0077C0"/>
            </w:tcBorders>
          </w:tcPr>
          <w:p>
            <w:pPr>
              <w:spacing w:after="0"/>
              <w:rPr>
                <w:sz w:val="2"/>
                <w:szCs w:val="2"/>
                <w:color w:val="auto"/>
              </w:rPr>
            </w:pPr>
          </w:p>
        </w:tc>
        <w:tc>
          <w:tcPr>
            <w:tcW w:w="2000" w:type="dxa"/>
            <w:vAlign w:val="bottom"/>
            <w:tcBorders>
              <w:bottom w:val="single" w:sz="8" w:color="0077C0"/>
            </w:tcBorders>
          </w:tcPr>
          <w:p>
            <w:pPr>
              <w:spacing w:after="0"/>
              <w:rPr>
                <w:sz w:val="2"/>
                <w:szCs w:val="2"/>
                <w:color w:val="auto"/>
              </w:rPr>
            </w:pPr>
          </w:p>
        </w:tc>
        <w:tc>
          <w:tcPr>
            <w:tcW w:w="1860" w:type="dxa"/>
            <w:vAlign w:val="bottom"/>
            <w:tcBorders>
              <w:bottom w:val="single" w:sz="8" w:color="0077C0"/>
            </w:tcBorders>
          </w:tcPr>
          <w:p>
            <w:pPr>
              <w:spacing w:after="0"/>
              <w:rPr>
                <w:sz w:val="2"/>
                <w:szCs w:val="2"/>
                <w:color w:val="auto"/>
              </w:rPr>
            </w:pPr>
          </w:p>
        </w:tc>
        <w:tc>
          <w:tcPr>
            <w:tcW w:w="800" w:type="dxa"/>
            <w:vAlign w:val="bottom"/>
            <w:tcBorders>
              <w:bottom w:val="single" w:sz="8" w:color="0077C0"/>
            </w:tcBorders>
          </w:tcPr>
          <w:p>
            <w:pPr>
              <w:spacing w:after="0"/>
              <w:rPr>
                <w:sz w:val="2"/>
                <w:szCs w:val="2"/>
                <w:color w:val="auto"/>
              </w:rPr>
            </w:pPr>
          </w:p>
        </w:tc>
        <w:tc>
          <w:tcPr>
            <w:tcW w:w="1220" w:type="dxa"/>
            <w:vAlign w:val="bottom"/>
            <w:tcBorders>
              <w:bottom w:val="single" w:sz="8" w:color="0077C0"/>
            </w:tcBorders>
          </w:tcPr>
          <w:p>
            <w:pPr>
              <w:spacing w:after="0"/>
              <w:rPr>
                <w:sz w:val="2"/>
                <w:szCs w:val="2"/>
                <w:color w:val="auto"/>
              </w:rPr>
            </w:pPr>
          </w:p>
        </w:tc>
        <w:tc>
          <w:tcPr>
            <w:tcW w:w="720" w:type="dxa"/>
            <w:vAlign w:val="bottom"/>
            <w:tcBorders>
              <w:bottom w:val="single" w:sz="8" w:color="0077C0"/>
            </w:tcBorders>
          </w:tcPr>
          <w:p>
            <w:pPr>
              <w:spacing w:after="0"/>
              <w:rPr>
                <w:sz w:val="2"/>
                <w:szCs w:val="2"/>
                <w:color w:val="auto"/>
              </w:rPr>
            </w:pPr>
          </w:p>
        </w:tc>
        <w:tc>
          <w:tcPr>
            <w:tcW w:w="100" w:type="dxa"/>
            <w:vAlign w:val="bottom"/>
            <w:tcBorders>
              <w:bottom w:val="single" w:sz="8" w:color="0077C0"/>
            </w:tcBorders>
          </w:tcPr>
          <w:p>
            <w:pPr>
              <w:spacing w:after="0"/>
              <w:rPr>
                <w:sz w:val="2"/>
                <w:szCs w:val="2"/>
                <w:color w:val="auto"/>
              </w:rPr>
            </w:pPr>
          </w:p>
        </w:tc>
      </w:tr>
      <w:tr>
        <w:trPr>
          <w:trHeight w:val="190"/>
        </w:trPr>
        <w:tc>
          <w:tcPr>
            <w:tcW w:w="268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Affiliates</w:t>
            </w:r>
          </w:p>
        </w:tc>
        <w:tc>
          <w:tcPr>
            <w:tcW w:w="1860" w:type="dxa"/>
            <w:vAlign w:val="bottom"/>
            <w:tcBorders>
              <w:bottom w:val="single" w:sz="8" w:color="0077C0"/>
            </w:tcBorders>
          </w:tcPr>
          <w:p>
            <w:pPr>
              <w:spacing w:after="0"/>
              <w:rPr>
                <w:sz w:val="16"/>
                <w:szCs w:val="16"/>
                <w:color w:val="auto"/>
              </w:rPr>
            </w:pPr>
          </w:p>
        </w:tc>
        <w:tc>
          <w:tcPr>
            <w:tcW w:w="2000" w:type="dxa"/>
            <w:vAlign w:val="bottom"/>
            <w:tcBorders>
              <w:bottom w:val="single" w:sz="8" w:color="0077C0"/>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1</w:t>
            </w:r>
          </w:p>
        </w:tc>
        <w:tc>
          <w:tcPr>
            <w:tcW w:w="1860" w:type="dxa"/>
            <w:vAlign w:val="bottom"/>
            <w:tcBorders>
              <w:bottom w:val="single" w:sz="8" w:color="0077C0"/>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545</w:t>
            </w:r>
          </w:p>
        </w:tc>
        <w:tc>
          <w:tcPr>
            <w:tcW w:w="800" w:type="dxa"/>
            <w:vAlign w:val="bottom"/>
            <w:tcBorders>
              <w:bottom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486</w:t>
            </w:r>
          </w:p>
        </w:tc>
        <w:tc>
          <w:tcPr>
            <w:tcW w:w="1220" w:type="dxa"/>
            <w:vAlign w:val="bottom"/>
            <w:tcBorders>
              <w:bottom w:val="single" w:sz="8" w:color="0077C0"/>
            </w:tcBorders>
          </w:tcPr>
          <w:p>
            <w:pPr>
              <w:jc w:val="right"/>
              <w:ind w:right="288"/>
              <w:spacing w:after="0"/>
              <w:rPr>
                <w:sz w:val="20"/>
                <w:szCs w:val="20"/>
                <w:color w:val="auto"/>
              </w:rPr>
            </w:pPr>
            <w:r>
              <w:rPr>
                <w:rFonts w:ascii="Times New Roman" w:cs="Times New Roman" w:eastAsia="Times New Roman" w:hAnsi="Times New Roman"/>
                <w:sz w:val="14"/>
                <w:szCs w:val="14"/>
                <w:color w:val="auto"/>
              </w:rPr>
              <w:t>483</w:t>
            </w:r>
          </w:p>
        </w:tc>
        <w:tc>
          <w:tcPr>
            <w:tcW w:w="72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tcBorders>
              <w:bottom w:val="single" w:sz="8" w:color="0077C0"/>
            </w:tcBorders>
          </w:tcPr>
          <w:p>
            <w:pPr>
              <w:spacing w:after="0"/>
              <w:rPr>
                <w:sz w:val="16"/>
                <w:szCs w:val="16"/>
                <w:color w:val="auto"/>
              </w:rPr>
            </w:pPr>
          </w:p>
        </w:tc>
      </w:tr>
      <w:tr>
        <w:trPr>
          <w:trHeight w:val="196"/>
        </w:trPr>
        <w:tc>
          <w:tcPr>
            <w:tcW w:w="268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Including Affiliates — International</w:t>
            </w:r>
          </w:p>
        </w:tc>
        <w:tc>
          <w:tcPr>
            <w:tcW w:w="1860" w:type="dxa"/>
            <w:vAlign w:val="bottom"/>
            <w:tcBorders>
              <w:bottom w:val="single" w:sz="8" w:color="0077C0"/>
            </w:tcBorders>
          </w:tcPr>
          <w:p>
            <w:pPr>
              <w:spacing w:after="0"/>
              <w:rPr>
                <w:sz w:val="17"/>
                <w:szCs w:val="17"/>
                <w:color w:val="auto"/>
              </w:rPr>
            </w:pPr>
          </w:p>
        </w:tc>
        <w:tc>
          <w:tcPr>
            <w:tcW w:w="2000" w:type="dxa"/>
            <w:vAlign w:val="bottom"/>
            <w:tcBorders>
              <w:bottom w:val="single" w:sz="8" w:color="0077C0"/>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3</w:t>
            </w:r>
          </w:p>
        </w:tc>
        <w:tc>
          <w:tcPr>
            <w:tcW w:w="1860" w:type="dxa"/>
            <w:vAlign w:val="bottom"/>
            <w:tcBorders>
              <w:bottom w:val="single" w:sz="8" w:color="0077C0"/>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720</w:t>
            </w:r>
          </w:p>
        </w:tc>
        <w:tc>
          <w:tcPr>
            <w:tcW w:w="800" w:type="dxa"/>
            <w:vAlign w:val="bottom"/>
            <w:tcBorders>
              <w:bottom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646</w:t>
            </w:r>
          </w:p>
        </w:tc>
        <w:tc>
          <w:tcPr>
            <w:tcW w:w="1220" w:type="dxa"/>
            <w:vAlign w:val="bottom"/>
            <w:tcBorders>
              <w:bottom w:val="single" w:sz="8" w:color="0077C0"/>
            </w:tcBorders>
          </w:tcPr>
          <w:p>
            <w:pPr>
              <w:jc w:val="right"/>
              <w:ind w:right="288"/>
              <w:spacing w:after="0"/>
              <w:rPr>
                <w:sz w:val="20"/>
                <w:szCs w:val="20"/>
                <w:color w:val="auto"/>
              </w:rPr>
            </w:pPr>
            <w:r>
              <w:rPr>
                <w:rFonts w:ascii="Times New Roman" w:cs="Times New Roman" w:eastAsia="Times New Roman" w:hAnsi="Times New Roman"/>
                <w:sz w:val="14"/>
                <w:szCs w:val="14"/>
                <w:color w:val="auto"/>
              </w:rPr>
              <w:t>636</w:t>
            </w:r>
          </w:p>
        </w:tc>
        <w:tc>
          <w:tcPr>
            <w:tcW w:w="72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652</w:t>
            </w:r>
          </w:p>
        </w:tc>
        <w:tc>
          <w:tcPr>
            <w:tcW w:w="100" w:type="dxa"/>
            <w:vAlign w:val="bottom"/>
            <w:tcBorders>
              <w:bottom w:val="single" w:sz="8" w:color="0077C0"/>
            </w:tcBorders>
          </w:tcPr>
          <w:p>
            <w:pPr>
              <w:spacing w:after="0"/>
              <w:rPr>
                <w:sz w:val="17"/>
                <w:szCs w:val="17"/>
                <w:color w:val="auto"/>
              </w:rPr>
            </w:pPr>
          </w:p>
        </w:tc>
      </w:tr>
      <w:tr>
        <w:trPr>
          <w:trHeight w:val="176"/>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Including Affiliates — Worldwide</w:t>
            </w:r>
          </w:p>
        </w:tc>
        <w:tc>
          <w:tcPr>
            <w:tcW w:w="1860" w:type="dxa"/>
            <w:vAlign w:val="bottom"/>
          </w:tcPr>
          <w:p>
            <w:pPr>
              <w:spacing w:after="0"/>
              <w:rPr>
                <w:sz w:val="15"/>
                <w:szCs w:val="15"/>
                <w:color w:val="auto"/>
              </w:rPr>
            </w:pPr>
          </w:p>
        </w:tc>
        <w:tc>
          <w:tcPr>
            <w:tcW w:w="200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8</w:t>
            </w:r>
          </w:p>
        </w:tc>
        <w:tc>
          <w:tcPr>
            <w:tcW w:w="18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1,779</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1,563</w:t>
            </w:r>
          </w:p>
        </w:tc>
        <w:tc>
          <w:tcPr>
            <w:tcW w:w="122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1,598</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1,576</w:t>
            </w:r>
          </w:p>
        </w:tc>
        <w:tc>
          <w:tcPr>
            <w:tcW w:w="1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-1722755</wp:posOffset>
            </wp:positionV>
            <wp:extent cx="7132320" cy="17487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4879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1"/>
          <w:szCs w:val="11"/>
          <w:color w:val="auto"/>
        </w:rPr>
        <w:t>* Includes crude oil and all other feedstocks to the crude distillation units.</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0077C0"/>
        </w:rPr>
        <w:t>Renewable Fuels</w:t>
      </w:r>
    </w:p>
    <w:p>
      <w:pPr>
        <w:spacing w:after="0" w:line="104"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The company develops and produces renewable fuels, including but not limited to renewable diesel, renewable gasoline, biodiesel, sustainable aviation fuel and renewable natural gas (RNG).</w:t>
      </w:r>
    </w:p>
    <w:p>
      <w:pPr>
        <w:spacing w:after="0" w:line="2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Chevron owns and operates 11 biofuel refineries located in the U.S. and Germany, eight biofuel refineries producing biodiesel and one producing renewable diesel, with two refineries idled in 2024. Expansion work at the Geismar renewable diesel plant in Louisiana to increase production capacity from 7,000 to 22,000 barrels per day is in final commissioning stage, with startup expected in first quarter 2025.</w:t>
      </w:r>
    </w:p>
    <w:p>
      <w:pPr>
        <w:spacing w:after="0" w:line="42"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Chevron holds a 50 percent working interest in Bunge Chevron Ag Renewables LLC, which produces soybean oil from processing facilities in Destrehan, Louisiana, and Cairo, Illinois. Soybean oil can be used as a renewable feedstock to make renewable diesel, biodiesel and sustainable aviation fuel. In 2024, FID was taken to build a new oilseed processing plant in Louisiana.</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8" w:name="page19"/>
    <w:bookmarkEnd w:id="18"/>
    <w:p>
      <w:pPr>
        <w:ind w:left="10100"/>
        <w:spacing w:after="0"/>
        <w:rPr>
          <w:sz w:val="20"/>
          <w:szCs w:val="20"/>
          <w:color w:val="auto"/>
        </w:rPr>
      </w:pPr>
      <w:r>
        <w:rPr>
          <w:rFonts w:ascii="Arial" w:cs="Arial" w:eastAsia="Arial" w:hAnsi="Arial"/>
          <w:sz w:val="14"/>
          <w:szCs w:val="14"/>
          <w:color w:val="0077C0"/>
        </w:rPr>
        <w:t>Table of Contents</w:t>
      </w:r>
    </w:p>
    <w:p>
      <w:pPr>
        <w:spacing w:after="0" w:line="200" w:lineRule="exact"/>
        <w:rPr>
          <w:sz w:val="20"/>
          <w:szCs w:val="20"/>
          <w:color w:val="auto"/>
        </w:rPr>
      </w:pPr>
    </w:p>
    <w:p>
      <w:pPr>
        <w:spacing w:after="0" w:line="3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continues to advance its dairy biomethane activities through Brightmark RNG Holdings LLC (Brightmark), CalBioGas LLC, and CalBioGas Hilmar LLC. In 2024, Brightmark announced the inauguration of its Eloy Renewable Natural Gas center in Arizona and also achieved commercial operations at ten additional projects across Iowa, Michigan, Ohio, South Dakota and Wisconsin. These facilities utilize anaerobic digesters to capture methane from dairy farms and transform manure into pipeline quality fuel, fertilizer and water. In California, commercial operations began in 2024 at the central gas processing facility for CalBioGas Hilmar LLC, the company’s newest partnership with California Bioenergy LLC, which includes seven new anaerobic digestion dairy farm projects.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Chevron markets RNG through its nationwide network of 66 compressed natural gas (CNG) stations under the Chevron and Beyond6 brands. In 2024, Chevron opened six CNG stations across California, Florida, Georgia and Texas.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077C0"/>
        </w:rPr>
        <w:t>Marketing Operations</w:t>
      </w:r>
    </w:p>
    <w:p>
      <w:pPr>
        <w:spacing w:after="0" w:line="10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 markets petroleum products under the principal brands of “Chevron,” “Texaco” and “Caltex” throughout many parts of the world. The following table identifies the company’s and its affiliates’ refined products sales volumes, excluding intercompany sales, for the three years ended December 31, 2024.</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Refined Products Sales Volumes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Thousands of barrels per day</w:t>
            </w:r>
          </w:p>
        </w:tc>
        <w:tc>
          <w:tcPr>
            <w:tcW w:w="3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94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4800" w:type="dxa"/>
            <w:vAlign w:val="bottom"/>
            <w:tcBorders>
              <w:bottom w:val="single" w:sz="8" w:color="009DD9"/>
            </w:tcBorders>
          </w:tcPr>
          <w:p>
            <w:pPr>
              <w:spacing w:after="0"/>
              <w:rPr>
                <w:sz w:val="2"/>
                <w:szCs w:val="2"/>
                <w:color w:val="auto"/>
              </w:rPr>
            </w:pPr>
          </w:p>
        </w:tc>
        <w:tc>
          <w:tcPr>
            <w:tcW w:w="3460" w:type="dxa"/>
            <w:vAlign w:val="bottom"/>
            <w:tcBorders>
              <w:bottom w:val="single" w:sz="8" w:color="009DD9"/>
            </w:tcBorders>
          </w:tcPr>
          <w:p>
            <w:pPr>
              <w:spacing w:after="0"/>
              <w:rPr>
                <w:sz w:val="2"/>
                <w:szCs w:val="2"/>
                <w:color w:val="auto"/>
              </w:rPr>
            </w:pPr>
          </w:p>
        </w:tc>
        <w:tc>
          <w:tcPr>
            <w:tcW w:w="1940" w:type="dxa"/>
            <w:vAlign w:val="bottom"/>
            <w:tcBorders>
              <w:bottom w:val="single" w:sz="8" w:color="009DD9"/>
            </w:tcBorders>
          </w:tcPr>
          <w:p>
            <w:pPr>
              <w:spacing w:after="0"/>
              <w:rPr>
                <w:sz w:val="2"/>
                <w:szCs w:val="2"/>
                <w:color w:val="auto"/>
              </w:rPr>
            </w:pPr>
          </w:p>
        </w:tc>
        <w:tc>
          <w:tcPr>
            <w:tcW w:w="1040" w:type="dxa"/>
            <w:vAlign w:val="bottom"/>
            <w:tcBorders>
              <w:bottom w:val="single" w:sz="8" w:color="009DD9"/>
            </w:tcBorders>
          </w:tcPr>
          <w:p>
            <w:pPr>
              <w:spacing w:after="0"/>
              <w:rPr>
                <w:sz w:val="2"/>
                <w:szCs w:val="2"/>
                <w:color w:val="auto"/>
              </w:rPr>
            </w:pPr>
          </w:p>
        </w:tc>
      </w:tr>
      <w:tr>
        <w:trPr>
          <w:trHeight w:val="184"/>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3460" w:type="dxa"/>
            <w:vAlign w:val="bottom"/>
            <w:tcBorders>
              <w:right w:val="single" w:sz="8" w:color="00497F"/>
            </w:tcBorders>
          </w:tcPr>
          <w:p>
            <w:pPr>
              <w:spacing w:after="0"/>
              <w:rPr>
                <w:sz w:val="15"/>
                <w:szCs w:val="15"/>
                <w:color w:val="auto"/>
              </w:rPr>
            </w:pPr>
          </w:p>
        </w:tc>
        <w:tc>
          <w:tcPr>
            <w:tcW w:w="19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4"/>
        </w:trPr>
        <w:tc>
          <w:tcPr>
            <w:tcW w:w="4800" w:type="dxa"/>
            <w:vAlign w:val="bottom"/>
          </w:tcPr>
          <w:p>
            <w:pPr>
              <w:ind w:left="140"/>
              <w:spacing w:after="0" w:line="204" w:lineRule="exact"/>
              <w:rPr>
                <w:sz w:val="20"/>
                <w:szCs w:val="20"/>
                <w:color w:val="auto"/>
              </w:rPr>
            </w:pPr>
            <w:r>
              <w:rPr>
                <w:rFonts w:ascii="Times New Roman" w:cs="Times New Roman" w:eastAsia="Times New Roman" w:hAnsi="Times New Roman"/>
                <w:sz w:val="14"/>
                <w:szCs w:val="14"/>
                <w:color w:val="auto"/>
              </w:rPr>
              <w:t>Gasoline</w:t>
            </w:r>
            <w:r>
              <w:rPr>
                <w:rFonts w:ascii="Times New Roman" w:cs="Times New Roman" w:eastAsia="Times New Roman" w:hAnsi="Times New Roman"/>
                <w:sz w:val="18"/>
                <w:szCs w:val="18"/>
                <w:color w:val="auto"/>
                <w:vertAlign w:val="superscript"/>
              </w:rPr>
              <w:t>1</w:t>
            </w:r>
          </w:p>
        </w:tc>
        <w:tc>
          <w:tcPr>
            <w:tcW w:w="3460" w:type="dxa"/>
            <w:vAlign w:val="bottom"/>
            <w:tcBorders>
              <w:right w:val="single" w:sz="8" w:color="00497F"/>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667</w:t>
            </w:r>
          </w:p>
        </w:tc>
        <w:tc>
          <w:tcPr>
            <w:tcW w:w="194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642</w:t>
            </w: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639</w:t>
            </w:r>
          </w:p>
        </w:tc>
      </w:tr>
      <w:tr>
        <w:trPr>
          <w:trHeight w:val="190"/>
        </w:trPr>
        <w:tc>
          <w:tcPr>
            <w:tcW w:w="4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Jet Fuel</w:t>
            </w:r>
          </w:p>
        </w:tc>
        <w:tc>
          <w:tcPr>
            <w:tcW w:w="3460" w:type="dxa"/>
            <w:vAlign w:val="bottom"/>
            <w:tcBorders>
              <w:right w:val="single" w:sz="8" w:color="00497F"/>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255</w:t>
            </w:r>
          </w:p>
        </w:tc>
        <w:tc>
          <w:tcPr>
            <w:tcW w:w="194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260</w:t>
            </w: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212</w:t>
            </w:r>
          </w:p>
        </w:tc>
      </w:tr>
      <w:tr>
        <w:trPr>
          <w:trHeight w:val="215"/>
        </w:trPr>
        <w:tc>
          <w:tcPr>
            <w:tcW w:w="4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Diesel/Gas Oil</w:t>
            </w:r>
            <w:r>
              <w:rPr>
                <w:rFonts w:ascii="Times New Roman" w:cs="Times New Roman" w:eastAsia="Times New Roman" w:hAnsi="Times New Roman"/>
                <w:sz w:val="18"/>
                <w:szCs w:val="18"/>
                <w:color w:val="auto"/>
                <w:vertAlign w:val="superscript"/>
              </w:rPr>
              <w:t>1</w:t>
            </w:r>
          </w:p>
        </w:tc>
        <w:tc>
          <w:tcPr>
            <w:tcW w:w="3460" w:type="dxa"/>
            <w:vAlign w:val="bottom"/>
            <w:tcBorders>
              <w:right w:val="single" w:sz="8" w:color="00497F"/>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213</w:t>
            </w:r>
          </w:p>
        </w:tc>
        <w:tc>
          <w:tcPr>
            <w:tcW w:w="194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227</w:t>
            </w: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216</w:t>
            </w:r>
          </w:p>
        </w:tc>
      </w:tr>
      <w:tr>
        <w:trPr>
          <w:trHeight w:val="190"/>
        </w:trPr>
        <w:tc>
          <w:tcPr>
            <w:tcW w:w="4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Fuel Oil</w:t>
            </w:r>
          </w:p>
        </w:tc>
        <w:tc>
          <w:tcPr>
            <w:tcW w:w="3460" w:type="dxa"/>
            <w:vAlign w:val="bottom"/>
            <w:tcBorders>
              <w:right w:val="single" w:sz="8" w:color="00497F"/>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54</w:t>
            </w:r>
          </w:p>
        </w:tc>
        <w:tc>
          <w:tcPr>
            <w:tcW w:w="194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44</w:t>
            </w: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56</w:t>
            </w:r>
          </w:p>
        </w:tc>
      </w:tr>
      <w:tr>
        <w:trPr>
          <w:trHeight w:val="226"/>
        </w:trPr>
        <w:tc>
          <w:tcPr>
            <w:tcW w:w="4800" w:type="dxa"/>
            <w:vAlign w:val="bottom"/>
            <w:tcBorders>
              <w:bottom w:val="single" w:sz="8" w:color="009DD9"/>
            </w:tcBorders>
          </w:tcPr>
          <w:p>
            <w:pPr>
              <w:ind w:left="100"/>
              <w:spacing w:after="0"/>
              <w:rPr>
                <w:sz w:val="20"/>
                <w:szCs w:val="20"/>
                <w:color w:val="auto"/>
              </w:rPr>
            </w:pPr>
            <w:r>
              <w:rPr>
                <w:rFonts w:ascii="Times New Roman" w:cs="Times New Roman" w:eastAsia="Times New Roman" w:hAnsi="Times New Roman"/>
                <w:sz w:val="14"/>
                <w:szCs w:val="14"/>
                <w:color w:val="auto"/>
              </w:rPr>
              <w:t>Other Petroleum Products</w:t>
            </w:r>
            <w:r>
              <w:rPr>
                <w:rFonts w:ascii="Times New Roman" w:cs="Times New Roman" w:eastAsia="Times New Roman" w:hAnsi="Times New Roman"/>
                <w:sz w:val="18"/>
                <w:szCs w:val="18"/>
                <w:color w:val="auto"/>
                <w:vertAlign w:val="superscript"/>
              </w:rPr>
              <w:t>2</w:t>
            </w:r>
          </w:p>
        </w:tc>
        <w:tc>
          <w:tcPr>
            <w:tcW w:w="3460" w:type="dxa"/>
            <w:vAlign w:val="bottom"/>
            <w:tcBorders>
              <w:bottom w:val="single" w:sz="8" w:color="009DD9"/>
              <w:right w:val="single" w:sz="8" w:color="00497F"/>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97</w:t>
            </w:r>
          </w:p>
        </w:tc>
        <w:tc>
          <w:tcPr>
            <w:tcW w:w="1940" w:type="dxa"/>
            <w:vAlign w:val="bottom"/>
            <w:tcBorders>
              <w:bottom w:val="single" w:sz="8" w:color="009DD9"/>
            </w:tcBorders>
          </w:tcPr>
          <w:p>
            <w:pPr>
              <w:jc w:val="right"/>
              <w:ind w:right="469"/>
              <w:spacing w:after="0"/>
              <w:rPr>
                <w:sz w:val="20"/>
                <w:szCs w:val="20"/>
                <w:color w:val="auto"/>
              </w:rPr>
            </w:pPr>
            <w:r>
              <w:rPr>
                <w:rFonts w:ascii="Times New Roman" w:cs="Times New Roman" w:eastAsia="Times New Roman" w:hAnsi="Times New Roman"/>
                <w:sz w:val="14"/>
                <w:szCs w:val="14"/>
                <w:color w:val="auto"/>
              </w:rPr>
              <w:t>114</w:t>
            </w:r>
          </w:p>
        </w:tc>
        <w:tc>
          <w:tcPr>
            <w:tcW w:w="1040" w:type="dxa"/>
            <w:vAlign w:val="bottom"/>
            <w:tcBorders>
              <w:bottom w:val="single" w:sz="8" w:color="009DD9"/>
            </w:tcBorders>
          </w:tcPr>
          <w:p>
            <w:pPr>
              <w:jc w:val="right"/>
              <w:ind w:right="49"/>
              <w:spacing w:after="0"/>
              <w:rPr>
                <w:sz w:val="20"/>
                <w:szCs w:val="20"/>
                <w:color w:val="auto"/>
              </w:rPr>
            </w:pPr>
            <w:r>
              <w:rPr>
                <w:rFonts w:ascii="Times New Roman" w:cs="Times New Roman" w:eastAsia="Times New Roman" w:hAnsi="Times New Roman"/>
                <w:sz w:val="14"/>
                <w:szCs w:val="14"/>
                <w:color w:val="auto"/>
              </w:rPr>
              <w:t>105</w:t>
            </w:r>
          </w:p>
        </w:tc>
      </w:tr>
      <w:tr>
        <w:trPr>
          <w:trHeight w:val="190"/>
        </w:trPr>
        <w:tc>
          <w:tcPr>
            <w:tcW w:w="4800" w:type="dxa"/>
            <w:vAlign w:val="bottom"/>
            <w:tcBorders>
              <w:bottom w:val="single" w:sz="8" w:color="009DD9"/>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United States</w:t>
            </w:r>
          </w:p>
        </w:tc>
        <w:tc>
          <w:tcPr>
            <w:tcW w:w="3460" w:type="dxa"/>
            <w:vAlign w:val="bottom"/>
            <w:tcBorders>
              <w:bottom w:val="single" w:sz="8" w:color="009DD9"/>
              <w:right w:val="single" w:sz="8" w:color="00497F"/>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1,286</w:t>
            </w:r>
          </w:p>
        </w:tc>
        <w:tc>
          <w:tcPr>
            <w:tcW w:w="1940" w:type="dxa"/>
            <w:vAlign w:val="bottom"/>
            <w:tcBorders>
              <w:bottom w:val="single" w:sz="8" w:color="009DD9"/>
            </w:tcBorders>
          </w:tcPr>
          <w:p>
            <w:pPr>
              <w:jc w:val="right"/>
              <w:ind w:right="509"/>
              <w:spacing w:after="0"/>
              <w:rPr>
                <w:sz w:val="20"/>
                <w:szCs w:val="20"/>
                <w:color w:val="auto"/>
              </w:rPr>
            </w:pPr>
            <w:r>
              <w:rPr>
                <w:rFonts w:ascii="Times New Roman" w:cs="Times New Roman" w:eastAsia="Times New Roman" w:hAnsi="Times New Roman"/>
                <w:sz w:val="14"/>
                <w:szCs w:val="14"/>
                <w:color w:val="auto"/>
              </w:rPr>
              <w:t>1,287</w:t>
            </w:r>
          </w:p>
        </w:tc>
        <w:tc>
          <w:tcPr>
            <w:tcW w:w="1040" w:type="dxa"/>
            <w:vAlign w:val="bottom"/>
            <w:tcBorders>
              <w:bottom w:val="single" w:sz="8" w:color="009DD9"/>
            </w:tcBorders>
          </w:tcPr>
          <w:p>
            <w:pPr>
              <w:jc w:val="right"/>
              <w:ind w:right="109"/>
              <w:spacing w:after="0"/>
              <w:rPr>
                <w:sz w:val="20"/>
                <w:szCs w:val="20"/>
                <w:color w:val="auto"/>
              </w:rPr>
            </w:pPr>
            <w:r>
              <w:rPr>
                <w:rFonts w:ascii="Times New Roman" w:cs="Times New Roman" w:eastAsia="Times New Roman" w:hAnsi="Times New Roman"/>
                <w:sz w:val="14"/>
                <w:szCs w:val="14"/>
                <w:color w:val="auto"/>
              </w:rPr>
              <w:t>1,228</w:t>
            </w:r>
          </w:p>
        </w:tc>
      </w:tr>
      <w:tr>
        <w:trPr>
          <w:trHeight w:val="191"/>
        </w:trPr>
        <w:tc>
          <w:tcPr>
            <w:tcW w:w="4800" w:type="dxa"/>
            <w:vAlign w:val="bottom"/>
          </w:tcPr>
          <w:p>
            <w:pPr>
              <w:ind w:left="20"/>
              <w:spacing w:after="0" w:line="191" w:lineRule="exact"/>
              <w:rPr>
                <w:sz w:val="20"/>
                <w:szCs w:val="20"/>
                <w:color w:val="auto"/>
              </w:rPr>
            </w:pPr>
            <w:r>
              <w:rPr>
                <w:rFonts w:ascii="Times New Roman" w:cs="Times New Roman" w:eastAsia="Times New Roman" w:hAnsi="Times New Roman"/>
                <w:sz w:val="14"/>
                <w:szCs w:val="14"/>
                <w:b w:val="1"/>
                <w:bCs w:val="1"/>
                <w:color w:val="auto"/>
              </w:rPr>
              <w:t>International</w:t>
            </w:r>
            <w:r>
              <w:rPr>
                <w:rFonts w:ascii="Times New Roman" w:cs="Times New Roman" w:eastAsia="Times New Roman" w:hAnsi="Times New Roman"/>
                <w:sz w:val="18"/>
                <w:szCs w:val="18"/>
                <w:b w:val="1"/>
                <w:bCs w:val="1"/>
                <w:color w:val="auto"/>
                <w:vertAlign w:val="superscript"/>
              </w:rPr>
              <w:t>3</w:t>
            </w:r>
          </w:p>
        </w:tc>
        <w:tc>
          <w:tcPr>
            <w:tcW w:w="3460" w:type="dxa"/>
            <w:vAlign w:val="bottom"/>
            <w:tcBorders>
              <w:right w:val="single" w:sz="8" w:color="00497F"/>
            </w:tcBorders>
          </w:tcPr>
          <w:p>
            <w:pPr>
              <w:spacing w:after="0"/>
              <w:rPr>
                <w:sz w:val="16"/>
                <w:szCs w:val="16"/>
                <w:color w:val="auto"/>
              </w:rPr>
            </w:pPr>
          </w:p>
        </w:tc>
        <w:tc>
          <w:tcPr>
            <w:tcW w:w="19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0"/>
        </w:trPr>
        <w:tc>
          <w:tcPr>
            <w:tcW w:w="4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Gasoline</w:t>
            </w:r>
          </w:p>
        </w:tc>
        <w:tc>
          <w:tcPr>
            <w:tcW w:w="3460" w:type="dxa"/>
            <w:vAlign w:val="bottom"/>
            <w:tcBorders>
              <w:right w:val="single" w:sz="8" w:color="00497F"/>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382</w:t>
            </w:r>
          </w:p>
        </w:tc>
        <w:tc>
          <w:tcPr>
            <w:tcW w:w="194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353</w:t>
            </w: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336</w:t>
            </w:r>
          </w:p>
        </w:tc>
      </w:tr>
      <w:tr>
        <w:trPr>
          <w:trHeight w:val="203"/>
        </w:trPr>
        <w:tc>
          <w:tcPr>
            <w:tcW w:w="4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Jet Fuel</w:t>
            </w:r>
          </w:p>
        </w:tc>
        <w:tc>
          <w:tcPr>
            <w:tcW w:w="3460" w:type="dxa"/>
            <w:vAlign w:val="bottom"/>
            <w:tcBorders>
              <w:right w:val="single" w:sz="8" w:color="00497F"/>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229</w:t>
            </w:r>
          </w:p>
        </w:tc>
        <w:tc>
          <w:tcPr>
            <w:tcW w:w="194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234</w:t>
            </w: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196</w:t>
            </w:r>
          </w:p>
        </w:tc>
      </w:tr>
      <w:tr>
        <w:trPr>
          <w:trHeight w:val="215"/>
        </w:trPr>
        <w:tc>
          <w:tcPr>
            <w:tcW w:w="4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Diesel/Gas Oil</w:t>
            </w:r>
            <w:r>
              <w:rPr>
                <w:rFonts w:ascii="Times New Roman" w:cs="Times New Roman" w:eastAsia="Times New Roman" w:hAnsi="Times New Roman"/>
                <w:sz w:val="18"/>
                <w:szCs w:val="18"/>
                <w:color w:val="auto"/>
                <w:vertAlign w:val="superscript"/>
              </w:rPr>
              <w:t>1</w:t>
            </w:r>
          </w:p>
        </w:tc>
        <w:tc>
          <w:tcPr>
            <w:tcW w:w="3460" w:type="dxa"/>
            <w:vAlign w:val="bottom"/>
            <w:tcBorders>
              <w:right w:val="single" w:sz="8" w:color="00497F"/>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479</w:t>
            </w:r>
          </w:p>
        </w:tc>
        <w:tc>
          <w:tcPr>
            <w:tcW w:w="194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472</w:t>
            </w: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464</w:t>
            </w:r>
          </w:p>
        </w:tc>
      </w:tr>
      <w:tr>
        <w:trPr>
          <w:trHeight w:val="190"/>
        </w:trPr>
        <w:tc>
          <w:tcPr>
            <w:tcW w:w="4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Fuel Oil</w:t>
            </w:r>
          </w:p>
        </w:tc>
        <w:tc>
          <w:tcPr>
            <w:tcW w:w="3460" w:type="dxa"/>
            <w:vAlign w:val="bottom"/>
            <w:tcBorders>
              <w:right w:val="single" w:sz="8" w:color="00497F"/>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182</w:t>
            </w:r>
          </w:p>
        </w:tc>
        <w:tc>
          <w:tcPr>
            <w:tcW w:w="194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161</w:t>
            </w: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168</w:t>
            </w:r>
          </w:p>
        </w:tc>
      </w:tr>
      <w:tr>
        <w:trPr>
          <w:trHeight w:val="226"/>
        </w:trPr>
        <w:tc>
          <w:tcPr>
            <w:tcW w:w="4800" w:type="dxa"/>
            <w:vAlign w:val="bottom"/>
            <w:tcBorders>
              <w:bottom w:val="single" w:sz="8" w:color="009DD9"/>
            </w:tcBorders>
          </w:tcPr>
          <w:p>
            <w:pPr>
              <w:ind w:left="100"/>
              <w:spacing w:after="0"/>
              <w:rPr>
                <w:sz w:val="20"/>
                <w:szCs w:val="20"/>
                <w:color w:val="auto"/>
              </w:rPr>
            </w:pPr>
            <w:r>
              <w:rPr>
                <w:rFonts w:ascii="Times New Roman" w:cs="Times New Roman" w:eastAsia="Times New Roman" w:hAnsi="Times New Roman"/>
                <w:sz w:val="14"/>
                <w:szCs w:val="14"/>
                <w:color w:val="auto"/>
              </w:rPr>
              <w:t>Other Petroleum Products</w:t>
            </w:r>
            <w:r>
              <w:rPr>
                <w:rFonts w:ascii="Times New Roman" w:cs="Times New Roman" w:eastAsia="Times New Roman" w:hAnsi="Times New Roman"/>
                <w:sz w:val="18"/>
                <w:szCs w:val="18"/>
                <w:color w:val="auto"/>
                <w:vertAlign w:val="superscript"/>
              </w:rPr>
              <w:t>2</w:t>
            </w:r>
          </w:p>
        </w:tc>
        <w:tc>
          <w:tcPr>
            <w:tcW w:w="3460" w:type="dxa"/>
            <w:vAlign w:val="bottom"/>
            <w:tcBorders>
              <w:bottom w:val="single" w:sz="8" w:color="009DD9"/>
              <w:right w:val="single" w:sz="8" w:color="00497F"/>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223</w:t>
            </w:r>
          </w:p>
        </w:tc>
        <w:tc>
          <w:tcPr>
            <w:tcW w:w="1940" w:type="dxa"/>
            <w:vAlign w:val="bottom"/>
            <w:tcBorders>
              <w:bottom w:val="single" w:sz="8" w:color="009DD9"/>
            </w:tcBorders>
          </w:tcPr>
          <w:p>
            <w:pPr>
              <w:jc w:val="right"/>
              <w:ind w:right="469"/>
              <w:spacing w:after="0"/>
              <w:rPr>
                <w:sz w:val="20"/>
                <w:szCs w:val="20"/>
                <w:color w:val="auto"/>
              </w:rPr>
            </w:pPr>
            <w:r>
              <w:rPr>
                <w:rFonts w:ascii="Times New Roman" w:cs="Times New Roman" w:eastAsia="Times New Roman" w:hAnsi="Times New Roman"/>
                <w:sz w:val="14"/>
                <w:szCs w:val="14"/>
                <w:color w:val="auto"/>
              </w:rPr>
              <w:t>225</w:t>
            </w:r>
          </w:p>
        </w:tc>
        <w:tc>
          <w:tcPr>
            <w:tcW w:w="1040" w:type="dxa"/>
            <w:vAlign w:val="bottom"/>
            <w:tcBorders>
              <w:bottom w:val="single" w:sz="8" w:color="009DD9"/>
            </w:tcBorders>
          </w:tcPr>
          <w:p>
            <w:pPr>
              <w:jc w:val="right"/>
              <w:ind w:right="49"/>
              <w:spacing w:after="0"/>
              <w:rPr>
                <w:sz w:val="20"/>
                <w:szCs w:val="20"/>
                <w:color w:val="auto"/>
              </w:rPr>
            </w:pPr>
            <w:r>
              <w:rPr>
                <w:rFonts w:ascii="Times New Roman" w:cs="Times New Roman" w:eastAsia="Times New Roman" w:hAnsi="Times New Roman"/>
                <w:sz w:val="14"/>
                <w:szCs w:val="14"/>
                <w:color w:val="auto"/>
              </w:rPr>
              <w:t>222</w:t>
            </w:r>
          </w:p>
        </w:tc>
      </w:tr>
      <w:tr>
        <w:trPr>
          <w:trHeight w:val="190"/>
        </w:trPr>
        <w:tc>
          <w:tcPr>
            <w:tcW w:w="4800" w:type="dxa"/>
            <w:vAlign w:val="bottom"/>
            <w:tcBorders>
              <w:bottom w:val="single" w:sz="8" w:color="009DD9"/>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International</w:t>
            </w:r>
          </w:p>
        </w:tc>
        <w:tc>
          <w:tcPr>
            <w:tcW w:w="3460" w:type="dxa"/>
            <w:vAlign w:val="bottom"/>
            <w:tcBorders>
              <w:bottom w:val="single" w:sz="8" w:color="009DD9"/>
              <w:right w:val="single" w:sz="8" w:color="00497F"/>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1,495</w:t>
            </w:r>
          </w:p>
        </w:tc>
        <w:tc>
          <w:tcPr>
            <w:tcW w:w="1940" w:type="dxa"/>
            <w:vAlign w:val="bottom"/>
            <w:tcBorders>
              <w:bottom w:val="single" w:sz="8" w:color="009DD9"/>
            </w:tcBorders>
          </w:tcPr>
          <w:p>
            <w:pPr>
              <w:jc w:val="right"/>
              <w:ind w:right="509"/>
              <w:spacing w:after="0"/>
              <w:rPr>
                <w:sz w:val="20"/>
                <w:szCs w:val="20"/>
                <w:color w:val="auto"/>
              </w:rPr>
            </w:pPr>
            <w:r>
              <w:rPr>
                <w:rFonts w:ascii="Times New Roman" w:cs="Times New Roman" w:eastAsia="Times New Roman" w:hAnsi="Times New Roman"/>
                <w:sz w:val="14"/>
                <w:szCs w:val="14"/>
                <w:color w:val="auto"/>
              </w:rPr>
              <w:t>1,445</w:t>
            </w:r>
          </w:p>
        </w:tc>
        <w:tc>
          <w:tcPr>
            <w:tcW w:w="1040" w:type="dxa"/>
            <w:vAlign w:val="bottom"/>
            <w:tcBorders>
              <w:bottom w:val="single" w:sz="8" w:color="009DD9"/>
            </w:tcBorders>
          </w:tcPr>
          <w:p>
            <w:pPr>
              <w:jc w:val="right"/>
              <w:ind w:right="109"/>
              <w:spacing w:after="0"/>
              <w:rPr>
                <w:sz w:val="20"/>
                <w:szCs w:val="20"/>
                <w:color w:val="auto"/>
              </w:rPr>
            </w:pPr>
            <w:r>
              <w:rPr>
                <w:rFonts w:ascii="Times New Roman" w:cs="Times New Roman" w:eastAsia="Times New Roman" w:hAnsi="Times New Roman"/>
                <w:sz w:val="14"/>
                <w:szCs w:val="14"/>
                <w:color w:val="auto"/>
              </w:rPr>
              <w:t>1,386</w:t>
            </w:r>
          </w:p>
        </w:tc>
      </w:tr>
      <w:tr>
        <w:trPr>
          <w:trHeight w:val="202"/>
        </w:trPr>
        <w:tc>
          <w:tcPr>
            <w:tcW w:w="4800" w:type="dxa"/>
            <w:vAlign w:val="bottom"/>
            <w:tcBorders>
              <w:bottom w:val="single" w:sz="8" w:color="009DD9"/>
            </w:tcBorders>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Total Worldwide</w:t>
            </w:r>
            <w:r>
              <w:rPr>
                <w:rFonts w:ascii="Times New Roman" w:cs="Times New Roman" w:eastAsia="Times New Roman" w:hAnsi="Times New Roman"/>
                <w:sz w:val="18"/>
                <w:szCs w:val="18"/>
                <w:b w:val="1"/>
                <w:bCs w:val="1"/>
                <w:color w:val="auto"/>
                <w:vertAlign w:val="superscript"/>
              </w:rPr>
              <w:t>3</w:t>
            </w:r>
          </w:p>
        </w:tc>
        <w:tc>
          <w:tcPr>
            <w:tcW w:w="3460" w:type="dxa"/>
            <w:vAlign w:val="bottom"/>
            <w:tcBorders>
              <w:bottom w:val="single" w:sz="8" w:color="009DD9"/>
              <w:right w:val="single" w:sz="8" w:color="00497F"/>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2,781</w:t>
            </w:r>
          </w:p>
        </w:tc>
        <w:tc>
          <w:tcPr>
            <w:tcW w:w="1940" w:type="dxa"/>
            <w:vAlign w:val="bottom"/>
            <w:tcBorders>
              <w:bottom w:val="single" w:sz="8" w:color="009DD9"/>
            </w:tcBorders>
          </w:tcPr>
          <w:p>
            <w:pPr>
              <w:jc w:val="right"/>
              <w:ind w:right="509"/>
              <w:spacing w:after="0"/>
              <w:rPr>
                <w:sz w:val="20"/>
                <w:szCs w:val="20"/>
                <w:color w:val="auto"/>
              </w:rPr>
            </w:pPr>
            <w:r>
              <w:rPr>
                <w:rFonts w:ascii="Times New Roman" w:cs="Times New Roman" w:eastAsia="Times New Roman" w:hAnsi="Times New Roman"/>
                <w:sz w:val="14"/>
                <w:szCs w:val="14"/>
                <w:color w:val="auto"/>
              </w:rPr>
              <w:t>2,732</w:t>
            </w:r>
          </w:p>
        </w:tc>
        <w:tc>
          <w:tcPr>
            <w:tcW w:w="1040" w:type="dxa"/>
            <w:vAlign w:val="bottom"/>
            <w:tcBorders>
              <w:bottom w:val="single" w:sz="8" w:color="009DD9"/>
            </w:tcBorders>
          </w:tcPr>
          <w:p>
            <w:pPr>
              <w:jc w:val="right"/>
              <w:ind w:right="109"/>
              <w:spacing w:after="0"/>
              <w:rPr>
                <w:sz w:val="20"/>
                <w:szCs w:val="20"/>
                <w:color w:val="auto"/>
              </w:rPr>
            </w:pPr>
            <w:r>
              <w:rPr>
                <w:rFonts w:ascii="Times New Roman" w:cs="Times New Roman" w:eastAsia="Times New Roman" w:hAnsi="Times New Roman"/>
                <w:sz w:val="14"/>
                <w:szCs w:val="14"/>
                <w:color w:val="auto"/>
              </w:rPr>
              <w:t>2,614</w:t>
            </w:r>
          </w:p>
        </w:tc>
      </w:tr>
      <w:tr>
        <w:trPr>
          <w:trHeight w:val="177"/>
        </w:trPr>
        <w:tc>
          <w:tcPr>
            <w:tcW w:w="4800" w:type="dxa"/>
            <w:vAlign w:val="bottom"/>
          </w:tcPr>
          <w:p>
            <w:pPr>
              <w:ind w:left="20"/>
              <w:spacing w:after="0" w:line="178" w:lineRule="exact"/>
              <w:rPr>
                <w:sz w:val="20"/>
                <w:szCs w:val="20"/>
                <w:color w:val="auto"/>
              </w:rPr>
            </w:pP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3"/>
                <w:szCs w:val="13"/>
                <w:color w:val="auto"/>
              </w:rPr>
              <w:t xml:space="preserve"> Includes renewable fuel sales:</w:t>
            </w:r>
          </w:p>
        </w:tc>
        <w:tc>
          <w:tcPr>
            <w:tcW w:w="3460" w:type="dxa"/>
            <w:vAlign w:val="bottom"/>
          </w:tcPr>
          <w:p>
            <w:pPr>
              <w:jc w:val="right"/>
              <w:ind w:right="9"/>
              <w:spacing w:after="0"/>
              <w:rPr>
                <w:sz w:val="20"/>
                <w:szCs w:val="20"/>
                <w:color w:val="auto"/>
              </w:rPr>
            </w:pPr>
            <w:r>
              <w:rPr>
                <w:rFonts w:ascii="Times New Roman" w:cs="Times New Roman" w:eastAsia="Times New Roman" w:hAnsi="Times New Roman"/>
                <w:sz w:val="13"/>
                <w:szCs w:val="13"/>
                <w:b w:val="1"/>
                <w:bCs w:val="1"/>
                <w:color w:val="auto"/>
              </w:rPr>
              <w:t>40</w:t>
            </w:r>
          </w:p>
        </w:tc>
        <w:tc>
          <w:tcPr>
            <w:tcW w:w="1940" w:type="dxa"/>
            <w:vAlign w:val="bottom"/>
          </w:tcPr>
          <w:p>
            <w:pPr>
              <w:jc w:val="right"/>
              <w:ind w:right="469"/>
              <w:spacing w:after="0"/>
              <w:rPr>
                <w:sz w:val="20"/>
                <w:szCs w:val="20"/>
                <w:color w:val="auto"/>
              </w:rPr>
            </w:pPr>
            <w:r>
              <w:rPr>
                <w:rFonts w:ascii="Times New Roman" w:cs="Times New Roman" w:eastAsia="Times New Roman" w:hAnsi="Times New Roman"/>
                <w:sz w:val="13"/>
                <w:szCs w:val="13"/>
                <w:color w:val="auto"/>
              </w:rPr>
              <w:t>44</w:t>
            </w: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3"/>
                <w:szCs w:val="13"/>
                <w:color w:val="auto"/>
              </w:rPr>
              <w:t>24</w:t>
            </w:r>
          </w:p>
        </w:tc>
      </w:tr>
    </w:tbl>
    <w:p>
      <w:pPr>
        <w:ind w:left="100" w:hanging="74"/>
        <w:spacing w:after="0" w:line="197" w:lineRule="auto"/>
        <w:tabs>
          <w:tab w:leader="none" w:pos="100"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Principally naphtha, lubricants, asphalt and coke.</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6"/>
                <w:szCs w:val="16"/>
                <w:color w:val="auto"/>
                <w:vertAlign w:val="superscript"/>
              </w:rPr>
              <w:t>3</w:t>
            </w:r>
            <w:r>
              <w:rPr>
                <w:rFonts w:ascii="Times New Roman" w:cs="Times New Roman" w:eastAsia="Times New Roman" w:hAnsi="Times New Roman"/>
                <w:sz w:val="13"/>
                <w:szCs w:val="13"/>
                <w:color w:val="auto"/>
              </w:rPr>
              <w:t xml:space="preserve"> Includes share of affiliates’ sales:</w:t>
            </w:r>
          </w:p>
        </w:tc>
        <w:tc>
          <w:tcPr>
            <w:tcW w:w="3960" w:type="dxa"/>
            <w:vAlign w:val="bottom"/>
          </w:tcPr>
          <w:p>
            <w:pPr>
              <w:jc w:val="right"/>
              <w:ind w:right="597"/>
              <w:spacing w:after="0"/>
              <w:rPr>
                <w:sz w:val="20"/>
                <w:szCs w:val="20"/>
                <w:color w:val="auto"/>
              </w:rPr>
            </w:pPr>
            <w:r>
              <w:rPr>
                <w:rFonts w:ascii="Times New Roman" w:cs="Times New Roman" w:eastAsia="Times New Roman" w:hAnsi="Times New Roman"/>
                <w:sz w:val="13"/>
                <w:szCs w:val="13"/>
                <w:b w:val="1"/>
                <w:bCs w:val="1"/>
                <w:color w:val="auto"/>
              </w:rPr>
              <w:t>386</w:t>
            </w:r>
          </w:p>
        </w:tc>
        <w:tc>
          <w:tcPr>
            <w:tcW w:w="1460" w:type="dxa"/>
            <w:vAlign w:val="bottom"/>
          </w:tcPr>
          <w:p>
            <w:pPr>
              <w:jc w:val="right"/>
              <w:ind w:right="577"/>
              <w:spacing w:after="0"/>
              <w:rPr>
                <w:sz w:val="20"/>
                <w:szCs w:val="20"/>
                <w:color w:val="auto"/>
              </w:rPr>
            </w:pPr>
            <w:r>
              <w:rPr>
                <w:rFonts w:ascii="Times New Roman" w:cs="Times New Roman" w:eastAsia="Times New Roman" w:hAnsi="Times New Roman"/>
                <w:sz w:val="13"/>
                <w:szCs w:val="13"/>
                <w:color w:val="auto"/>
              </w:rPr>
              <w:t>389</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w:t>
            </w:r>
          </w:p>
        </w:tc>
      </w:tr>
    </w:tbl>
    <w:p>
      <w:pPr>
        <w:spacing w:after="0" w:line="132" w:lineRule="exact"/>
        <w:rPr>
          <w:sz w:val="20"/>
          <w:szCs w:val="20"/>
          <w:color w:val="auto"/>
        </w:rPr>
      </w:pPr>
    </w:p>
    <w:p>
      <w:pPr>
        <w:jc w:val="both"/>
        <w:ind w:right="20" w:firstLine="18"/>
        <w:spacing w:after="0" w:line="274" w:lineRule="auto"/>
        <w:rPr>
          <w:sz w:val="20"/>
          <w:szCs w:val="20"/>
          <w:color w:val="auto"/>
        </w:rPr>
      </w:pPr>
      <w:r>
        <w:rPr>
          <w:rFonts w:ascii="Times New Roman" w:cs="Times New Roman" w:eastAsia="Times New Roman" w:hAnsi="Times New Roman"/>
          <w:sz w:val="18"/>
          <w:szCs w:val="18"/>
          <w:color w:val="auto"/>
        </w:rPr>
        <w:t>In the United States, the company markets primarily under the principal brands of “Chevron” and “Texaco.” At year-end 2024, the company supplied directly or through retailers and marketers approximately 8,500 Chevron- and Texaco-branded service stations, primarily in the southern and western states. Approximately 370 of these outlets are company-owned or -leased stations.</w:t>
      </w:r>
    </w:p>
    <w:p>
      <w:pPr>
        <w:spacing w:after="0" w:line="4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Outside the United States, Chevron supplied directly or through retailers and marketers approximately 5,200 branded service stations, including affiliates. The company markets using the Chevron and Texaco brands in Latin America and the Caltex brand in the Asia-Pacific region. In South Korea, the company operates through its 50 percent-owned affiliate, GSC. The rebranding project to transition service stations in Australia from Puma to the Caltex brand is expected to complete in 2025.</w:t>
      </w:r>
    </w:p>
    <w:p>
      <w:pPr>
        <w:spacing w:after="0" w:line="5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Chevron markets commercial aviation fuel to 64 airports worldwide. The company markets base oil globally under the Chevron and Nexbase brands and markets lubricant and coolant products under the Chevron, Texaco and Caltex brands.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0077C0"/>
        </w:rPr>
        <w:t>Chemicals Operations</w:t>
      </w:r>
    </w:p>
    <w:p>
      <w:pPr>
        <w:spacing w:after="0" w:line="10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Chevron Oronite Company develops, manufactures and markets performance additives for lubricating oils and fuels and conducts research and development for additive component and blended packages. At the end of 2024, the company manufactured, blended or conducted research at 11 locations around the world.</w:t>
      </w:r>
    </w:p>
    <w:p>
      <w:pPr>
        <w:spacing w:after="0" w:line="6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Chevron owns a 50 percent interest in Chevron Phillips Chemical Company LLC (CPChem). CPChem produces olefins, polyolefins and alpha olefins and is a supplier of aromatics and polyethylene pipe, in addition to participating in the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9" w:name="page20"/>
    <w:bookmarkEnd w:id="19"/>
    <w:p>
      <w:pPr>
        <w:ind w:left="10100"/>
        <w:spacing w:after="0"/>
        <w:rPr>
          <w:sz w:val="20"/>
          <w:szCs w:val="20"/>
          <w:color w:val="auto"/>
        </w:rPr>
      </w:pPr>
      <w:r>
        <w:rPr>
          <w:rFonts w:ascii="Arial" w:cs="Arial" w:eastAsia="Arial" w:hAnsi="Arial"/>
          <w:sz w:val="14"/>
          <w:szCs w:val="14"/>
          <w:color w:val="0077C0"/>
        </w:rPr>
        <w:t>Table of Contents</w:t>
      </w:r>
    </w:p>
    <w:p>
      <w:pPr>
        <w:spacing w:after="0" w:line="200" w:lineRule="exact"/>
        <w:rPr>
          <w:sz w:val="20"/>
          <w:szCs w:val="20"/>
          <w:color w:val="auto"/>
        </w:rPr>
      </w:pPr>
    </w:p>
    <w:p>
      <w:pPr>
        <w:spacing w:after="0" w:line="31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specialty chemical and specialty plastics markets. At the end of 2024, CPChem owned or had joint-venture interests in 30 manufacturing facilities and two research and development centers around the world.</w:t>
      </w:r>
    </w:p>
    <w:p>
      <w:pPr>
        <w:spacing w:after="0" w:line="2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CPChem has two major integrated polymer projects under construction, the Golden Triangle Polymers Project in Orange, Texas, for which CPChem holds a 51 percent-owned and operated interest and the Ras Laffan Petrochemical Project in Ras Laffan, Qatar, for which CPChem holds a 30 percent nonoperated working interest. Start-up for both projects is targeted for 2026. CPChem is expected to complete the Low Viscosity Poly Alpha Olefin Expansion Project at the CPChem Beringen, Belgium site in first-half 2025.</w:t>
      </w:r>
    </w:p>
    <w:p>
      <w:pPr>
        <w:spacing w:after="0" w:line="5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Chevron is also involved in the petrochemical business through the operations of GSC, the company’s 50 percent-owned affiliate in South Korea. GSC manufactures aromatics, including benzene, toluene and xylene. These base chemicals are used to produce a range of products, including adhesives, plastics and textile fibers. GSC also produces olefins, which are used to make automotive and home appliance parts, food packaging, laboratory equipment, building materials, adhesives, paint and textiles.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0077C0"/>
        </w:rPr>
        <w:t>Transportation</w:t>
      </w:r>
    </w:p>
    <w:p>
      <w:pPr>
        <w:spacing w:after="0" w:line="1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Pipelines </w:t>
      </w:r>
      <w:r>
        <w:rPr>
          <w:rFonts w:ascii="Times New Roman" w:cs="Times New Roman" w:eastAsia="Times New Roman" w:hAnsi="Times New Roman"/>
          <w:sz w:val="18"/>
          <w:szCs w:val="18"/>
          <w:color w:val="000000"/>
        </w:rPr>
        <w:t>Chevron owns and operates a network of crude oil, natural gas and product pipelines and other infrastructure assets in the United States. In</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addition, Chevron operates pipelines for its 50 percent-owned CPChem affiliate. The company also has direct and indirect interests in other U.S. and international pipelines.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u w:val="single" w:color="auto"/>
          <w:color w:val="0000FF"/>
        </w:rPr>
        <w:t>Nigeria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Kazakhstan/Russia</w:t>
      </w:r>
      <w:r>
        <w:rPr>
          <w:rFonts w:ascii="Times New Roman" w:cs="Times New Roman" w:eastAsia="Times New Roman" w:hAnsi="Times New Roman"/>
          <w:sz w:val="18"/>
          <w:szCs w:val="18"/>
          <w:color w:val="auto"/>
        </w:rPr>
        <w:t xml:space="preserve"> in the Upstream section for information on the West African Gas Pipeline and the Caspian Pipeline Consortium.</w:t>
      </w:r>
    </w:p>
    <w:p>
      <w:pPr>
        <w:spacing w:after="0" w:line="10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Shipping </w:t>
      </w:r>
      <w:r>
        <w:rPr>
          <w:rFonts w:ascii="Times New Roman" w:cs="Times New Roman" w:eastAsia="Times New Roman" w:hAnsi="Times New Roman"/>
          <w:sz w:val="18"/>
          <w:szCs w:val="18"/>
          <w:color w:val="000000"/>
        </w:rPr>
        <w:t>The company’s marine fleet includes both U.S. and foreign flagged vessels. The operated fleet consists of conventional crude tankers, product</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carriers and LNG vessels. These vessels transport crude oil, LNG, refined products and feedstock in support of the company’s global upstream and downstream businesses. In 2024, Chevron announced plans to install a hard-sail wind-assisted propulsion system on a new time-chartered LNG carrier to reduce carbon intensity, with an expected delivery in 2026.</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Other Businesses</w:t>
      </w:r>
    </w:p>
    <w:p>
      <w:pPr>
        <w:spacing w:after="0" w:line="1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Chevron Technical Center </w:t>
      </w:r>
      <w:r>
        <w:rPr>
          <w:rFonts w:ascii="Times New Roman" w:cs="Times New Roman" w:eastAsia="Times New Roman" w:hAnsi="Times New Roman"/>
          <w:sz w:val="18"/>
          <w:szCs w:val="18"/>
          <w:color w:val="000000"/>
        </w:rPr>
        <w:t>The company aims to scale affordable, innovative technology solutions to support a sustainable, resilient energy system.</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Chevron Technical Center (CTC) conducts research, develops and qualifies technology and provides technical services and competency development in support of business outcomes. Areas of expertise include earth sciences, reservoir and production engineering, facilities engineering, reserve governance and reporting, capital projects, drilling and completions, innovation, technology ventures, catalyst and process technology, technical computing and digital and data science. In 2024, Chevron announced the establishment of an engineering and innovation center in India to provide technical and digital solutions for the enterprise.</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CTC includes the company’s information technology organization, which integrates computing, data management and analytics, cybersecurity and other key infrastructure technologies to provide a digital foundation to enable Chevron’s global operations, projects and business processes.</w:t>
      </w:r>
    </w:p>
    <w:p>
      <w:pPr>
        <w:spacing w:after="0" w:line="5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is focused on technologies that are ready to adopt and scale today, as well as breakthrough technologies in support of its oil, natural gas and products and new energies businesses, including shale and tight recovery, deepwater development, lowering the carbon intensity of heavy oil, advancing facilities of the future, renewable fuels, carbon capture utilization and storage, hydrogen and geothermal energy.</w:t>
      </w:r>
    </w:p>
    <w:p>
      <w:pPr>
        <w:spacing w:after="0" w:line="4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Chevron leverages its in-house expertise to undertake internal research and development to advance energy solutions. The company holds more than 4,000 patents for new technologies, with nearly 3,400 additional patents pending, making Chevron one of the leading U.S. patent holders in the industry.</w:t>
      </w:r>
    </w:p>
    <w:p>
      <w:pPr>
        <w:spacing w:after="0" w:line="2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Collaboration is increasingly important to close innovation gaps and integrate emerging technologies into existing energy value chains. Chevron works with startups, universities, national laboratories, joint ventures and service companies to explore, evaluate and scale solutions. Chevron is applying artificial intelligence (AI) to drive productivity, efficiency and value to its global operations. The company is building high-impact use cases leveraging its extensive data and insights and collaborating with others to access AI solutions to help unlock value. In an effort to ensure its AI systems are reliable and effective, the company is employing processes to assess its capabilities, limitations and readiness. Chevron is a member of the Responsible AI institute, a consortium focused on integrating AI responsibly while safeguarding human values.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20" w:name="page21"/>
    <w:bookmarkEnd w:id="20"/>
    <w:p>
      <w:pPr>
        <w:ind w:left="10100"/>
        <w:spacing w:after="0"/>
        <w:rPr>
          <w:sz w:val="20"/>
          <w:szCs w:val="20"/>
          <w:color w:val="auto"/>
        </w:rPr>
      </w:pPr>
      <w:r>
        <w:rPr>
          <w:rFonts w:ascii="Arial" w:cs="Arial" w:eastAsia="Arial" w:hAnsi="Arial"/>
          <w:sz w:val="14"/>
          <w:szCs w:val="14"/>
          <w:color w:val="0077C0"/>
        </w:rPr>
        <w:t>Table of Contents</w:t>
      </w:r>
    </w:p>
    <w:p>
      <w:pPr>
        <w:spacing w:after="0" w:line="200" w:lineRule="exact"/>
        <w:rPr>
          <w:sz w:val="20"/>
          <w:szCs w:val="20"/>
          <w:color w:val="auto"/>
        </w:rPr>
      </w:pPr>
    </w:p>
    <w:p>
      <w:pPr>
        <w:spacing w:after="0" w:line="3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Chevron Technology Ventures (CTV) unit identifies and invests in externally developed technologies and new business solutions with the potential to enhance the way Chevron produces and delivers affordable, reliable and lower carbon energy. CTV has more than 25 years of being the primary on-ramp for early-stage, external innovation into Chevron, including venture investing, with ten funds that have supported more than 150 startups and worked with more than 350 co-investors.</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In addition to the company’s own managed funds, Chevron also makes investments indirectly through the following funds: the Oil and Gas Climate Initiative (OGCI) Climate Investments’ Catalyst Fund I, which targets decarbonization within the oil and gas, industrial, built environments and commercial transportation sectors; Emerald funds, one of which targets energy, water, food, mobility, industrial IT and advanced materials and another that focuses on sustainable packaging; Carbon Direct Capital, a growth equity investor in carbon management technologies; and the HX Venture Fund 1 that targets Houston, Texas high-growth start-up companies.</w:t>
      </w:r>
    </w:p>
    <w:p>
      <w:pPr>
        <w:spacing w:after="0" w:line="5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 xml:space="preserve">Some of the investments the company makes in the areas described above are in new or unproven technologies and business processes; therefore, the ultimate technical or commercial successes of these investments are not certain. Refer to </w:t>
      </w:r>
      <w:r>
        <w:rPr>
          <w:rFonts w:ascii="Times New Roman" w:cs="Times New Roman" w:eastAsia="Times New Roman" w:hAnsi="Times New Roman"/>
          <w:sz w:val="18"/>
          <w:szCs w:val="18"/>
          <w:u w:val="single" w:color="auto"/>
          <w:color w:val="0000FF"/>
        </w:rPr>
        <w:t>Note 27 Other Financial Information</w:t>
      </w:r>
      <w:r>
        <w:rPr>
          <w:rFonts w:ascii="Times New Roman" w:cs="Times New Roman" w:eastAsia="Times New Roman" w:hAnsi="Times New Roman"/>
          <w:sz w:val="18"/>
          <w:szCs w:val="18"/>
          <w:color w:val="auto"/>
        </w:rPr>
        <w:t xml:space="preserve"> for quantification of the company’s research and development expenses.</w:t>
      </w:r>
    </w:p>
    <w:p>
      <w:pPr>
        <w:spacing w:after="0" w:line="5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Chevron New Energies </w:t>
      </w:r>
      <w:r>
        <w:rPr>
          <w:rFonts w:ascii="Times New Roman" w:cs="Times New Roman" w:eastAsia="Times New Roman" w:hAnsi="Times New Roman"/>
          <w:sz w:val="18"/>
          <w:szCs w:val="18"/>
          <w:color w:val="000000"/>
        </w:rPr>
        <w:t>The new energies organization is focused on developing new businesses with the aim to support the company’s objectives to lower</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the carbon intensity of its operations and enable growth opportunities with the potential to generate competitive returns. These include additional fuel solutions utilizing hydrogen and its derivatives such as ammonia, carbon emissions management through carbon capture and offsets, and power generation for data centers. The company is also pursuing opportunities in other emerging areas, including enhanced geothermal to deliver non-intermittent lower carbon power, and lithium extraction and production for battery and other applications.</w:t>
      </w:r>
    </w:p>
    <w:p>
      <w:pPr>
        <w:spacing w:after="0" w:line="6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Environmental Protection </w:t>
      </w:r>
      <w:r>
        <w:rPr>
          <w:rFonts w:ascii="Times New Roman" w:cs="Times New Roman" w:eastAsia="Times New Roman" w:hAnsi="Times New Roman"/>
          <w:sz w:val="18"/>
          <w:szCs w:val="18"/>
          <w:color w:val="000000"/>
        </w:rPr>
        <w:t>The company designs, operates and maintains its facilities to avoid potential spills or leaks and to minimize the impact of those</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that may occur. Chevron requires its facilities and operations to have operating standards and processes and emergency response plans that address significant risks identified through site-specific risk and impact assessments. Chevron also requires that sufficient resources be available to execute these plans. In the unlikely event that a major spill or leak occurs, Chevron also maintains a Worldwide Emergency Response Team comprised of employees who are trained in various aspects of emergency response, including post-incident remediation.</w:t>
      </w:r>
    </w:p>
    <w:p>
      <w:pPr>
        <w:spacing w:after="0" w:line="5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To complement the company’s capabilities, Chevron maintains active membership in international oil spill response cooperatives, including the Marine Spill Response Corporation, which operates in U.S. territorial waters, and Oil Spill Response, Ltd., which operates globally. The company is a founding member of the Marine Well Containment Company, whose primary mission is to expediently deploy containment equipment and systems to capture and contain crude oil in the unlikely event of a future loss of control of a deepwater well in the Gulf of America. In addition, the company is a member of the Subsea Well Response Project, which has the objective to further develop the industry’s capability to contain and shut in subsea well control incidents in different regions of the world.</w:t>
      </w:r>
    </w:p>
    <w:p>
      <w:pPr>
        <w:spacing w:after="0" w:line="5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 xml:space="preserve">The company aims to lower the carbon intensity of its oil and gas operations and comply with the related laws and regulations to which it is subject. Refer to </w:t>
      </w:r>
      <w:r>
        <w:rPr>
          <w:rFonts w:ascii="Times New Roman" w:cs="Times New Roman" w:eastAsia="Times New Roman" w:hAnsi="Times New Roman"/>
          <w:sz w:val="18"/>
          <w:szCs w:val="18"/>
          <w:u w:val="single" w:color="auto"/>
          <w:color w:val="0000FF"/>
        </w:rPr>
        <w:t>Item 1A. Risk Factors</w:t>
      </w:r>
      <w:r>
        <w:rPr>
          <w:rFonts w:ascii="Times New Roman" w:cs="Times New Roman" w:eastAsia="Times New Roman" w:hAnsi="Times New Roman"/>
          <w:sz w:val="18"/>
          <w:szCs w:val="18"/>
          <w:color w:val="auto"/>
        </w:rPr>
        <w:t xml:space="preserve"> for further discussion of government action with respect to greenhouse gas and climate change and the associated risks to Chevron’s business. Refer to Management’s Discussion and Analysis of Financial Conditions and Results of Operations </w:t>
      </w:r>
      <w:r>
        <w:rPr>
          <w:rFonts w:ascii="Times New Roman" w:cs="Times New Roman" w:eastAsia="Times New Roman" w:hAnsi="Times New Roman"/>
          <w:sz w:val="18"/>
          <w:szCs w:val="18"/>
          <w:u w:val="single" w:color="auto"/>
          <w:color w:val="0000FF"/>
        </w:rPr>
        <w:t>Business Environment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Outlook</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on pages 35 through 37 for further discussion of climate change related trends and uncertainties.</w:t>
      </w:r>
    </w:p>
    <w:p>
      <w:pPr>
        <w:spacing w:after="0" w:line="5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u w:val="single" w:color="auto"/>
          <w:color w:val="0000FF"/>
        </w:rPr>
        <w:t>Management’s Discussion and Analysis of Financial Conditions and Results of Operations</w:t>
      </w:r>
      <w:r>
        <w:rPr>
          <w:rFonts w:ascii="Times New Roman" w:cs="Times New Roman" w:eastAsia="Times New Roman" w:hAnsi="Times New Roman"/>
          <w:sz w:val="18"/>
          <w:szCs w:val="18"/>
          <w:color w:val="auto"/>
        </w:rPr>
        <w:t xml:space="preserve"> on pages 55 through 56 for additional information on environmental matters and their impact on Chevron, and on the company’s 2024 environmental expenditures. Refer to page 54 through 55 and </w:t>
      </w:r>
      <w:r>
        <w:rPr>
          <w:rFonts w:ascii="Times New Roman" w:cs="Times New Roman" w:eastAsia="Times New Roman" w:hAnsi="Times New Roman"/>
          <w:sz w:val="18"/>
          <w:szCs w:val="18"/>
          <w:u w:val="single" w:color="auto"/>
          <w:color w:val="0000FF"/>
        </w:rPr>
        <w:t>Note 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Other Contingencies and Commitments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a discussion of environmental remediation provisions and year-end reserves.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Item 1A. Risk Factors</w:t>
      </w:r>
    </w:p>
    <w:p>
      <w:pPr>
        <w:spacing w:after="0" w:line="118"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As a global energy company, Chevron is subject to a variety of risks that could materially impact the company’s results of operations and financial condition.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026DCE"/>
        </w:rPr>
        <w:t>BUSINESS AND OPERATIONAL RISK FACTORS</w:t>
      </w:r>
    </w:p>
    <w:p>
      <w:pPr>
        <w:spacing w:after="0" w:line="10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Chevron is exposed to the effects of changing commodity prices </w:t>
      </w:r>
      <w:r>
        <w:rPr>
          <w:rFonts w:ascii="Times New Roman" w:cs="Times New Roman" w:eastAsia="Times New Roman" w:hAnsi="Times New Roman"/>
          <w:sz w:val="18"/>
          <w:szCs w:val="18"/>
          <w:color w:val="000000"/>
        </w:rPr>
        <w:t>Chevron is primarily in a commodities business that has a history of price volatility. The</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most significant factor that affects the company’s results of operations are the prices of crude oil, natural gas, and natural gas liquids, which can be influenced by general economic conditions and level of economic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21" w:name="page22"/>
    <w:bookmarkEnd w:id="21"/>
    <w:p>
      <w:pPr>
        <w:ind w:left="10100"/>
        <w:spacing w:after="0"/>
        <w:rPr>
          <w:sz w:val="20"/>
          <w:szCs w:val="20"/>
          <w:color w:val="auto"/>
        </w:rPr>
      </w:pPr>
      <w:r>
        <w:rPr>
          <w:rFonts w:ascii="Arial" w:cs="Arial" w:eastAsia="Arial" w:hAnsi="Arial"/>
          <w:sz w:val="14"/>
          <w:szCs w:val="14"/>
          <w:color w:val="0077C0"/>
        </w:rPr>
        <w:t>Table of Contents</w:t>
      </w:r>
    </w:p>
    <w:p>
      <w:pPr>
        <w:spacing w:after="0" w:line="200" w:lineRule="exact"/>
        <w:rPr>
          <w:sz w:val="20"/>
          <w:szCs w:val="20"/>
          <w:color w:val="auto"/>
        </w:rPr>
      </w:pPr>
    </w:p>
    <w:p>
      <w:pPr>
        <w:spacing w:after="0" w:line="3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growth, including low or negative growth; industry production and inventory levels; technology advancements, including those in pursuit of a lower carbon economy; production quotas or other actions that might be imposed by the Organization of Petroleum Exporting Countries or other producers; weather-related damage and disruptions due to other natural or human causes beyond our control; competing fuel prices; geopolitical risks; the pace of energy transition; customer and consumer preferences and the use of substitutes; and governmental regulations, policies and other actions regarding the development of oil and gas reserves, as well as greenhouse gas emissions and climate change. Chevron evaluates the risk of changing commodity prices as a core part of its business planning process. An investment in the company carries significant exposure to fluctuations in global prices of crude oil, natural gas, and natural gas liquids.</w:t>
      </w:r>
    </w:p>
    <w:p>
      <w:pPr>
        <w:spacing w:after="0" w:line="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Extended periods of low prices for crude oil, natural gas, and natural gas liquids can have a material adverse impact on the company’s results of operations, financial condition and liquidity. Among other things, the company’s upstream earnings, cash flows, and capital expenditure programs could be negatively affected, as could its production and proved reserves. Upstream assets may also become impaired. Downstream earnings could be negatively affected because they depend upon the supply and demand for refined products and the associated margins on refined product sales. A significant or sustained decline in liquidity could adversely affect the company’s credit ratings, potentially increase financing costs and reduce access to capital markets. The company may be unable to realize anticipated cost savings, expenditure reductions and asset sales that are intended to compensate for such downturns, and such downturns may also slow the pace and scale at which we are able to invest in our business, including our Chevron New Energies organization. In some cases, transferred liabilities, including for decommissioning of previously divested assets, have returned and may continue to return to the company when an acquirer of those assets subsequently defaults on the assumed transferred liabilities (e.g., bankruptcy). In addition, extended periods of low commodity prices can have a material adverse impact on the results of operations, financial condition and liquidity of the company’s suppliers, vendors, partners and equity affiliates upon which the company’s own results of operations and financial condition depend.</w:t>
      </w:r>
    </w:p>
    <w:p>
      <w:pPr>
        <w:spacing w:after="0" w:line="5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The scope of Chevron’s business will decline if the company does not successfully develop resources </w:t>
      </w:r>
      <w:r>
        <w:rPr>
          <w:rFonts w:ascii="Times New Roman" w:cs="Times New Roman" w:eastAsia="Times New Roman" w:hAnsi="Times New Roman"/>
          <w:sz w:val="18"/>
          <w:szCs w:val="18"/>
          <w:color w:val="000000"/>
        </w:rPr>
        <w:t>The company is in an extractive business; therefore,</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if it is not successful in replacing the crude oil and natural gas it produces with good prospects for future organic opportunities or through acquisitions, exploration or technology, the company’s business will decline. Creating and maintaining an inventory of economic projects depends on many factors, including obtaining and renewing rights to explore, develop and produce hydrocarbons; drilling success; reservoir optimization; technology advancements; ability to bring long-lead-time, capital-intensive projects to completion on budget and on schedule; partner alignment, including strategic support; and efficient and profitable operation of mature properties.</w:t>
      </w:r>
    </w:p>
    <w:p>
      <w:pPr>
        <w:spacing w:after="0" w:line="6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The company’s operations could be disrupted by natural or human causes beyond its control </w:t>
      </w:r>
      <w:r>
        <w:rPr>
          <w:rFonts w:ascii="Times New Roman" w:cs="Times New Roman" w:eastAsia="Times New Roman" w:hAnsi="Times New Roman"/>
          <w:sz w:val="18"/>
          <w:szCs w:val="18"/>
          <w:color w:val="000000"/>
        </w:rPr>
        <w:t>Chevron operates in both urban areas and remote and</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sometimes inhospitable regions. The company’s operations are therefore subject to disruption from natural or human causes beyond its control, including risks from hurricanes, severe storms, floods, heat waves, and other forms of severe weather; wildfires; ambient temperature increases; sea level rise; war or other military conflicts such as the conflict in the Middle East and the military conflict between Russia and Ukraine; accidents; civil unrest; political events; fires; earthquakes; system failures; cyber threats; terrorist acts; and epidemic or pandemic diseases, some of which may be impacted by climate change and any of which could result in suspension of operations or harm to people or the natural environment.</w:t>
      </w:r>
    </w:p>
    <w:p>
      <w:pPr>
        <w:spacing w:after="0" w:line="5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Chevron’s risk management systems are designed to assess potential physical and other risks to its operations and assets and to plan for their resiliency. While capital investment reviews and decisions incorporate potential ranges of physical risks such as storm severity and frequency, sea level rise, air and water temperature, precipitation, fresh water access, wind speed, and earthquake severity, among other factors, it is difficult to predict with certainty the timing, frequency or severity of such events, any of which could have a material adverse effect on the company's results of operations or financial condition.</w:t>
      </w:r>
    </w:p>
    <w:p>
      <w:pPr>
        <w:spacing w:after="0" w:line="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Cyberattacks and events affecting Chevron’s operational technology networks or other digital infrastructure could have a material adverse impact on the company’s business and results of operations </w:t>
      </w:r>
      <w:r>
        <w:rPr>
          <w:rFonts w:ascii="Times New Roman" w:cs="Times New Roman" w:eastAsia="Times New Roman" w:hAnsi="Times New Roman"/>
          <w:sz w:val="18"/>
          <w:szCs w:val="18"/>
          <w:color w:val="000000"/>
        </w:rPr>
        <w:t>There are numerous and evolving risks to Chevron’s cybersecurity and privacy from cyber threat actors,</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including criminal hackers, state-sponsored intrusions, industrial espionage and employee malfeasance. These cyber threat actors, whether internal or external to Chevron, are becoming more sophisticated and coordinated in their attempts to access the company’s information technology (IT) systems and data, including the IT systems of cloud providers and other third parties with whom the company conducts business through, without limitation, malicious software; data breaches by employees, insiders or others with authorized access; cyber or phishing-attacks; ransomware; attempts to gain unauthorized access to our data and systems; and other electronic security breaches. The cyber risk landscape changes over time due to a variety of internal and external factors,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22" w:name="page23"/>
    <w:bookmarkEnd w:id="22"/>
    <w:p>
      <w:pPr>
        <w:ind w:left="10100"/>
        <w:spacing w:after="0"/>
        <w:rPr>
          <w:sz w:val="20"/>
          <w:szCs w:val="20"/>
          <w:color w:val="auto"/>
        </w:rPr>
      </w:pPr>
      <w:r>
        <w:rPr>
          <w:rFonts w:ascii="Arial" w:cs="Arial" w:eastAsia="Arial" w:hAnsi="Arial"/>
          <w:sz w:val="14"/>
          <w:szCs w:val="14"/>
          <w:color w:val="0077C0"/>
        </w:rPr>
        <w:t>Table of Contents</w:t>
      </w:r>
    </w:p>
    <w:p>
      <w:pPr>
        <w:spacing w:after="0" w:line="200" w:lineRule="exact"/>
        <w:rPr>
          <w:sz w:val="20"/>
          <w:szCs w:val="20"/>
          <w:color w:val="auto"/>
        </w:rPr>
      </w:pPr>
    </w:p>
    <w:p>
      <w:pPr>
        <w:spacing w:after="0" w:line="3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including during organizational changes, relocating work to international geographies, or other corporate transactions; political tensions; war or other military conflicts; or civil unrest. Although Chevron devotes significant resources to prevent unwanted intrusions and to protect its systems and data, whether such data is housed internally or by external third parties, the company has experienced and will continue to experience cyber incidents of varying degrees in the conduct of its business. Cyber threat actors could compromise the company’s operational technology networks or other critical systems and infrastructure, resulting in disruptions to its business operations, injury to people, harm to the environment or its assets, disruptions in access to its financial reporting systems, or loss, misuse or corruption of its critical data and proprietary information, including without limitation its intellectual property and business information and that of its employees, customers, partners and other third parties. Any of the foregoing can be exacerbated by a delay or failure to detect a cyber incident or the full extent of such incident. Further, the company is increasingly experiencing cyber incidents related to its third-party vendors. Some third-party vendors house the company’s critical data and proprietary information on their IT systems, including the cloud; others have access to Chevron’s IT systems or provide software through which threat actors could gain access or introduce malware to Chevron’s IT systems. Our use of third-party software, services and support may also result in unintentional, non-malicious events or outages that affect our ability to operate critical business systems. Regardless of the precise method or form, events affecting our networks or digital infrastructure could result in significant financial losses, legal or regulatory violations, reputational harm, and legal liability and could ultimately have a material adverse effect on the company’s business and results of operations.</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The company’s operations have inherent risks and hazards that require significant and continuous oversight </w:t>
      </w:r>
      <w:r>
        <w:rPr>
          <w:rFonts w:ascii="Times New Roman" w:cs="Times New Roman" w:eastAsia="Times New Roman" w:hAnsi="Times New Roman"/>
          <w:sz w:val="18"/>
          <w:szCs w:val="18"/>
          <w:color w:val="000000"/>
        </w:rPr>
        <w:t>Chevron’s results depend on its ability to</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identify and mitigate the risks and hazards inherent to operating in the energy industry. The company seeks to minimize these operational risks by carefully designing and building its facilities and conducting its operations in a safe and reliable manner. However, failure to manage these risks effectively could impair our ability to operate and result in unexpected incidents, including releases, explosions or mechanical failures resulting in personal injury, loss of life, environmental damage, loss of revenues, legal liability and/or disruption to operations. Chevron has implemented and maintains a system of corporate policies, standards, processes and systems, behaviors and compliance mechanisms to manage safety, health, environmental, reliability and efficiency risks; to verify compliance with applicable laws and policies; and to respond to and learn from unexpected incidents. In certain situations where Chevron is not the operator, the company may have limited influence and control over third parties, which may limit its ability to manage and control such risks.</w:t>
      </w:r>
    </w:p>
    <w:p>
      <w:pPr>
        <w:spacing w:after="0" w:line="6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The company does not insure against all potential losses, which could result in significant financial exposure </w:t>
      </w:r>
      <w:r>
        <w:rPr>
          <w:rFonts w:ascii="Times New Roman" w:cs="Times New Roman" w:eastAsia="Times New Roman" w:hAnsi="Times New Roman"/>
          <w:sz w:val="18"/>
          <w:szCs w:val="18"/>
          <w:color w:val="000000"/>
        </w:rPr>
        <w:t>The company does not have commercial</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insurance or third-party indemnities to fully cover all operational risks or potential liability in the event of a significant incident or series of incidents causing catastrophic loss. As a result, the company is, to a substantial extent, self-insured for such events. The company relies on existing liquidity, financial resources and borrowing capacity to meet short-term obligations that would arise from such an event or series of events. The occurrence of a significant incident, series of events, or unforeseen liability for which the company is self-insured, not fully insured or for which insurance recovery is significantly delayed could have a material adverse effect on the company’s results of operations or financial condition.</w:t>
      </w:r>
    </w:p>
    <w:p>
      <w:pPr>
        <w:spacing w:after="0" w:line="4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Chevron may not complete the acquisition of Hess Corporation within the time frame the company anticipates or at all, which could have adverse effects on Chevron </w:t>
      </w:r>
      <w:r>
        <w:rPr>
          <w:rFonts w:ascii="Times New Roman" w:cs="Times New Roman" w:eastAsia="Times New Roman" w:hAnsi="Times New Roman"/>
          <w:sz w:val="18"/>
          <w:szCs w:val="18"/>
          <w:color w:val="000000"/>
        </w:rPr>
        <w:t>The completion of the acquisition of Hess Corporation (Hess) is subject to a number of conditions, including approval of any Guyanese</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governmental body, agency or authority that asserts its approval is required in connection with the transaction, which makes the completion and timing of the completion of the merger uncertain.</w:t>
      </w:r>
    </w:p>
    <w:p>
      <w:pPr>
        <w:spacing w:after="0" w:line="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Hess Guyana Exploration Limited (HGEL), a wholly owned subsidiary of Hess, is currently in arbitration with respect to the right of first refusal (Stabroek ROFR) contained in an operating agreement among HGEL, affiliates of Exxon Mobil Corporation (Exxon), and China National Offshore Oil Corporation (CNOOC) regarding the Stabroek Block offshore Guyana. The arbitration merits hearing about the applicability of the Stabroek ROFR to the merger has been scheduled for May 2025, with a decision expected in approximately the following three months. If the arbitration does not result in a confirmation that the Stabroek ROFR is inapplicable to the merger, and if Chevron, Hess, Exxon and/or CNOOC do not otherwise agree upon an acceptable resolution, then there would be a failure of a closing condition under the merger agreement, in which case the merger would not close.</w:t>
      </w:r>
    </w:p>
    <w:p>
      <w:pPr>
        <w:spacing w:after="0" w:line="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On December 7, 2023, Chevron and Hess each received a request for additional information and documentary materials (Second Request) from the Federal Trade Commission (FTC). Following the FTC review of the transaction, on September 30, 2024, the FTC announced that a majority of the Commission voted to accept a consent agreement among the FTC,</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23" w:name="page24"/>
    <w:bookmarkEnd w:id="23"/>
    <w:p>
      <w:pPr>
        <w:ind w:left="10100"/>
        <w:spacing w:after="0"/>
        <w:rPr>
          <w:sz w:val="20"/>
          <w:szCs w:val="20"/>
          <w:color w:val="auto"/>
        </w:rPr>
      </w:pPr>
      <w:r>
        <w:rPr>
          <w:rFonts w:ascii="Arial" w:cs="Arial" w:eastAsia="Arial" w:hAnsi="Arial"/>
          <w:sz w:val="14"/>
          <w:szCs w:val="14"/>
          <w:color w:val="0077C0"/>
        </w:rPr>
        <w:t>Table of Contents</w:t>
      </w:r>
    </w:p>
    <w:p>
      <w:pPr>
        <w:spacing w:after="0" w:line="200" w:lineRule="exact"/>
        <w:rPr>
          <w:sz w:val="20"/>
          <w:szCs w:val="20"/>
          <w:color w:val="auto"/>
        </w:rPr>
      </w:pPr>
    </w:p>
    <w:p>
      <w:pPr>
        <w:spacing w:after="0" w:line="3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Chevron and Hess, resolving the concerns the FTC identified during its review of the transaction. Chevron and Hess have taken and will continue to take appropriate steps to maintain our ability under the Hart-Scott-Rodino Act of 1976, as amended, to close the merger following satisfactory resolution of the ongoing arbitration proceedings regarding preemptive rights in the Stabroek Block joint operating agreement. Additionally, if any Guyanese governmental body, agency or authority of competent jurisdiction asserts that its approval is required as a result of the consequences of the merger in Guyana on Hess’ assets in Guyana (which has not occurred as of the filing date of this report), approval of such governmental body, agency or authority will become a condition to each party’s obligation to complete the merger.</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failure to satisfy all of the required conditions could delay the completion of the acquisition for a significant period of time or prevent it from occurring at all. A failure to complete the acquisition would mean that we will not realize the anticipated benefits of the transaction. In addition, the terms and conditions of the required regulatory authorizations and consents for the acquisition that are granted, if any, may impose requirements, limitations or costs or place restrictions on the conduct of the company’s business after the transaction or materially delay the completion of the acquisition. A delay in completing the acquisition could cause the company to realize some or all of the benefits later than we otherwise expect to realize them if the acquisition is successfully completed within the anticipated timeframe, which could result in additional transaction costs or in other negative effects associated with uncertainty about completion of the acquisition.</w:t>
      </w:r>
    </w:p>
    <w:p>
      <w:pPr>
        <w:spacing w:after="0" w:line="5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Acquisitions may cause Chevron’s financial results to differ from the company’s expectations or the expectations of the investment community, the company may not achieve the anticipated benefits of the acquisition, and the acquisition may disrupt the company’s current plans or operations </w:t>
      </w:r>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success of the pending acquisition of Hess will depend, in part, on Chevron’s ability to successfully integrate the business of Hess and realize the anticipated benefits, including synergies. Difficulties in integrating Hess may result in the failure to realize anticipated synergies in the expected timeframes, in operational challenges, and in the diversion of management’s attention from ongoing business concerns, as well as in unforeseen expenses associated with the acquisition, which may have an adverse impact on the company’s financial results.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026DCE"/>
        </w:rPr>
        <w:t>LEGAL, REGULATORY AND ESG-RELATED RISK FACTORS</w:t>
      </w:r>
    </w:p>
    <w:p>
      <w:pPr>
        <w:spacing w:after="0" w:line="1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Chevron’s business subjects the company to liability risks from litigation or government action </w:t>
      </w:r>
      <w:r>
        <w:rPr>
          <w:rFonts w:ascii="Times New Roman" w:cs="Times New Roman" w:eastAsia="Times New Roman" w:hAnsi="Times New Roman"/>
          <w:sz w:val="18"/>
          <w:szCs w:val="18"/>
          <w:color w:val="000000"/>
        </w:rPr>
        <w:t>The company produces, transports, refines and markets</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potentially hazardous materials, and it purchases, handles and disposes of other potentially hazardous materials in the course of its business. Chevron’s operations also produce byproducts, which may be considered pollutants. Often these operations are conducted through joint ventures over which the company may have limited influence and control. Any of these activities could result in liability or significant delays in operations arising from private litigation or government action. For example, liability or delays could result from an accidental, unlawful discharge or from new conclusions about the effects of the company’s current or former operations or products on human health or the environment. In addition, to the extent that societal pressures or political or other factors are involved, it is possible that such liability could be imposed without regard to the company’s causation of or contribution to the asserted damage, or to other mitigating factors.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information concerning some of the litigation in which the company is involved, see </w:t>
      </w:r>
      <w:r>
        <w:rPr>
          <w:rFonts w:ascii="Times New Roman" w:cs="Times New Roman" w:eastAsia="Times New Roman" w:hAnsi="Times New Roman"/>
          <w:sz w:val="18"/>
          <w:szCs w:val="18"/>
          <w:u w:val="single" w:color="auto"/>
          <w:color w:val="0000FF"/>
        </w:rPr>
        <w:t>Note 16 Litigation</w:t>
      </w:r>
      <w:r>
        <w:rPr>
          <w:rFonts w:ascii="Times New Roman" w:cs="Times New Roman" w:eastAsia="Times New Roman" w:hAnsi="Times New Roman"/>
          <w:sz w:val="18"/>
          <w:szCs w:val="18"/>
          <w:color w:val="auto"/>
        </w:rPr>
        <w:t>.</w:t>
      </w:r>
    </w:p>
    <w:p>
      <w:pPr>
        <w:spacing w:after="0" w:line="10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Political instability and significant changes in the legal and regulatory environment could harm Chevron’s business </w:t>
      </w:r>
      <w:r>
        <w:rPr>
          <w:rFonts w:ascii="Times New Roman" w:cs="Times New Roman" w:eastAsia="Times New Roman" w:hAnsi="Times New Roman"/>
          <w:sz w:val="18"/>
          <w:szCs w:val="18"/>
          <w:color w:val="000000"/>
        </w:rPr>
        <w:t>The company’s operations,</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particularly exploration and production, can be affected by changing political, regulatory and economic environments in the various countries in which it operates. As has occurred in the past, actions could be taken by governments to increase public ownership of the company’s partially or wholly owned businesses, to force contract renegotiations, or to impose additional taxes, tariffs, royalties, fees, penalties or other costs. In a number of locations, including the European Union, governments have proposed or imposed restrictions on the company’s operations, trade, currency exchange controls, burdensome taxes, and public disclosure requirements that might harm the company’s competitiveness, return on investments, or relations with other governments or third parties. In other countries, political conditions have existed that may threaten the safety of employees and the company’s continued presence in those countries, and internal unrest, acts of violence or strained relations between a government and the company or other governments may adversely affect the company’s operations. Those developments have, at times, significantly affected the company’s operations and results and are carefully considered by management when evaluating the level of current and future activity in such countries. Further, Chevron is required to comply with sanctions and other trade laws and regulations of the United States and other jurisdictions where we operate, such as sanctions imposed in Venezuela and Russia, which, depending upon their scope, could adversely impact the company’s operations and financial results in these countries. In addition, litigation or changes in national, state or local environmental regulations or laws, including those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24" w:name="page25"/>
    <w:bookmarkEnd w:id="24"/>
    <w:p>
      <w:pPr>
        <w:ind w:left="10100"/>
        <w:spacing w:after="0"/>
        <w:rPr>
          <w:sz w:val="20"/>
          <w:szCs w:val="20"/>
          <w:color w:val="auto"/>
        </w:rPr>
      </w:pPr>
      <w:r>
        <w:rPr>
          <w:rFonts w:ascii="Arial" w:cs="Arial" w:eastAsia="Arial" w:hAnsi="Arial"/>
          <w:sz w:val="14"/>
          <w:szCs w:val="14"/>
          <w:color w:val="0077C0"/>
        </w:rPr>
        <w:t>Table of Contents</w:t>
      </w:r>
    </w:p>
    <w:p>
      <w:pPr>
        <w:spacing w:after="0" w:line="200" w:lineRule="exact"/>
        <w:rPr>
          <w:sz w:val="20"/>
          <w:szCs w:val="20"/>
          <w:color w:val="auto"/>
        </w:rPr>
      </w:pPr>
    </w:p>
    <w:p>
      <w:pPr>
        <w:spacing w:after="0" w:line="318"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designed to stop or impede the development or production of oil and gas, such as those related to the use of hydraulic fracturing or bans on drilling, or any law or regulation that impacts the demand for our products, could adversely affect the company’s current or anticipated future operations and profitability.</w:t>
      </w:r>
    </w:p>
    <w:p>
      <w:pPr>
        <w:spacing w:after="0" w:line="2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FF0000"/>
        </w:rPr>
        <w:t>Legislative or regulatory changes in tax laws may expose Chevron to additional tax liabilities</w:t>
      </w:r>
      <w:r>
        <w:rPr>
          <w:rFonts w:ascii="Times New Roman" w:cs="Times New Roman" w:eastAsia="Times New Roman" w:hAnsi="Times New Roman"/>
          <w:sz w:val="18"/>
          <w:szCs w:val="18"/>
          <w:b w:val="1"/>
          <w:bCs w:val="1"/>
          <w:i w:val="1"/>
          <w:iCs w:val="1"/>
          <w:color w:val="EE2724"/>
        </w:rPr>
        <w:t> </w:t>
      </w:r>
      <w:r>
        <w:rPr>
          <w:rFonts w:ascii="Times New Roman" w:cs="Times New Roman" w:eastAsia="Times New Roman" w:hAnsi="Times New Roman"/>
          <w:sz w:val="18"/>
          <w:szCs w:val="18"/>
          <w:color w:val="000000"/>
        </w:rPr>
        <w:t>Changes in tax laws and regulations around the world are</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regularly enacted due to political or economic factors beyond the company’s control. Chevron’s taxes in the jurisdictions where the company conducts business activities have been and may be adversely affected by changes in tax laws or regulations, including but not limited to, substantive changes in, reductions in, or the repeal or expiration of, tax incentives. Furthermore, Chevron’s tax returns are subject to audit by taxing authorities around the world. There is no assurance that taxing authorities or courts will agree with the positions that Chevron has reflected on the company’s tax returns, in which case interest and penalties could be imposed that may have a material adverse effect on the company’s results of operations or financial condition.</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periods of high profitability for certain companies or industries, there are often calls for increased taxes on profits, often called “windfall profit” taxes. Governments in various jurisdictions, including California and Australia, have announced, proposed, or implemented windfall profit taxes for companies operating in the energy and oil and gas sectors. Such taxes may be imposed on us or may be increased in the future in these or other jurisdictions. The imposition of, or increase in, such windfall profit taxes could adversely affect the company’s current or anticipated future operations and profitability.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information concerning the company’s tax liabilities, see </w:t>
      </w:r>
      <w:r>
        <w:rPr>
          <w:rFonts w:ascii="Times New Roman" w:cs="Times New Roman" w:eastAsia="Times New Roman" w:hAnsi="Times New Roman"/>
          <w:sz w:val="18"/>
          <w:szCs w:val="18"/>
          <w:u w:val="single" w:color="auto"/>
          <w:color w:val="0000FF"/>
        </w:rPr>
        <w:t>Note 17 Taxes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Note 24 Other Contingencies and Commitments</w:t>
      </w:r>
      <w:r>
        <w:rPr>
          <w:rFonts w:ascii="Times New Roman" w:cs="Times New Roman" w:eastAsia="Times New Roman" w:hAnsi="Times New Roman"/>
          <w:sz w:val="18"/>
          <w:szCs w:val="18"/>
          <w:color w:val="auto"/>
        </w:rPr>
        <w:t>.</w:t>
      </w:r>
    </w:p>
    <w:p>
      <w:pPr>
        <w:spacing w:after="0" w:line="1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Legislation, regulation, and other government actions and shifting customer and consumer preferences and other private efforts related to greenhouse gas (GHG) emissions and climate change could continue to increase Chevron’s operational costs and reduce demand for Chevron’s hydrocarbon and other products, resulting in a material adverse effect on the company’s results of operations and financial condition </w:t>
      </w:r>
      <w:r>
        <w:rPr>
          <w:rFonts w:ascii="Times New Roman" w:cs="Times New Roman" w:eastAsia="Times New Roman" w:hAnsi="Times New Roman"/>
          <w:sz w:val="18"/>
          <w:szCs w:val="18"/>
          <w:color w:val="000000"/>
        </w:rPr>
        <w:t>Chevron has experienced and may</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be further challenged by increases in the impacts of international and domestic legislation, regulation, or other government actions relating to GHG emissions (e.g., carbon dioxide and methane) and climate change. International agreements and national, regional, and state legislation and regulatory measures that aim to directly or indirectly limit or reduce GHG emissions are in various stages of implementation.</w:t>
      </w:r>
    </w:p>
    <w:p>
      <w:pPr>
        <w:spacing w:after="0" w:line="5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Legislation, regulation, and other government actions related to GHG emissions and climate change could reduce demand for Chevron’s hydrocarbon and other products and/or continue to increase Chevron’s operational costs and reduce its return on investment. The Paris Agreement went into effect in November 2016, and a number of countries in which we operate have adopted and may adopt additional policies intended to meet their Paris Agreement goals. Globally, multiple jurisdictions are considering adopting or are in the process of implementing laws or regulations to directly regulate GHG emissions through a carbon tax, a cap-and-trade program, performance standards or other mechanisms, or to attempt to indirectly advance reduction of GHG emissions through restrictive permitting, procurement standards, trade barriers, minimum renewable usage requirements, financing standards, standards or requirements for environmental benefit claims, increased GHG reporting and climate-related disclosure requirements, or tax advantages or other incentives to promote the use of alternative energy, fuel sources or lower-carbon technologies. For example, the company operates in jurisdictions with developing or existing programs, such as the Renewable Fuel Standard program in the U.S., California’s Cap-and-Trade Program and Low Carbon Fuel Standard, and mandates such as the California Air Resources Board Advanced Clean Cars II regulations, as well as other indirect regulation of GHG emissions, which may, among other things, ban or restrict technologies or products that use the company’s products. GHG emissions that may be directly regulated through such efforts include, among others, those associated with the company’s exploration and production of hydrocarbons; power generation; the conversion of crude oil, natural gas and biofeedstocks into refined hydrocarbon products; the processing, liquefaction, and regasification of natural gas; the transportation of crude oil, natural gas, and other products; and customers’ and consumers’ use of the company’s hydrocarbon products. In addition, the U.S. Inflation Reduction Act (IRA) implements various incentives for lower carbon activities, including carbon capture and storage and the production of hydrogen and sustainable aviation fuel. Although the IRA offers incentives that could support certain lower carbon lines of business, those same incentives could negatively impact supply and/or demand for our oil and gas products in the future or any existing or future lower carbon business lines. Many of these actions, as well as customers’ and consumers’ preferences and use of the company’s products or substitute products, and actions taken by the company’s competitors in response to legislation and regulations, are beyond the company’s control.</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25" w:name="page26"/>
    <w:bookmarkEnd w:id="25"/>
    <w:p>
      <w:pPr>
        <w:ind w:left="10100"/>
        <w:spacing w:after="0"/>
        <w:rPr>
          <w:sz w:val="20"/>
          <w:szCs w:val="20"/>
          <w:color w:val="auto"/>
        </w:rPr>
      </w:pPr>
      <w:r>
        <w:rPr>
          <w:rFonts w:ascii="Arial" w:cs="Arial" w:eastAsia="Arial" w:hAnsi="Arial"/>
          <w:sz w:val="14"/>
          <w:szCs w:val="14"/>
          <w:color w:val="0077C0"/>
        </w:rPr>
        <w:t>Table of Contents</w:t>
      </w:r>
    </w:p>
    <w:p>
      <w:pPr>
        <w:spacing w:after="0" w:line="200" w:lineRule="exact"/>
        <w:rPr>
          <w:sz w:val="20"/>
          <w:szCs w:val="20"/>
          <w:color w:val="auto"/>
        </w:rPr>
      </w:pPr>
    </w:p>
    <w:p>
      <w:pPr>
        <w:spacing w:after="0" w:line="3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Similar to any significant changes in the regulatory environment, climate change-related legislation, regulation, or other government actions may curtail profitability, as well as render the extraction of the company’s hydrocarbon resources economically infeasible. In particular, GHG emissions-related legislation, regulations, and other government actions, and shifting customer and consumer preferences and other private efforts aimed at reducing GHG emissions may result in increased and substantial capital, compliance, operating, and maintenance costs and could, among other things, reduce demand for hydrocarbons and the company’s hydrocarbon-based products; increase demand for lower carbon products and alternative energy sources; make the company’s products more expensive; adversely affect the economic feasibility of the company’s resources; impact or limit our business plans; and adversely affect the company’s sales volumes, revenues, margins and reputation. For example, some jurisdictions are in various stages of design, adoption, and implementation of policies and programs that cap emissions and/or require short-, medium-, and long-term GHG reductions by operators at the asset or facility level, which may not be technologically feasible, or which could require significant capital expenditure, increase costs of or limit production, result in impairment of assets and limit Chevron’s ability to cost-effectively reduce GHG emissions across its global portfolio. Additionally, some jurisdictions are in various stages of enacting or implementing legislation that imposes retroactive liability on estimated past GHG emissions by certain energy producers and refiners.</w:t>
      </w:r>
    </w:p>
    <w:p>
      <w:pPr>
        <w:spacing w:after="0" w:line="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ultimate effect of international agreements; national, regional, and state legislation and regulation; and government and private actions related to GHG emissions and climate change on the company’s financial performance, and the timing of these effects, will depend on a number of factors. Such factors include, among others, the sectors covered, the GHG emissions reductions required, the use of standardized carbon accounting, the extent to which Chevron would be able to receive, generate, purchase, or retire credits, the price and availability of credits and the extent to which the company is able to recover, or continue to recover, the costs incurred through the pricing of the company’s products in the competitive marketplace. Further, the ultimate impact of GHG emissions and climate change-related agreements, legislation, regulation, and government actions on the company’s financial performance is highly uncertain because the company is unable to predict with certainty, for a multitude of individual jurisdictions, the outcome of political decision-making processes and legal challenges, including the actual laws and regulations enacted, the variables and trade-offs that inevitably occur in connection with such processes, and market conditions, including the responses of consumers to such changes.</w:t>
      </w:r>
    </w:p>
    <w:p>
      <w:pPr>
        <w:spacing w:after="0" w:line="5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Attention to environmental, social, and governance (ESG) matters impacts our company </w:t>
      </w:r>
      <w:r>
        <w:rPr>
          <w:rFonts w:ascii="Times New Roman" w:cs="Times New Roman" w:eastAsia="Times New Roman" w:hAnsi="Times New Roman"/>
          <w:sz w:val="18"/>
          <w:szCs w:val="18"/>
          <w:color w:val="000000"/>
        </w:rPr>
        <w:t>Attention to ESG matters, including those related to climate</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change and sustainability, evolving societal, investor and governmental pressure on companies to address ESG matters, and potential customer and consumer use of substitutes to Chevron’s products have resulted and may continue to result in changes to the portfolio and company activities, increased costs, reduced demand for our products, reduced profits, increased investigations and litigation or threats thereof, negative impacts on our stock price and access to capital markets, impaired participation in public discourse and debate by the company relating to mandatory and voluntary standards and regulations, and damage to our reputation. For example, increasing attention to ESG matters, including climate change, has resulted and may result in the future in shifting demand for our hydrocarbon products, and have resulted in additional litigation and governmental investigations, or threats thereof, against the company. For instance, we have received investigative requests and demands from the U.S. Congress for information relating to climate change, methane leak detection and repair, and other topics, and further requests and/or demands are possible. At this time, Chevron cannot predict the ultimate impact any Congressional or other investigations may have on the company. Information related to climate-change related litigation matters is included in Note 16 Litigation under the heading “Climate Change.”</w:t>
      </w:r>
    </w:p>
    <w:p>
      <w:pPr>
        <w:spacing w:after="0" w:line="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Some stakeholders, including but not limited to sovereign wealth, pension, and endowment funds, have been divesting and promoting divestment of or screening out of fossil fuel equities and urging lenders to limit funding to companies engaged in the extraction of fossil fuel reserves. Further, voluntary carbon-related and target-setting frameworks have been developed that may limit the ability of certain sectors, including the oil and gas sector, from accessing capital, and may result in exclusion of the company’s equity or debt from being included as an investment option in portfolios. In addition, some stakeholders, including some of our investors, have divergent and evolving views on our ESG-related strategies and priorities, vis-à-vis our lines of business, calling for focus on increased production of oil and gas products rather than lower carbon business lines and climate-related targets. These circumstances, among others, may result in pressure from activists on production; unfavorable reputational impacts, including inaccurate perceptions or a misrepresentation of our actual ESG policies, practices and performance; diversion of management’s attention and resources; and proxy fights, among other material adverse impacts on our businesses.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26" w:name="page27"/>
    <w:bookmarkEnd w:id="26"/>
    <w:p>
      <w:pPr>
        <w:ind w:left="10100"/>
        <w:spacing w:after="0"/>
        <w:rPr>
          <w:sz w:val="20"/>
          <w:szCs w:val="20"/>
          <w:color w:val="auto"/>
        </w:rPr>
      </w:pPr>
      <w:r>
        <w:rPr>
          <w:rFonts w:ascii="Arial" w:cs="Arial" w:eastAsia="Arial" w:hAnsi="Arial"/>
          <w:sz w:val="14"/>
          <w:szCs w:val="14"/>
          <w:color w:val="0077C0"/>
        </w:rPr>
        <w:t>Table of Contents</w:t>
      </w:r>
    </w:p>
    <w:p>
      <w:pPr>
        <w:spacing w:after="0" w:line="200" w:lineRule="exact"/>
        <w:rPr>
          <w:sz w:val="20"/>
          <w:szCs w:val="20"/>
          <w:color w:val="auto"/>
        </w:rPr>
      </w:pPr>
    </w:p>
    <w:p>
      <w:pPr>
        <w:spacing w:after="0" w:line="3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organizations that provide information to investors on corporate governance and related matters have developed ratings processes for evaluating companies on their approach to ESG matters, including climate change and climate-related risks (including entities commonly referred to as “raters and rankers”). Such ratings are used by some investors to inform their investment and voting decisions. Unfavorable ESG ratings and investment community divestment initiatives, among other actions, may lead to negative investor sentiment toward Chevron and to the diversion of investment to other industries, which could have a negative impact on our stock price and our access to and costs of capital. Additionally, evolving expectations on various ESG matters, including human rights, biodiversity, waste and water, have increased, and may continue to increase costs, require changes in how we operate and lead to negative stakeholder sentiment.</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Our ambitions and disclosures related to ESG matters subject us to numerous risks that may negatively impact our reputation and stock price or result in other material adverse impacts to the company </w:t>
      </w:r>
      <w:r>
        <w:rPr>
          <w:rFonts w:ascii="Times New Roman" w:cs="Times New Roman" w:eastAsia="Times New Roman" w:hAnsi="Times New Roman"/>
          <w:sz w:val="18"/>
          <w:szCs w:val="18"/>
          <w:color w:val="000000"/>
        </w:rPr>
        <w:t>Chevron has set a number of lower carbon-related ambitions, which may include aspirations, targets,</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guidance, objectives, metrics, and/or goals. In particular, Chevron has announced an aspiration to achieve net zero Scope 1 and 2 emissions in upstream by 2050. The company also has set nearer-term GHG emission-related targets for upstream carbon intensity and portfolio carbon intensity. Chevron regularly evaluates its ambitions and expects to change or eliminate some of these aspirations, targets, and other ambitions for various reasons, including market conditions; its strategy or portfolio; and financial, operational, policy, reputational, legal and other factors.</w:t>
      </w:r>
    </w:p>
    <w:p>
      <w:pPr>
        <w:spacing w:after="0" w:line="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Our ability to achieve any ambition, including with respect to climate-related initiatives, including those outlined in the Management’s Discussion and Analysis of Financial Condition and Results of Operations, pages 35 through 37, and any new businesses, is subject to numerous risks and contingencies, many of which are outside of Chevron’s control. Examples of such risks and contingencies include: (1) sufficient and substantial advances in technology, including the continuing progress of commercially viable technologies and low- or non-carbon-based energy sources; (2) laws, governmental regulation, policies, and other enabling actions, including those regarding subsidies, tax and other incentives as well as the granting of necessary permits by governing authorities; (3) the availability and acceptability of cost-effective, verifiable carbon credits; (4) the availability of suppliers that can meet our sustainability-related standards; (5) evolving regulatory requirements, including changes to IPCC’s Global Warming Potentials and the United States Environmental Protection Agency (U.S. EPA) Greenhouse Gas Reporting Program, affecting ESG standards or disclosures; (6) evolving standards for tracking and reporting on emissions and emission reductions and removals; (7) customers’ and consumers’ preferences and use of the company’s products or substitute products; (8) actions taken by the company’s competitors in response to legislation and regulations; and (9) successful negotiations for carbon capture and storage and nature-based solutions with customers, suppliers, partners, and governments.</w:t>
      </w:r>
    </w:p>
    <w:p>
      <w:pPr>
        <w:spacing w:after="0" w:line="7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standards and regulations for tracking, reporting, disclosing, marketing and advertising related to ESG matters are relatively new, have not been harmonized and continue to evolve. Further, our selection of disclosure frameworks that seek to align with various voluntary reporting standards may change from time to time. Either of these circumstances may result in a lack of comparative data from period to period.</w:t>
      </w:r>
    </w:p>
    <w:p>
      <w:pPr>
        <w:spacing w:after="0" w:line="4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Our existing processes and controls may not align with evolving voluntary and mandatory standards for identifying, measuring, and reporting ESG metrics. Our interpretation of reporting standards may differ from those of others, and such standards may change over time, including through non-public processes, any of which could result in significant revisions to our goals or reported progress in achieving such goals. For example, Chevron’s methane intensity target is calculated based on Compendium of Greenhouse Gas Emissions Methodologies for the Oil and Natural Gas Industry (2021), which requires use of local regulatory reporting methodologies where applicable. The U.S. EPA has adopted notable changes to reporting methodologies in its Greenhouse Gas Reporting Program (40 C.F.R. Part 98.230), which are applicable to Chevron’s U.S. operations. We expect these adopted changes may increase our reported emissions in future years, and therefore, increase our reported methane intensity. In addition, Chevron participates, along with other companies, institutes, universities, trade associations and other organizations, in various initiatives, campaigns, and other projects that express various ambitions, aspirations and goals related to climate change, emissions and energy transition. Chevron’s individual ambitions, future performance or policies may differ from the ambitions of such organizations or the individual ambitions of other participants in these various initiatives, campaigns, and other projects, and Chevron may unilaterally change its individual ambitions. Achievement of or efforts to achieve ambitions such as the foregoing and future internal climate-related initiatives has, and may continue to, increase costs, and, in addition, may require purchase of carbon credits, or limit or impact the company’s business plans, operations and financial results, potentially resulting in reduction to the economic end-of-life of certain assets, impairing the associated net book value, among other material adverse impacts. Our failure or</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27" w:name="page28"/>
    <w:bookmarkEnd w:id="27"/>
    <w:p>
      <w:pPr>
        <w:ind w:left="10100"/>
        <w:spacing w:after="0"/>
        <w:rPr>
          <w:sz w:val="20"/>
          <w:szCs w:val="20"/>
          <w:color w:val="auto"/>
        </w:rPr>
      </w:pPr>
      <w:r>
        <w:rPr>
          <w:rFonts w:ascii="Arial" w:cs="Arial" w:eastAsia="Arial" w:hAnsi="Arial"/>
          <w:sz w:val="14"/>
          <w:szCs w:val="14"/>
          <w:color w:val="0077C0"/>
        </w:rPr>
        <w:t>Table of Contents</w:t>
      </w:r>
    </w:p>
    <w:p>
      <w:pPr>
        <w:spacing w:after="0" w:line="200" w:lineRule="exact"/>
        <w:rPr>
          <w:sz w:val="20"/>
          <w:szCs w:val="20"/>
          <w:color w:val="auto"/>
        </w:rPr>
      </w:pPr>
    </w:p>
    <w:p>
      <w:pPr>
        <w:spacing w:after="0" w:line="31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perceived failure to pursue or fulfill such ambitions within the timelines we announce, or at all, or to satisfy various reporting standards and regulations could have a negative impact on the company’s reputation, investor sentiment, ratings outcomes for evaluating the company’s approach to ESG matters, stock price, and cost of capital and expose us to government enforcement actions and private litigation, among other material adverse impacts.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026DCE"/>
        </w:rPr>
        <w:t>GENERAL RISK FACTORS</w:t>
      </w:r>
    </w:p>
    <w:p>
      <w:pPr>
        <w:spacing w:after="0" w:line="1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Changes in management’s estimates and assumptions may have a material impact on the company’s consolidated financial statements and financial or operational performance in any given period </w:t>
      </w:r>
      <w:r>
        <w:rPr>
          <w:rFonts w:ascii="Times New Roman" w:cs="Times New Roman" w:eastAsia="Times New Roman" w:hAnsi="Times New Roman"/>
          <w:sz w:val="18"/>
          <w:szCs w:val="18"/>
          <w:color w:val="000000"/>
        </w:rPr>
        <w:t>In preparing the company’s periodic reports under the Securities Exchange Act of 1934, including its</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financial statements, Chevron’s management is required under applicable rules and regulations to make estimates and assumptions as of a specified date. These estimates and assumptions are based on management’s best estimates and experience as of that date and are subject to substantial risk and uncertainty. Materially different results may occur as circumstances change and additional information becomes known. Areas requiring significant estimates and assumptions by management include impairments to property, plant and equipment and investments in affiliates; estimates of crude oil and natural gas recoverable reserves; accruals for estimated liabilities, including litigation reserves; estimates for decommissioning obligations, including for previously divested assets; and measurement of benefit obligations for pension and other post-employment benefit plans. Changes in estimates or assumptions or the information underlying the assumptions, such as changes in the company’s business plans, general market conditions, the pace of energy transition, or changes in the company’s outlook on commodity prices, could affect reported amounts of assets, liabilities or expenses.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Item 1B. Unresolved Staff Comments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Item 1C. Cybersecurity</w:t>
      </w:r>
    </w:p>
    <w:p>
      <w:pPr>
        <w:spacing w:after="0" w:line="1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Chevron’s business and proprietary information, information technology (IT) and operational technology (OT) networks are essential to its success. The company’s cybersecurity program is designed to protect its information assets and operations from external and internal cyber threats by identifying and appropriately managing and mitigating risks while ensuring business resiliency. This program is integrated within the company’s Enterprise Risk Management (ERM) process, which is the company’s systematic approach to identifying, managing and assessing major risks and safeguards, including cybersecurity risks. Chevron uses a risk-based information security process aligned with the National Institute of Standards and Technology (NIST) Cybersecurity Framework to identify, prioritize and mitigate cyber risks.</w:t>
      </w:r>
    </w:p>
    <w:p>
      <w:pPr>
        <w:spacing w:after="0" w:line="5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The company’s worldwide team of cybersecurity professionals undertakes a range of preemptive activities to protect its people, assets and reputation globally. The company also leverages internal and external resources to monitor cybersecurity threats to its systems and networks and to understand the broader threat environment. The company seeks to remove exploitable weaknesses in its systems or devices before they become a threat. Chevron security experts use automated threat intelligence feeds to increase vulnerability awareness, taking action to mitigate the highest risks. The company’s cybersecurity guardrails, which are high-level design requirements expected to be built into any new digital solutions being deployed, are also updated on an ongoing basis to align with changes in industry standards and the evolving threat environment.</w:t>
      </w:r>
    </w:p>
    <w:p>
      <w:pPr>
        <w:spacing w:after="0" w:line="53" w:lineRule="exact"/>
        <w:rPr>
          <w:sz w:val="20"/>
          <w:szCs w:val="20"/>
          <w:color w:val="auto"/>
        </w:rPr>
      </w:pPr>
    </w:p>
    <w:p>
      <w:pPr>
        <w:jc w:val="both"/>
        <w:ind w:hanging="17"/>
        <w:spacing w:after="0" w:line="270" w:lineRule="auto"/>
        <w:rPr>
          <w:sz w:val="20"/>
          <w:szCs w:val="20"/>
          <w:color w:val="auto"/>
        </w:rPr>
      </w:pPr>
      <w:r>
        <w:rPr>
          <w:rFonts w:ascii="Times New Roman" w:cs="Times New Roman" w:eastAsia="Times New Roman" w:hAnsi="Times New Roman"/>
          <w:sz w:val="18"/>
          <w:szCs w:val="18"/>
          <w:color w:val="auto"/>
        </w:rPr>
        <w:t>Chevron’s cyber risk management process includes testing and risk assessments of technologies, third-party suppliers, and its IT and OT networks. These assessments ensure that our focus is on the highest priorities to maintain the security of our company’s assets. To further protect the company’s systems and data, Chevron’s cybersecurity organization has threat intelligence capabilities to monitor security breaches impacting third-party suppliers. As third-party risks increase, the company’s approach to third-party supplier risk management and qualification continues to evolve, including the ongoing expansion of its current supplier risk management program beyond IT vendors to other high-risk, third-party vendors.</w:t>
      </w:r>
    </w:p>
    <w:p>
      <w:pPr>
        <w:spacing w:after="0" w:line="5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Chevron’s Chief Information Officer (CIO) oversees Chevron’s broader IT program, which includes the company’s cybersecurity program and its ability to remediate and recover from a cybersecurity incident to minimize business and operational impacts. Chevron’s CIO joined Chevron in 2024, bringing more than 20 years of experience leading global innovation initiatives in digital, data, full supply chains, vehicle commerce, energy, and IT operations for technology and automotive companies. Chevron’s Chief Information Security Officer (CISO) reports to the CIO and leads a global cybersecurity team.</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28" w:name="page29"/>
    <w:bookmarkEnd w:id="28"/>
    <w:p>
      <w:pPr>
        <w:ind w:left="10100"/>
        <w:spacing w:after="0"/>
        <w:rPr>
          <w:sz w:val="20"/>
          <w:szCs w:val="20"/>
          <w:color w:val="auto"/>
        </w:rPr>
      </w:pPr>
      <w:r>
        <w:rPr>
          <w:rFonts w:ascii="Arial" w:cs="Arial" w:eastAsia="Arial" w:hAnsi="Arial"/>
          <w:sz w:val="14"/>
          <w:szCs w:val="14"/>
          <w:color w:val="0077C0"/>
        </w:rPr>
        <w:t>Table of Contents</w:t>
      </w:r>
    </w:p>
    <w:p>
      <w:pPr>
        <w:spacing w:after="0" w:line="200" w:lineRule="exact"/>
        <w:rPr>
          <w:sz w:val="20"/>
          <w:szCs w:val="20"/>
          <w:color w:val="auto"/>
        </w:rPr>
      </w:pPr>
    </w:p>
    <w:p>
      <w:pPr>
        <w:spacing w:after="0" w:line="3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Chevron operates four Cyber Intelligence Centers around the world, some co-located with critical assets, with cyber professionals who monitor and respond to cyber threats 24 hours a day, 365 days a year, to limit the scope and impact of cyber incidents in its networks. The cybersecurity organization provides the IT leadership, which includes Chevron’s CIO, with regular cybersecurity operations reports detailing prevention, detection, mitigation and remediation efforts associated with cyber incidents, both on Chevron’s networks and third-party supplier networks. The leadership of the cybersecurity organization has authority to mobilize a cross-functional cyber incident response team, including outside cybersecurity experts, to drive mitigation and remediation actions. Status updates on incidents are provided to senior management and to the Board, as appropriate.</w:t>
      </w:r>
    </w:p>
    <w:p>
      <w:pPr>
        <w:spacing w:after="0" w:line="6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company’s dedicated cyber risk organization meets regularly with business units to raise cyber risk awareness and keep diverse cybersecurity skill sets connected across the enterprise. Chevron has invested in broad cybersecurity awareness and required training to educate those with access to Chevron’s networks on company policy and best practices. The company conducts regular phishing tests to train and assess its workforce’s ability to identify malicious emails.</w:t>
      </w:r>
    </w:p>
    <w:p>
      <w:pPr>
        <w:spacing w:after="0" w:line="5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Chevron’s Corporate Audit Department has a dedicated team responsible for IT and information security (including cybersecurity) audits. Chevron also leverages external resources to reinforce its cybersecurity capabilities. On a regular basis, external consultants provide a maturity assessment of the company’s cybersecurity program.</w:t>
      </w:r>
    </w:p>
    <w:p>
      <w:pPr>
        <w:spacing w:after="0" w:line="6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company’s approach to managing risks, including cybersecurity risks, is embedded within the enterprise Operational Excellence (OE) Management System (OEMS). The OEMS provides a systematic process that enables the company to manage risk and implement safeguards and foster a culture of learning across different focus areas for Chevron’s business, including cybersecurity. The company’s Business Continuity Planning OE Process, a component of the OEMS, is designed to prepare Chevron to continue operations during an unplanned event or disruption, which aligns with its OE objective to prevent high-consequence security and cybersecurity incidents. Chevron works to identify critical business processes and dependent IT applications and document the processes for continuing operations without IT systems. Cross-functional teams also conduct regular multidisciplinary exercises to test and improve response plans.</w:t>
      </w:r>
    </w:p>
    <w:p>
      <w:pPr>
        <w:spacing w:after="0" w:line="7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Board provides oversight of Chevron’s cybersecurity program, receives reports from management on cybersecurity risks in connection with Chevron’s operations and projects, and also reviews cybersecurity risks as part of the company’s broader annual ERM process. In support of the Board’s oversight of the company’s policies and processes with respect to risk management and the company’s major financial risk exposures, including cybersecurity, the Audit Committee meets with Chevron’s CISO and CIO at least twice a year to review cybersecurity risks and implications, including the results of independent third-party assessments. The CISO and CIO present cybersecurity matters to the Board of Directors at least annually. The CISO and CIO also provide new Board members with a cybersecurity briefing as part of the onboarding process.</w:t>
      </w:r>
    </w:p>
    <w:p>
      <w:pPr>
        <w:spacing w:after="0" w:line="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To date, the company has not experienced a cybersecurity threat or incident that has materially affected or is reasonably likely to materially affect the company, including its business strategy, results of operations or financial condition; however, the company has experienced and will continue to experience cyber incidents of varying degrees. Despite the cybersecurity measures that the company is taking to mitigate such risks, there can be no guarantee that such measures will be sufficient to protect the company’s systems, information, intellectual property and other assets from significant harm and that future cybersecurity incidents will not have a material adverse effect on the company or its results of operations or financial condition or cause reputational or other harm to the company. Refer to </w:t>
      </w:r>
      <w:r>
        <w:rPr>
          <w:rFonts w:ascii="Times New Roman" w:cs="Times New Roman" w:eastAsia="Times New Roman" w:hAnsi="Times New Roman"/>
          <w:sz w:val="18"/>
          <w:szCs w:val="18"/>
          <w:u w:val="single" w:color="auto"/>
          <w:color w:val="0000FF"/>
        </w:rPr>
        <w:t>Item 1A. Risk Factors</w:t>
      </w:r>
      <w:r>
        <w:rPr>
          <w:rFonts w:ascii="Times New Roman" w:cs="Times New Roman" w:eastAsia="Times New Roman" w:hAnsi="Times New Roman"/>
          <w:sz w:val="18"/>
          <w:szCs w:val="18"/>
          <w:color w:val="auto"/>
        </w:rPr>
        <w:t xml:space="preserve"> on pages 21 through 22 for further discussion of cyberattacks and the associated risks to Chevron’s business.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Item 2. Properties</w:t>
      </w:r>
    </w:p>
    <w:p>
      <w:pPr>
        <w:spacing w:after="0" w:line="1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 xml:space="preserve">The location and character of the company’s crude oil and natural gas properties and its refining, marketing, transportation, and chemicals facilities are described beginning on page 3 under Item 1. Business. Information required by Subpart 1200 of Regulation S-K (“Disclosure by Registrants Engaged in Oil and Gas Producing Activities”) is also contained in Item 1 and in Tables I through VII on pages 104 through 114 and </w:t>
      </w:r>
      <w:r>
        <w:rPr>
          <w:rFonts w:ascii="Times New Roman" w:cs="Times New Roman" w:eastAsia="Times New Roman" w:hAnsi="Times New Roman"/>
          <w:sz w:val="18"/>
          <w:szCs w:val="18"/>
          <w:u w:val="single" w:color="auto"/>
          <w:color w:val="0000FF"/>
        </w:rPr>
        <w:t>Note 18 Properties, Plant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Equipment</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29" w:name="page30"/>
    <w:bookmarkEnd w:id="29"/>
    <w:p>
      <w:pPr>
        <w:ind w:left="10100"/>
        <w:spacing w:after="0"/>
        <w:rPr>
          <w:sz w:val="20"/>
          <w:szCs w:val="20"/>
          <w:color w:val="auto"/>
        </w:rPr>
      </w:pPr>
      <w:r>
        <w:rPr>
          <w:rFonts w:ascii="Arial" w:cs="Arial" w:eastAsia="Arial" w:hAnsi="Arial"/>
          <w:sz w:val="14"/>
          <w:szCs w:val="14"/>
          <w:color w:val="0077C0"/>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Item 3. Legal Proceedings</w:t>
      </w:r>
    </w:p>
    <w:p>
      <w:pPr>
        <w:spacing w:after="0" w:line="10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following is a description of legal proceedings that involve governmental authorities as a party and the company reasonably believes would result in $1.0 million or more of monetary sanctions, exclusive of interest and costs, under federal, state and local laws that have been enacted or adopted regulating the discharge of materials into the environment or primarily for the purpose of protecting the environment.</w:t>
      </w:r>
    </w:p>
    <w:p>
      <w:pPr>
        <w:spacing w:after="0" w:line="4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previously disclosed, on May 20, 2024, the New Mexico Environment Department issued a Notice of Violation (NOV) to Chevron for alleged violations of state and federal regulations of air quality between October 2022 and September 2023 at different Chevron facilities in New Mexico. Resolution of the alleged violations may result in the payment of a civil penalty of $1.0 million or more.</w:t>
      </w:r>
    </w:p>
    <w:p>
      <w:pPr>
        <w:spacing w:after="0" w:line="6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May 26, 2023, Chevron’s refinery in El Segundo, California notified the U.S. EPA that it had inadvertently overstated the number of biofuel credits generated by co-processing in 2022 in violation of the Renewable Fuel Standard program. The parties began negotiating a resolution of the violation in October 2024. Resolution of the violation may result in the payment of a civil penalty of $1.0 million or more.</w:t>
      </w:r>
    </w:p>
    <w:p>
      <w:pPr>
        <w:spacing w:after="0" w:line="4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On October 31, 2024, California’s Bay Area Air District (formerly Bay Area Air Quality Management District) issued two NOVs for the alleged noncompliance with permit conditions that governed operation of certain equipment associated with low-NOx burners at the thermal oxidizers and stack gas heaters for sulfur recovery units 1 &amp; 2 at Chevron’s refinery in Richmond, California. Resolution of the alleged violations may result in the payment of a civil penalty of $1.0 million or more.</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As previously disclosed, in April 2015, Noble Energy, Inc. (Noble) entered into a joint consent decree (Consent Decree) with the United States Department of Justice, the U.S. EPA, and the State of Colorado to improve emission control systems at a number of condensate storage tanks within the Denver-Julesburg (DJ) Basin. The associated civil penalty was paid by Noble previously, and Chevron paid $1.5 million in stipulated penalties for noncompliance with the Consent Decree in August 2024. On December 20, 2024, the parties entered a joint stipulation terminating the Consent Decree, which was approved by the U.S. District Court. Accordingly, the Consent Decree has been terminated and no outstanding obligations remain.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Please see information related to other legal proceedings in </w:t>
      </w:r>
      <w:r>
        <w:rPr>
          <w:rFonts w:ascii="Times New Roman" w:cs="Times New Roman" w:eastAsia="Times New Roman" w:hAnsi="Times New Roman"/>
          <w:sz w:val="18"/>
          <w:szCs w:val="18"/>
          <w:u w:val="single" w:color="auto"/>
          <w:color w:val="0000FF"/>
        </w:rPr>
        <w:t>Note 16 Litigation</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Item 4. Mine Safety Disclosures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30" w:name="page31"/>
    <w:bookmarkEnd w:id="30"/>
    <w:p>
      <w:pPr>
        <w:ind w:left="10100"/>
        <w:spacing w:after="0"/>
        <w:rPr>
          <w:sz w:val="20"/>
          <w:szCs w:val="20"/>
          <w:color w:val="auto"/>
        </w:rPr>
      </w:pPr>
      <w:r>
        <w:rPr>
          <w:rFonts w:ascii="Arial" w:cs="Arial" w:eastAsia="Arial" w:hAnsi="Arial"/>
          <w:sz w:val="14"/>
          <w:szCs w:val="14"/>
          <w:color w:val="0077C0"/>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Item 5. Market for the Registrant’s Common Equity, Related Stockholder Matters and Issuer Purchases of Equity Securities</w:t>
      </w:r>
    </w:p>
    <w:p>
      <w:pPr>
        <w:spacing w:after="0" w:line="9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 xml:space="preserve">The company’s common stock is listed on the New York Stock Exchange (trading symbol: CVX). As of February 7, 2025, stockholders of record numbered approximately 95,000. There are no restrictions on the company’s ability to pay dividends. The information on Chevron’s dividends are contained in the </w:t>
      </w:r>
      <w:r>
        <w:rPr>
          <w:rFonts w:ascii="Times New Roman" w:cs="Times New Roman" w:eastAsia="Times New Roman" w:hAnsi="Times New Roman"/>
          <w:sz w:val="18"/>
          <w:szCs w:val="18"/>
          <w:u w:val="single" w:color="auto"/>
          <w:color w:val="0000FF"/>
        </w:rPr>
        <w:t>Quarterly Results</w:t>
      </w:r>
      <w:r>
        <w:rPr>
          <w:rFonts w:ascii="Times New Roman" w:cs="Times New Roman" w:eastAsia="Times New Roman" w:hAnsi="Times New Roman"/>
          <w:sz w:val="18"/>
          <w:szCs w:val="18"/>
          <w:color w:val="auto"/>
        </w:rPr>
        <w:t xml:space="preserve"> tabulation.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Chevron Corporation Issuer Purchases of Equity Securities for Quarter Ended December 31, 2024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00" w:type="dxa"/>
            <w:vAlign w:val="bottom"/>
          </w:tcPr>
          <w:p>
            <w:pPr>
              <w:spacing w:after="0"/>
              <w:rPr>
                <w:sz w:val="16"/>
                <w:szCs w:val="16"/>
                <w:color w:val="auto"/>
              </w:rPr>
            </w:pPr>
          </w:p>
        </w:tc>
        <w:tc>
          <w:tcPr>
            <w:tcW w:w="18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Total Number</w:t>
            </w:r>
          </w:p>
        </w:tc>
        <w:tc>
          <w:tcPr>
            <w:tcW w:w="160" w:type="dxa"/>
            <w:vAlign w:val="bottom"/>
          </w:tcPr>
          <w:p>
            <w:pPr>
              <w:spacing w:after="0"/>
              <w:rPr>
                <w:sz w:val="16"/>
                <w:szCs w:val="16"/>
                <w:color w:val="auto"/>
              </w:rPr>
            </w:pPr>
          </w:p>
        </w:tc>
        <w:tc>
          <w:tcPr>
            <w:tcW w:w="92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Average</w:t>
            </w:r>
          </w:p>
        </w:tc>
        <w:tc>
          <w:tcPr>
            <w:tcW w:w="234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rPr>
              <w:t>Total Number of Shares</w:t>
            </w:r>
          </w:p>
        </w:tc>
        <w:tc>
          <w:tcPr>
            <w:tcW w:w="310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Approximate Dollar Values of Shares that</w:t>
            </w:r>
          </w:p>
        </w:tc>
      </w:tr>
      <w:tr>
        <w:trPr>
          <w:trHeight w:val="203"/>
        </w:trPr>
        <w:tc>
          <w:tcPr>
            <w:tcW w:w="2900" w:type="dxa"/>
            <w:vAlign w:val="bottom"/>
          </w:tcPr>
          <w:p>
            <w:pPr>
              <w:spacing w:after="0"/>
              <w:rPr>
                <w:sz w:val="17"/>
                <w:szCs w:val="17"/>
                <w:color w:val="auto"/>
              </w:rPr>
            </w:pPr>
          </w:p>
        </w:tc>
        <w:tc>
          <w:tcPr>
            <w:tcW w:w="182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of Shares</w:t>
            </w:r>
          </w:p>
        </w:tc>
        <w:tc>
          <w:tcPr>
            <w:tcW w:w="160" w:type="dxa"/>
            <w:vAlign w:val="bottom"/>
          </w:tcPr>
          <w:p>
            <w:pPr>
              <w:spacing w:after="0"/>
              <w:rPr>
                <w:sz w:val="17"/>
                <w:szCs w:val="17"/>
                <w:color w:val="auto"/>
              </w:rPr>
            </w:pPr>
          </w:p>
        </w:tc>
        <w:tc>
          <w:tcPr>
            <w:tcW w:w="92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Price Paid</w:t>
            </w:r>
          </w:p>
        </w:tc>
        <w:tc>
          <w:tcPr>
            <w:tcW w:w="234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rPr>
              <w:t>Purchased as Part of Publicly</w:t>
            </w:r>
          </w:p>
        </w:tc>
        <w:tc>
          <w:tcPr>
            <w:tcW w:w="310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May Yet be Purchased Under the Program</w:t>
            </w:r>
          </w:p>
        </w:tc>
      </w:tr>
      <w:tr>
        <w:trPr>
          <w:trHeight w:val="226"/>
        </w:trPr>
        <w:tc>
          <w:tcPr>
            <w:tcW w:w="290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color w:val="auto"/>
              </w:rPr>
              <w:t>Period</w:t>
            </w:r>
          </w:p>
        </w:tc>
        <w:tc>
          <w:tcPr>
            <w:tcW w:w="1820" w:type="dxa"/>
            <w:vAlign w:val="bottom"/>
            <w:tcBorders>
              <w:bottom w:val="single" w:sz="8" w:color="0077C0"/>
            </w:tcBorders>
          </w:tcPr>
          <w:p>
            <w:pPr>
              <w:jc w:val="right"/>
              <w:ind w:right="328"/>
              <w:spacing w:after="0"/>
              <w:rPr>
                <w:sz w:val="20"/>
                <w:szCs w:val="20"/>
                <w:color w:val="auto"/>
              </w:rPr>
            </w:pPr>
            <w:r>
              <w:rPr>
                <w:rFonts w:ascii="Times New Roman" w:cs="Times New Roman" w:eastAsia="Times New Roman" w:hAnsi="Times New Roman"/>
                <w:sz w:val="14"/>
                <w:szCs w:val="14"/>
                <w:color w:val="auto"/>
              </w:rPr>
              <w:t xml:space="preserve">Purchased </w:t>
            </w:r>
            <w:r>
              <w:rPr>
                <w:rFonts w:ascii="Times New Roman" w:cs="Times New Roman" w:eastAsia="Times New Roman" w:hAnsi="Times New Roman"/>
                <w:sz w:val="18"/>
                <w:szCs w:val="18"/>
                <w:color w:val="auto"/>
                <w:vertAlign w:val="superscript"/>
              </w:rPr>
              <w:t>1, 2</w:t>
            </w:r>
          </w:p>
        </w:tc>
        <w:tc>
          <w:tcPr>
            <w:tcW w:w="160" w:type="dxa"/>
            <w:vAlign w:val="bottom"/>
            <w:tcBorders>
              <w:bottom w:val="single" w:sz="8" w:color="0077C0"/>
            </w:tcBorders>
          </w:tcPr>
          <w:p>
            <w:pPr>
              <w:spacing w:after="0"/>
              <w:rPr>
                <w:sz w:val="19"/>
                <w:szCs w:val="19"/>
                <w:color w:val="auto"/>
              </w:rPr>
            </w:pPr>
          </w:p>
        </w:tc>
        <w:tc>
          <w:tcPr>
            <w:tcW w:w="920" w:type="dxa"/>
            <w:vAlign w:val="bottom"/>
            <w:tcBorders>
              <w:bottom w:val="single" w:sz="8" w:color="0077C0"/>
            </w:tcBorders>
          </w:tcPr>
          <w:p>
            <w:pPr>
              <w:jc w:val="center"/>
              <w:ind w:right="188"/>
              <w:spacing w:after="0"/>
              <w:rPr>
                <w:sz w:val="20"/>
                <w:szCs w:val="20"/>
                <w:color w:val="auto"/>
              </w:rPr>
            </w:pPr>
            <w:r>
              <w:rPr>
                <w:rFonts w:ascii="Times New Roman" w:cs="Times New Roman" w:eastAsia="Times New Roman" w:hAnsi="Times New Roman"/>
                <w:sz w:val="14"/>
                <w:szCs w:val="14"/>
                <w:color w:val="auto"/>
              </w:rPr>
              <w:t>per Share</w:t>
            </w:r>
          </w:p>
        </w:tc>
        <w:tc>
          <w:tcPr>
            <w:tcW w:w="2340" w:type="dxa"/>
            <w:vAlign w:val="bottom"/>
            <w:tcBorders>
              <w:bottom w:val="single" w:sz="8" w:color="0077C0"/>
            </w:tcBorders>
          </w:tcPr>
          <w:p>
            <w:pPr>
              <w:jc w:val="center"/>
              <w:ind w:right="228"/>
              <w:spacing w:after="0"/>
              <w:rPr>
                <w:sz w:val="20"/>
                <w:szCs w:val="20"/>
                <w:color w:val="auto"/>
              </w:rPr>
            </w:pPr>
            <w:r>
              <w:rPr>
                <w:rFonts w:ascii="Times New Roman" w:cs="Times New Roman" w:eastAsia="Times New Roman" w:hAnsi="Times New Roman"/>
                <w:sz w:val="14"/>
                <w:szCs w:val="14"/>
                <w:color w:val="auto"/>
              </w:rPr>
              <w:t>Announced Program</w:t>
            </w:r>
          </w:p>
        </w:tc>
        <w:tc>
          <w:tcPr>
            <w:tcW w:w="3100" w:type="dxa"/>
            <w:vAlign w:val="bottom"/>
            <w:tcBorders>
              <w:bottom w:val="single" w:sz="8" w:color="0077C0"/>
            </w:tcBorders>
          </w:tcPr>
          <w:p>
            <w:pPr>
              <w:ind w:left="880"/>
              <w:spacing w:after="0"/>
              <w:rPr>
                <w:sz w:val="20"/>
                <w:szCs w:val="20"/>
                <w:color w:val="auto"/>
              </w:rPr>
            </w:pPr>
            <w:r>
              <w:rPr>
                <w:rFonts w:ascii="Times New Roman" w:cs="Times New Roman" w:eastAsia="Times New Roman" w:hAnsi="Times New Roman"/>
                <w:sz w:val="14"/>
                <w:szCs w:val="14"/>
                <w:color w:val="auto"/>
              </w:rPr>
              <w:t>(Billions of dollars)</w:t>
            </w:r>
            <w:r>
              <w:rPr>
                <w:rFonts w:ascii="Times New Roman" w:cs="Times New Roman" w:eastAsia="Times New Roman" w:hAnsi="Times New Roman"/>
                <w:sz w:val="18"/>
                <w:szCs w:val="18"/>
                <w:color w:val="auto"/>
                <w:vertAlign w:val="superscript"/>
              </w:rPr>
              <w:t>2</w:t>
            </w:r>
          </w:p>
        </w:tc>
      </w:tr>
      <w:tr>
        <w:trPr>
          <w:trHeight w:val="182"/>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0000FF"/>
              </w:rPr>
              <w:t>October 1 - October 31, 2024</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9,521,027</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150.02</w:t>
            </w:r>
          </w:p>
        </w:tc>
        <w:tc>
          <w:tcPr>
            <w:tcW w:w="2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9,520,248</w:t>
            </w:r>
          </w:p>
        </w:tc>
        <w:tc>
          <w:tcPr>
            <w:tcW w:w="310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$51.7</w:t>
            </w:r>
          </w:p>
        </w:tc>
      </w:tr>
      <w:tr>
        <w:trPr>
          <w:trHeight w:val="193"/>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0000FF"/>
              </w:rPr>
              <w:t>November 1 - November 30, 2024</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7,067,420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158.89</w:t>
            </w:r>
          </w:p>
        </w:tc>
        <w:tc>
          <w:tcPr>
            <w:tcW w:w="2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7,067,420</w:t>
            </w:r>
          </w:p>
        </w:tc>
        <w:tc>
          <w:tcPr>
            <w:tcW w:w="310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$50.5</w:t>
            </w:r>
          </w:p>
        </w:tc>
      </w:tr>
      <w:tr>
        <w:trPr>
          <w:trHeight w:val="203"/>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0000FF"/>
              </w:rPr>
              <w:t>December 1 - December 31, 2024</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12,874,652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151.37</w:t>
            </w:r>
          </w:p>
        </w:tc>
        <w:tc>
          <w:tcPr>
            <w:tcW w:w="2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12,874,652</w:t>
            </w:r>
          </w:p>
        </w:tc>
        <w:tc>
          <w:tcPr>
            <w:tcW w:w="310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$48.6</w:t>
            </w:r>
          </w:p>
        </w:tc>
      </w:tr>
      <w:tr>
        <w:trPr>
          <w:trHeight w:val="23"/>
        </w:trPr>
        <w:tc>
          <w:tcPr>
            <w:tcW w:w="2900" w:type="dxa"/>
            <w:vAlign w:val="bottom"/>
            <w:tcBorders>
              <w:bottom w:val="single" w:sz="8" w:color="0077C0"/>
            </w:tcBorders>
          </w:tcPr>
          <w:p>
            <w:pPr>
              <w:spacing w:after="0"/>
              <w:rPr>
                <w:sz w:val="2"/>
                <w:szCs w:val="2"/>
                <w:color w:val="auto"/>
              </w:rPr>
            </w:pPr>
          </w:p>
        </w:tc>
        <w:tc>
          <w:tcPr>
            <w:tcW w:w="1820" w:type="dxa"/>
            <w:vAlign w:val="bottom"/>
            <w:tcBorders>
              <w:bottom w:val="single" w:sz="8" w:color="0077C0"/>
            </w:tcBorders>
          </w:tcPr>
          <w:p>
            <w:pPr>
              <w:spacing w:after="0"/>
              <w:rPr>
                <w:sz w:val="2"/>
                <w:szCs w:val="2"/>
                <w:color w:val="auto"/>
              </w:rPr>
            </w:pPr>
          </w:p>
        </w:tc>
        <w:tc>
          <w:tcPr>
            <w:tcW w:w="16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2340" w:type="dxa"/>
            <w:vAlign w:val="bottom"/>
            <w:tcBorders>
              <w:bottom w:val="single" w:sz="8" w:color="0077C0"/>
            </w:tcBorders>
          </w:tcPr>
          <w:p>
            <w:pPr>
              <w:spacing w:after="0"/>
              <w:rPr>
                <w:sz w:val="2"/>
                <w:szCs w:val="2"/>
                <w:color w:val="auto"/>
              </w:rPr>
            </w:pPr>
          </w:p>
        </w:tc>
        <w:tc>
          <w:tcPr>
            <w:tcW w:w="3100" w:type="dxa"/>
            <w:vAlign w:val="bottom"/>
            <w:tcBorders>
              <w:bottom w:val="single" w:sz="8" w:color="0077C0"/>
            </w:tcBorders>
          </w:tcPr>
          <w:p>
            <w:pPr>
              <w:spacing w:after="0"/>
              <w:rPr>
                <w:sz w:val="2"/>
                <w:szCs w:val="2"/>
                <w:color w:val="auto"/>
              </w:rPr>
            </w:pPr>
          </w:p>
        </w:tc>
      </w:tr>
      <w:tr>
        <w:trPr>
          <w:trHeight w:val="190"/>
        </w:trPr>
        <w:tc>
          <w:tcPr>
            <w:tcW w:w="290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0000FF"/>
              </w:rPr>
              <w:t>Total October 1 - December 31, 2024</w:t>
            </w:r>
          </w:p>
        </w:tc>
        <w:tc>
          <w:tcPr>
            <w:tcW w:w="18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29,463,099</w:t>
            </w:r>
          </w:p>
        </w:tc>
        <w:tc>
          <w:tcPr>
            <w:tcW w:w="1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152.74</w:t>
            </w:r>
          </w:p>
        </w:tc>
        <w:tc>
          <w:tcPr>
            <w:tcW w:w="2340" w:type="dxa"/>
            <w:vAlign w:val="bottom"/>
            <w:tcBorders>
              <w:bottom w:val="single" w:sz="8" w:color="0077C0"/>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29,462,320</w:t>
            </w:r>
          </w:p>
        </w:tc>
        <w:tc>
          <w:tcPr>
            <w:tcW w:w="3100" w:type="dxa"/>
            <w:vAlign w:val="bottom"/>
            <w:tcBorders>
              <w:bottom w:val="single" w:sz="8" w:color="0077C0"/>
            </w:tcBorders>
          </w:tcPr>
          <w:p>
            <w:pPr>
              <w:spacing w:after="0"/>
              <w:rPr>
                <w:sz w:val="16"/>
                <w:szCs w:val="16"/>
                <w:color w:val="auto"/>
              </w:rPr>
            </w:pPr>
          </w:p>
        </w:tc>
      </w:tr>
    </w:tbl>
    <w:p>
      <w:pPr>
        <w:spacing w:after="0" w:line="26" w:lineRule="exact"/>
        <w:rPr>
          <w:sz w:val="20"/>
          <w:szCs w:val="20"/>
          <w:color w:val="auto"/>
        </w:rPr>
      </w:pPr>
    </w:p>
    <w:p>
      <w:pPr>
        <w:ind w:left="60" w:hanging="52"/>
        <w:spacing w:after="0"/>
        <w:tabs>
          <w:tab w:leader="none" w:pos="60" w:val="left"/>
        </w:tabs>
        <w:numPr>
          <w:ilvl w:val="0"/>
          <w:numId w:val="1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Includes common shared repurchased from participants in the company’s deferred compensation plans for personal income tax withholdings.</w:t>
      </w:r>
    </w:p>
    <w:p>
      <w:pPr>
        <w:spacing w:after="0"/>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 xml:space="preserve"> Refer to </w:t>
      </w:r>
      <w:r>
        <w:rPr>
          <w:rFonts w:ascii="Times New Roman" w:cs="Times New Roman" w:eastAsia="Times New Roman" w:hAnsi="Times New Roman"/>
          <w:sz w:val="13"/>
          <w:szCs w:val="13"/>
          <w:u w:val="single" w:color="auto"/>
          <w:color w:val="0000FF"/>
        </w:rPr>
        <w:t>Liquidity and Capital Resources</w:t>
      </w:r>
      <w:r>
        <w:rPr>
          <w:rFonts w:ascii="Times New Roman" w:cs="Times New Roman" w:eastAsia="Times New Roman" w:hAnsi="Times New Roman"/>
          <w:sz w:val="13"/>
          <w:szCs w:val="13"/>
          <w:color w:val="auto"/>
        </w:rPr>
        <w:t xml:space="preserve"> for additional detail regarding the company's authorized stock repurchase program.</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Item 6. [Reserved]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Item 7. Management’s Discussion and Analysis of Financial Condition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index to Management’s Discussion and Analysis of Financial Condition and Results of Operations is presented in the </w:t>
      </w:r>
      <w:r>
        <w:rPr>
          <w:rFonts w:ascii="Times New Roman" w:cs="Times New Roman" w:eastAsia="Times New Roman" w:hAnsi="Times New Roman"/>
          <w:sz w:val="18"/>
          <w:szCs w:val="18"/>
          <w:u w:val="single" w:color="auto"/>
          <w:color w:val="0000FF"/>
        </w:rPr>
        <w:t>Financial Table of Contents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Item 7A. Quantitative and Qualitative Disclosures About Market Risk</w:t>
      </w:r>
    </w:p>
    <w:p>
      <w:pPr>
        <w:spacing w:after="0" w:line="104"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 xml:space="preserve">The company’s discussion of interest rate, foreign currency and commodity price market risk is contained in Management’s Discussion and Analysis of Financial Condition and Results of Operations — </w:t>
      </w:r>
      <w:r>
        <w:rPr>
          <w:rFonts w:ascii="Times New Roman" w:cs="Times New Roman" w:eastAsia="Times New Roman" w:hAnsi="Times New Roman"/>
          <w:sz w:val="18"/>
          <w:szCs w:val="18"/>
          <w:u w:val="single" w:color="auto"/>
          <w:color w:val="0000FF"/>
        </w:rPr>
        <w:t>Financial and Derivative Instruments</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u w:val="single" w:color="auto"/>
          <w:color w:val="0000FF"/>
        </w:rPr>
        <w:t>Note 10 Financial and Derivative Instruments</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Item 8. Financial Statements and Supplementary Data</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index to Financial Statements and Supplementary Data is presented in the </w:t>
      </w:r>
      <w:r>
        <w:rPr>
          <w:rFonts w:ascii="Times New Roman" w:cs="Times New Roman" w:eastAsia="Times New Roman" w:hAnsi="Times New Roman"/>
          <w:sz w:val="18"/>
          <w:szCs w:val="18"/>
          <w:u w:val="single" w:color="auto"/>
          <w:color w:val="0000FF"/>
        </w:rPr>
        <w:t>Financial Table of Contents</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Item 9. Changes in and Disagreements With Accountants on Accounting and Financial Disclosure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Item 9A. Controls and Procedures</w:t>
      </w:r>
    </w:p>
    <w:p>
      <w:pPr>
        <w:spacing w:after="0" w:line="114" w:lineRule="exact"/>
        <w:rPr>
          <w:sz w:val="20"/>
          <w:szCs w:val="20"/>
          <w:color w:val="auto"/>
        </w:rPr>
      </w:pPr>
    </w:p>
    <w:p>
      <w:pPr>
        <w:jc w:val="both"/>
        <w:ind w:firstLine="8"/>
        <w:spacing w:after="0" w:line="273" w:lineRule="auto"/>
        <w:tabs>
          <w:tab w:leader="none" w:pos="266" w:val="left"/>
        </w:tabs>
        <w:numPr>
          <w:ilvl w:val="0"/>
          <w:numId w:val="14"/>
        </w:numPr>
        <w:rPr>
          <w:rFonts w:ascii="Times New Roman" w:cs="Times New Roman" w:eastAsia="Times New Roman" w:hAnsi="Times New Roman"/>
          <w:sz w:val="18"/>
          <w:szCs w:val="18"/>
          <w:b w:val="1"/>
          <w:bCs w:val="1"/>
          <w:i w:val="1"/>
          <w:iCs w:val="1"/>
          <w:color w:val="FF0000"/>
        </w:rPr>
      </w:pPr>
      <w:r>
        <w:rPr>
          <w:rFonts w:ascii="Times New Roman" w:cs="Times New Roman" w:eastAsia="Times New Roman" w:hAnsi="Times New Roman"/>
          <w:sz w:val="18"/>
          <w:szCs w:val="18"/>
          <w:b w:val="1"/>
          <w:bCs w:val="1"/>
          <w:i w:val="1"/>
          <w:iCs w:val="1"/>
          <w:color w:val="FF0000"/>
        </w:rPr>
        <w:t xml:space="preserve">Evaluation of Disclosure Controls and Procedures </w:t>
      </w:r>
      <w:r>
        <w:rPr>
          <w:rFonts w:ascii="Times New Roman" w:cs="Times New Roman" w:eastAsia="Times New Roman" w:hAnsi="Times New Roman"/>
          <w:sz w:val="18"/>
          <w:szCs w:val="18"/>
          <w:color w:val="000000"/>
        </w:rPr>
        <w:t>The company’s management has evaluated, with the participation of the Chief Executive Officer</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and the Chief Financial Officer, the effectiveness of the company’s disclosure controls and procedures (as defined in Rule 13a-15(e) and 15d-15(e) under the Securities Exchange Act of 1934 (Exchange Act)) as of the end of the period covered by this report. Based on this evaluation, management concluded that the company’s disclosure controls and procedures were effective as of December 31, 2024.</w:t>
      </w:r>
    </w:p>
    <w:p>
      <w:pPr>
        <w:spacing w:after="0" w:line="70" w:lineRule="exact"/>
        <w:rPr>
          <w:rFonts w:ascii="Times New Roman" w:cs="Times New Roman" w:eastAsia="Times New Roman" w:hAnsi="Times New Roman"/>
          <w:sz w:val="18"/>
          <w:szCs w:val="18"/>
          <w:b w:val="1"/>
          <w:bCs w:val="1"/>
          <w:i w:val="1"/>
          <w:iCs w:val="1"/>
          <w:color w:val="FF0000"/>
        </w:rPr>
      </w:pPr>
    </w:p>
    <w:p>
      <w:pPr>
        <w:jc w:val="both"/>
        <w:ind w:firstLine="8"/>
        <w:spacing w:after="0" w:line="267" w:lineRule="auto"/>
        <w:tabs>
          <w:tab w:leader="none" w:pos="274" w:val="left"/>
        </w:tabs>
        <w:numPr>
          <w:ilvl w:val="0"/>
          <w:numId w:val="14"/>
        </w:numPr>
        <w:rPr>
          <w:rFonts w:ascii="Times New Roman" w:cs="Times New Roman" w:eastAsia="Times New Roman" w:hAnsi="Times New Roman"/>
          <w:sz w:val="18"/>
          <w:szCs w:val="18"/>
          <w:b w:val="1"/>
          <w:bCs w:val="1"/>
          <w:i w:val="1"/>
          <w:iCs w:val="1"/>
          <w:color w:val="FF0000"/>
        </w:rPr>
      </w:pPr>
      <w:r>
        <w:rPr>
          <w:rFonts w:ascii="Times New Roman" w:cs="Times New Roman" w:eastAsia="Times New Roman" w:hAnsi="Times New Roman"/>
          <w:sz w:val="18"/>
          <w:szCs w:val="18"/>
          <w:b w:val="1"/>
          <w:bCs w:val="1"/>
          <w:i w:val="1"/>
          <w:iCs w:val="1"/>
          <w:color w:val="FF0000"/>
        </w:rPr>
        <w:t xml:space="preserve">Management’s Report on Internal Control Over Financial Reporting </w:t>
      </w:r>
      <w:r>
        <w:rPr>
          <w:rFonts w:ascii="Times New Roman" w:cs="Times New Roman" w:eastAsia="Times New Roman" w:hAnsi="Times New Roman"/>
          <w:sz w:val="18"/>
          <w:szCs w:val="18"/>
          <w:color w:val="000000"/>
        </w:rPr>
        <w:t>The company’s management is responsible for establishing and maintaining</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 xml:space="preserve">adequate internal control over financial reporting, as defined in the Exchange Act Rules 13a-15(f) and 15d-15(f). The company’s management, including the Chief Executive Officer and Chief Financial Officer, conducted an evaluation of the effectiveness of the company’s internal control over financial reporting based on the </w:t>
      </w:r>
      <w:r>
        <w:rPr>
          <w:rFonts w:ascii="Times New Roman" w:cs="Times New Roman" w:eastAsia="Times New Roman" w:hAnsi="Times New Roman"/>
          <w:sz w:val="18"/>
          <w:szCs w:val="18"/>
          <w:i w:val="1"/>
          <w:iCs w:val="1"/>
          <w:color w:val="000000"/>
        </w:rPr>
        <w:t>Internal Control – Integrated Framework</w:t>
      </w:r>
      <w:r>
        <w:rPr>
          <w:rFonts w:ascii="Times New Roman" w:cs="Times New Roman" w:eastAsia="Times New Roman" w:hAnsi="Times New Roman"/>
          <w:sz w:val="18"/>
          <w:szCs w:val="18"/>
          <w:color w:val="000000"/>
        </w:rPr>
        <w:t xml:space="preserve"> (2013) issued by the Committee of Sponsoring Organizations of the Treadway Commission (COSO). Based on the results of this evaluation, the company’s management concluded that internal control over financial reporting was effective as of December 31, 2024.</w:t>
      </w:r>
    </w:p>
    <w:p>
      <w:pPr>
        <w:spacing w:after="0" w:line="6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2024, has been audited by PricewaterhouseCoopers LLP, an independent registered public accounting firm, as stated in its report included herein.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31" w:name="page32"/>
    <w:bookmarkEnd w:id="31"/>
    <w:p>
      <w:pPr>
        <w:ind w:left="10100"/>
        <w:spacing w:after="0"/>
        <w:rPr>
          <w:sz w:val="20"/>
          <w:szCs w:val="20"/>
          <w:color w:val="auto"/>
        </w:rPr>
      </w:pPr>
      <w:r>
        <w:rPr>
          <w:rFonts w:ascii="Arial" w:cs="Arial" w:eastAsia="Arial" w:hAnsi="Arial"/>
          <w:sz w:val="14"/>
          <w:szCs w:val="14"/>
          <w:color w:val="0077C0"/>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8"/>
        <w:spacing w:after="0" w:line="276" w:lineRule="auto"/>
        <w:tabs>
          <w:tab w:leader="none" w:pos="246" w:val="left"/>
        </w:tabs>
        <w:numPr>
          <w:ilvl w:val="0"/>
          <w:numId w:val="15"/>
        </w:numPr>
        <w:rPr>
          <w:rFonts w:ascii="Times New Roman" w:cs="Times New Roman" w:eastAsia="Times New Roman" w:hAnsi="Times New Roman"/>
          <w:sz w:val="18"/>
          <w:szCs w:val="18"/>
          <w:b w:val="1"/>
          <w:bCs w:val="1"/>
          <w:i w:val="1"/>
          <w:iCs w:val="1"/>
          <w:color w:val="FF0000"/>
        </w:rPr>
      </w:pPr>
      <w:r>
        <w:rPr>
          <w:rFonts w:ascii="Times New Roman" w:cs="Times New Roman" w:eastAsia="Times New Roman" w:hAnsi="Times New Roman"/>
          <w:sz w:val="18"/>
          <w:szCs w:val="18"/>
          <w:b w:val="1"/>
          <w:bCs w:val="1"/>
          <w:i w:val="1"/>
          <w:iCs w:val="1"/>
          <w:color w:val="FF0000"/>
        </w:rPr>
        <w:t xml:space="preserve">Changes in Internal Control Over Financial Reporting </w:t>
      </w:r>
      <w:r>
        <w:rPr>
          <w:rFonts w:ascii="Times New Roman" w:cs="Times New Roman" w:eastAsia="Times New Roman" w:hAnsi="Times New Roman"/>
          <w:sz w:val="18"/>
          <w:szCs w:val="18"/>
          <w:color w:val="000000"/>
        </w:rPr>
        <w:t>During the quarter ended December 31, 2024, there were no changes in the company’s internal</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control over financial reporting that have materially affected, or are reasonably likely to materially affect, the company’s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Item 9B. Other Information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Plan Elections</w:t>
      </w:r>
    </w:p>
    <w:p>
      <w:pPr>
        <w:spacing w:after="0" w:line="13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Michael K. Wirth, Chairman of the Board and Chief Executive Officer, entered into a pre-arranged stock trading plan on November 6, 2024. Mr. Wirth’s plan provides for the potential exercise of vested stock options and the associated sale of up to 320,700 shares of Chevron common stock between February 26, 2025, and February 28, 2026.</w:t>
      </w:r>
    </w:p>
    <w:p>
      <w:pPr>
        <w:spacing w:after="0" w:line="6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trading plan was entered into during an open insider trading window and is intended to satisfy the affirmative defense of Rule 10b5-1(c) under the Securities Exchange Act of 1934, as amended, and Chevron’s policies regarding transactions in Chevron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Item 9C. Disclosure Regarding Foreign Jurisdictions that Prevent Inspections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32" w:name="page33"/>
    <w:bookmarkEnd w:id="32"/>
    <w:p>
      <w:pPr>
        <w:ind w:left="10100"/>
        <w:spacing w:after="0"/>
        <w:rPr>
          <w:sz w:val="20"/>
          <w:szCs w:val="20"/>
          <w:color w:val="auto"/>
        </w:rPr>
      </w:pPr>
      <w:r>
        <w:rPr>
          <w:rFonts w:ascii="Arial" w:cs="Arial" w:eastAsia="Arial" w:hAnsi="Arial"/>
          <w:sz w:val="14"/>
          <w:szCs w:val="14"/>
          <w:color w:val="0077C0"/>
        </w:rPr>
        <w:t>Table of Contents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III</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Item 10. Directors, Executive Officers and Corporate Governance</w:t>
      </w:r>
    </w:p>
    <w:p>
      <w:pPr>
        <w:spacing w:after="0" w:line="11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Information about our Executive Officers at February 21,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Members of the Corporation’s Executive Committee are the Executive Officers of the Corporation:</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420" w:type="dxa"/>
            <w:vAlign w:val="bottom"/>
            <w:tcBorders>
              <w:top w:val="single" w:sz="8" w:color="0077C0"/>
              <w:bottom w:val="single" w:sz="8" w:color="0077C0"/>
            </w:tcBorders>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560" w:type="dxa"/>
            <w:vAlign w:val="bottom"/>
            <w:tcBorders>
              <w:top w:val="single" w:sz="8" w:color="0077C0"/>
              <w:bottom w:val="single" w:sz="8" w:color="0077C0"/>
            </w:tcBorders>
          </w:tcPr>
          <w:p>
            <w:pPr>
              <w:jc w:val="center"/>
              <w:spacing w:after="0"/>
              <w:rPr>
                <w:sz w:val="20"/>
                <w:szCs w:val="20"/>
                <w:color w:val="auto"/>
              </w:rPr>
            </w:pPr>
            <w:r>
              <w:rPr>
                <w:rFonts w:ascii="Times New Roman" w:cs="Times New Roman" w:eastAsia="Times New Roman" w:hAnsi="Times New Roman"/>
                <w:sz w:val="17"/>
                <w:szCs w:val="17"/>
                <w:color w:val="auto"/>
                <w:w w:val="98"/>
              </w:rPr>
              <w:t>Age</w:t>
            </w:r>
          </w:p>
        </w:tc>
        <w:tc>
          <w:tcPr>
            <w:tcW w:w="6160" w:type="dxa"/>
            <w:vAlign w:val="bottom"/>
            <w:tcBorders>
              <w:top w:val="single" w:sz="8" w:color="0077C0"/>
              <w:bottom w:val="single" w:sz="8" w:color="0077C0"/>
            </w:tcBorders>
          </w:tcPr>
          <w:p>
            <w:pPr>
              <w:ind w:left="80"/>
              <w:spacing w:after="0"/>
              <w:rPr>
                <w:sz w:val="20"/>
                <w:szCs w:val="20"/>
                <w:color w:val="auto"/>
              </w:rPr>
            </w:pPr>
            <w:r>
              <w:rPr>
                <w:rFonts w:ascii="Times New Roman" w:cs="Times New Roman" w:eastAsia="Times New Roman" w:hAnsi="Times New Roman"/>
                <w:sz w:val="17"/>
                <w:szCs w:val="17"/>
                <w:color w:val="auto"/>
              </w:rPr>
              <w:t>Current and Prior Positions (up to five years)</w:t>
            </w:r>
          </w:p>
        </w:tc>
        <w:tc>
          <w:tcPr>
            <w:tcW w:w="3100" w:type="dxa"/>
            <w:vAlign w:val="bottom"/>
            <w:tcBorders>
              <w:top w:val="single" w:sz="8" w:color="0077C0"/>
              <w:bottom w:val="single" w:sz="8" w:color="0077C0"/>
            </w:tcBorders>
          </w:tcPr>
          <w:p>
            <w:pPr>
              <w:ind w:left="100"/>
              <w:spacing w:after="0"/>
              <w:rPr>
                <w:sz w:val="20"/>
                <w:szCs w:val="20"/>
                <w:color w:val="auto"/>
              </w:rPr>
            </w:pPr>
            <w:r>
              <w:rPr>
                <w:rFonts w:ascii="Times New Roman" w:cs="Times New Roman" w:eastAsia="Times New Roman" w:hAnsi="Times New Roman"/>
                <w:sz w:val="17"/>
                <w:szCs w:val="17"/>
                <w:color w:val="auto"/>
              </w:rPr>
              <w:t>Primary Areas of Responsibility</w:t>
            </w:r>
          </w:p>
        </w:tc>
      </w:tr>
      <w:tr>
        <w:trPr>
          <w:trHeight w:val="159"/>
        </w:trPr>
        <w:tc>
          <w:tcPr>
            <w:tcW w:w="1420" w:type="dxa"/>
            <w:vAlign w:val="bottom"/>
          </w:tcPr>
          <w:p>
            <w:pPr>
              <w:ind w:left="20"/>
              <w:spacing w:after="0" w:line="159" w:lineRule="exact"/>
              <w:rPr>
                <w:sz w:val="20"/>
                <w:szCs w:val="20"/>
                <w:color w:val="auto"/>
              </w:rPr>
            </w:pPr>
            <w:r>
              <w:rPr>
                <w:rFonts w:ascii="Times New Roman" w:cs="Times New Roman" w:eastAsia="Times New Roman" w:hAnsi="Times New Roman"/>
                <w:sz w:val="17"/>
                <w:szCs w:val="17"/>
                <w:color w:val="auto"/>
              </w:rPr>
              <w:t>Michael K. Wirth</w:t>
            </w:r>
          </w:p>
        </w:tc>
        <w:tc>
          <w:tcPr>
            <w:tcW w:w="560" w:type="dxa"/>
            <w:vAlign w:val="bottom"/>
          </w:tcPr>
          <w:p>
            <w:pPr>
              <w:jc w:val="center"/>
              <w:spacing w:after="0" w:line="159" w:lineRule="exact"/>
              <w:rPr>
                <w:sz w:val="20"/>
                <w:szCs w:val="20"/>
                <w:color w:val="auto"/>
              </w:rPr>
            </w:pPr>
            <w:r>
              <w:rPr>
                <w:rFonts w:ascii="Times New Roman" w:cs="Times New Roman" w:eastAsia="Times New Roman" w:hAnsi="Times New Roman"/>
                <w:sz w:val="17"/>
                <w:szCs w:val="17"/>
                <w:color w:val="auto"/>
                <w:w w:val="93"/>
              </w:rPr>
              <w:t>64</w:t>
            </w:r>
          </w:p>
        </w:tc>
        <w:tc>
          <w:tcPr>
            <w:tcW w:w="6160" w:type="dxa"/>
            <w:vAlign w:val="bottom"/>
          </w:tcPr>
          <w:p>
            <w:pPr>
              <w:ind w:left="80"/>
              <w:spacing w:after="0" w:line="159" w:lineRule="exact"/>
              <w:rPr>
                <w:sz w:val="20"/>
                <w:szCs w:val="20"/>
                <w:color w:val="auto"/>
              </w:rPr>
            </w:pPr>
            <w:r>
              <w:rPr>
                <w:rFonts w:ascii="Times New Roman" w:cs="Times New Roman" w:eastAsia="Times New Roman" w:hAnsi="Times New Roman"/>
                <w:sz w:val="17"/>
                <w:szCs w:val="17"/>
                <w:color w:val="auto"/>
              </w:rPr>
              <w:t>Chairman of the Board and Chief Executive Officer (since Feb 2018)</w:t>
            </w:r>
          </w:p>
        </w:tc>
        <w:tc>
          <w:tcPr>
            <w:tcW w:w="3100" w:type="dxa"/>
            <w:vAlign w:val="bottom"/>
          </w:tcPr>
          <w:p>
            <w:pPr>
              <w:ind w:left="100"/>
              <w:spacing w:after="0" w:line="159" w:lineRule="exact"/>
              <w:rPr>
                <w:sz w:val="20"/>
                <w:szCs w:val="20"/>
                <w:color w:val="auto"/>
              </w:rPr>
            </w:pPr>
            <w:r>
              <w:rPr>
                <w:rFonts w:ascii="Times New Roman" w:cs="Times New Roman" w:eastAsia="Times New Roman" w:hAnsi="Times New Roman"/>
                <w:sz w:val="17"/>
                <w:szCs w:val="17"/>
                <w:color w:val="auto"/>
              </w:rPr>
              <w:t>Chairman of the Board and</w:t>
            </w:r>
          </w:p>
        </w:tc>
      </w:tr>
      <w:tr>
        <w:trPr>
          <w:trHeight w:val="226"/>
        </w:trPr>
        <w:tc>
          <w:tcPr>
            <w:tcW w:w="1420" w:type="dxa"/>
            <w:vAlign w:val="bottom"/>
            <w:tcBorders>
              <w:bottom w:val="single" w:sz="8" w:color="0077C0"/>
            </w:tcBorders>
          </w:tcPr>
          <w:p>
            <w:pPr>
              <w:spacing w:after="0"/>
              <w:rPr>
                <w:sz w:val="19"/>
                <w:szCs w:val="19"/>
                <w:color w:val="auto"/>
              </w:rPr>
            </w:pPr>
          </w:p>
        </w:tc>
        <w:tc>
          <w:tcPr>
            <w:tcW w:w="560" w:type="dxa"/>
            <w:vAlign w:val="bottom"/>
            <w:tcBorders>
              <w:bottom w:val="single" w:sz="8" w:color="0077C0"/>
            </w:tcBorders>
          </w:tcPr>
          <w:p>
            <w:pPr>
              <w:spacing w:after="0"/>
              <w:rPr>
                <w:sz w:val="19"/>
                <w:szCs w:val="19"/>
                <w:color w:val="auto"/>
              </w:rPr>
            </w:pPr>
          </w:p>
        </w:tc>
        <w:tc>
          <w:tcPr>
            <w:tcW w:w="6160" w:type="dxa"/>
            <w:vAlign w:val="bottom"/>
            <w:tcBorders>
              <w:bottom w:val="single" w:sz="8" w:color="0077C0"/>
            </w:tcBorders>
          </w:tcPr>
          <w:p>
            <w:pPr>
              <w:spacing w:after="0"/>
              <w:rPr>
                <w:sz w:val="19"/>
                <w:szCs w:val="19"/>
                <w:color w:val="auto"/>
              </w:rPr>
            </w:pPr>
          </w:p>
        </w:tc>
        <w:tc>
          <w:tcPr>
            <w:tcW w:w="3100" w:type="dxa"/>
            <w:vAlign w:val="bottom"/>
            <w:tcBorders>
              <w:bottom w:val="single" w:sz="8" w:color="0077C0"/>
            </w:tcBorders>
          </w:tcPr>
          <w:p>
            <w:pPr>
              <w:ind w:left="100"/>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159"/>
        </w:trPr>
        <w:tc>
          <w:tcPr>
            <w:tcW w:w="1420" w:type="dxa"/>
            <w:vAlign w:val="bottom"/>
          </w:tcPr>
          <w:p>
            <w:pPr>
              <w:ind w:left="20"/>
              <w:spacing w:after="0" w:line="159" w:lineRule="exact"/>
              <w:rPr>
                <w:sz w:val="20"/>
                <w:szCs w:val="20"/>
                <w:color w:val="auto"/>
              </w:rPr>
            </w:pPr>
            <w:r>
              <w:rPr>
                <w:rFonts w:ascii="Times New Roman" w:cs="Times New Roman" w:eastAsia="Times New Roman" w:hAnsi="Times New Roman"/>
                <w:sz w:val="17"/>
                <w:szCs w:val="17"/>
                <w:color w:val="auto"/>
              </w:rPr>
              <w:t>Eimear P. Bonner</w:t>
            </w:r>
          </w:p>
        </w:tc>
        <w:tc>
          <w:tcPr>
            <w:tcW w:w="560" w:type="dxa"/>
            <w:vAlign w:val="bottom"/>
          </w:tcPr>
          <w:p>
            <w:pPr>
              <w:jc w:val="center"/>
              <w:spacing w:after="0" w:line="159" w:lineRule="exact"/>
              <w:rPr>
                <w:sz w:val="20"/>
                <w:szCs w:val="20"/>
                <w:color w:val="auto"/>
              </w:rPr>
            </w:pPr>
            <w:r>
              <w:rPr>
                <w:rFonts w:ascii="Times New Roman" w:cs="Times New Roman" w:eastAsia="Times New Roman" w:hAnsi="Times New Roman"/>
                <w:sz w:val="17"/>
                <w:szCs w:val="17"/>
                <w:color w:val="auto"/>
                <w:w w:val="93"/>
              </w:rPr>
              <w:t>50</w:t>
            </w:r>
          </w:p>
        </w:tc>
        <w:tc>
          <w:tcPr>
            <w:tcW w:w="6160" w:type="dxa"/>
            <w:vAlign w:val="bottom"/>
          </w:tcPr>
          <w:p>
            <w:pPr>
              <w:ind w:left="80"/>
              <w:spacing w:after="0" w:line="159" w:lineRule="exact"/>
              <w:rPr>
                <w:sz w:val="20"/>
                <w:szCs w:val="20"/>
                <w:color w:val="auto"/>
              </w:rPr>
            </w:pPr>
            <w:r>
              <w:rPr>
                <w:rFonts w:ascii="Times New Roman" w:cs="Times New Roman" w:eastAsia="Times New Roman" w:hAnsi="Times New Roman"/>
                <w:sz w:val="17"/>
                <w:szCs w:val="17"/>
                <w:color w:val="auto"/>
              </w:rPr>
              <w:t>Vice President (since Aug 2021); Chief Financial Officer (since Mar 2024)</w:t>
            </w:r>
          </w:p>
        </w:tc>
        <w:tc>
          <w:tcPr>
            <w:tcW w:w="3100" w:type="dxa"/>
            <w:vAlign w:val="bottom"/>
          </w:tcPr>
          <w:p>
            <w:pPr>
              <w:ind w:left="100"/>
              <w:spacing w:after="0" w:line="159" w:lineRule="exact"/>
              <w:rPr>
                <w:sz w:val="20"/>
                <w:szCs w:val="20"/>
                <w:color w:val="auto"/>
              </w:rPr>
            </w:pPr>
            <w:r>
              <w:rPr>
                <w:rFonts w:ascii="Times New Roman" w:cs="Times New Roman" w:eastAsia="Times New Roman" w:hAnsi="Times New Roman"/>
                <w:sz w:val="17"/>
                <w:szCs w:val="17"/>
                <w:color w:val="auto"/>
              </w:rPr>
              <w:t>Finance; Investor Relations</w:t>
            </w:r>
          </w:p>
        </w:tc>
      </w:tr>
      <w:tr>
        <w:trPr>
          <w:trHeight w:val="167"/>
        </w:trPr>
        <w:tc>
          <w:tcPr>
            <w:tcW w:w="1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160" w:type="dxa"/>
            <w:vAlign w:val="bottom"/>
          </w:tcPr>
          <w:p>
            <w:pPr>
              <w:ind w:left="80"/>
              <w:spacing w:after="0" w:line="167" w:lineRule="exact"/>
              <w:rPr>
                <w:sz w:val="20"/>
                <w:szCs w:val="20"/>
                <w:color w:val="auto"/>
              </w:rPr>
            </w:pPr>
            <w:r>
              <w:rPr>
                <w:rFonts w:ascii="Times New Roman" w:cs="Times New Roman" w:eastAsia="Times New Roman" w:hAnsi="Times New Roman"/>
                <w:sz w:val="17"/>
                <w:szCs w:val="17"/>
                <w:color w:val="auto"/>
              </w:rPr>
              <w:t>President and Chief Technology Officer, Chevron Technical Center (Feb 2021 - Dec</w:t>
            </w:r>
          </w:p>
        </w:tc>
        <w:tc>
          <w:tcPr>
            <w:tcW w:w="3100" w:type="dxa"/>
            <w:vAlign w:val="bottom"/>
          </w:tcPr>
          <w:p>
            <w:pPr>
              <w:spacing w:after="0"/>
              <w:rPr>
                <w:sz w:val="14"/>
                <w:szCs w:val="14"/>
                <w:color w:val="auto"/>
              </w:rPr>
            </w:pPr>
          </w:p>
        </w:tc>
      </w:tr>
      <w:tr>
        <w:trPr>
          <w:trHeight w:val="170"/>
        </w:trPr>
        <w:tc>
          <w:tcPr>
            <w:tcW w:w="1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160" w:type="dxa"/>
            <w:vAlign w:val="bottom"/>
          </w:tcPr>
          <w:p>
            <w:pPr>
              <w:ind w:left="160"/>
              <w:spacing w:after="0" w:line="171" w:lineRule="exact"/>
              <w:rPr>
                <w:sz w:val="20"/>
                <w:szCs w:val="20"/>
                <w:color w:val="auto"/>
              </w:rPr>
            </w:pPr>
            <w:r>
              <w:rPr>
                <w:rFonts w:ascii="Times New Roman" w:cs="Times New Roman" w:eastAsia="Times New Roman" w:hAnsi="Times New Roman"/>
                <w:sz w:val="17"/>
                <w:szCs w:val="17"/>
                <w:color w:val="auto"/>
              </w:rPr>
              <w:t>2023)</w:t>
            </w:r>
          </w:p>
        </w:tc>
        <w:tc>
          <w:tcPr>
            <w:tcW w:w="3100" w:type="dxa"/>
            <w:vAlign w:val="bottom"/>
          </w:tcPr>
          <w:p>
            <w:pPr>
              <w:spacing w:after="0"/>
              <w:rPr>
                <w:sz w:val="14"/>
                <w:szCs w:val="14"/>
                <w:color w:val="auto"/>
              </w:rPr>
            </w:pPr>
          </w:p>
        </w:tc>
      </w:tr>
      <w:tr>
        <w:trPr>
          <w:trHeight w:val="222"/>
        </w:trPr>
        <w:tc>
          <w:tcPr>
            <w:tcW w:w="1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1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General Director, Tengizchevroil (Dec 2018 - Jan 2021)</w:t>
            </w:r>
          </w:p>
        </w:tc>
        <w:tc>
          <w:tcPr>
            <w:tcW w:w="3100" w:type="dxa"/>
            <w:vAlign w:val="bottom"/>
          </w:tcPr>
          <w:p>
            <w:pPr>
              <w:spacing w:after="0"/>
              <w:rPr>
                <w:sz w:val="19"/>
                <w:szCs w:val="19"/>
                <w:color w:val="auto"/>
              </w:rPr>
            </w:pPr>
          </w:p>
        </w:tc>
      </w:tr>
      <w:tr>
        <w:trPr>
          <w:trHeight w:val="21"/>
        </w:trPr>
        <w:tc>
          <w:tcPr>
            <w:tcW w:w="1420" w:type="dxa"/>
            <w:vAlign w:val="bottom"/>
            <w:tcBorders>
              <w:bottom w:val="single" w:sz="8" w:color="0077C0"/>
            </w:tcBorders>
          </w:tcPr>
          <w:p>
            <w:pPr>
              <w:spacing w:after="0" w:line="20" w:lineRule="exact"/>
              <w:rPr>
                <w:sz w:val="1"/>
                <w:szCs w:val="1"/>
                <w:color w:val="auto"/>
              </w:rPr>
            </w:pPr>
          </w:p>
        </w:tc>
        <w:tc>
          <w:tcPr>
            <w:tcW w:w="560" w:type="dxa"/>
            <w:vAlign w:val="bottom"/>
            <w:tcBorders>
              <w:bottom w:val="single" w:sz="8" w:color="0077C0"/>
            </w:tcBorders>
          </w:tcPr>
          <w:p>
            <w:pPr>
              <w:spacing w:after="0" w:line="20" w:lineRule="exact"/>
              <w:rPr>
                <w:sz w:val="1"/>
                <w:szCs w:val="1"/>
                <w:color w:val="auto"/>
              </w:rPr>
            </w:pPr>
          </w:p>
        </w:tc>
        <w:tc>
          <w:tcPr>
            <w:tcW w:w="6160" w:type="dxa"/>
            <w:vAlign w:val="bottom"/>
            <w:tcBorders>
              <w:bottom w:val="single" w:sz="8" w:color="0077C0"/>
            </w:tcBorders>
          </w:tcPr>
          <w:p>
            <w:pPr>
              <w:spacing w:after="0" w:line="20" w:lineRule="exact"/>
              <w:rPr>
                <w:sz w:val="1"/>
                <w:szCs w:val="1"/>
                <w:color w:val="auto"/>
              </w:rPr>
            </w:pPr>
          </w:p>
        </w:tc>
        <w:tc>
          <w:tcPr>
            <w:tcW w:w="3100" w:type="dxa"/>
            <w:vAlign w:val="bottom"/>
            <w:tcBorders>
              <w:bottom w:val="single" w:sz="8" w:color="0077C0"/>
            </w:tcBorders>
          </w:tcPr>
          <w:p>
            <w:pPr>
              <w:spacing w:after="0" w:line="20" w:lineRule="exact"/>
              <w:rPr>
                <w:sz w:val="1"/>
                <w:szCs w:val="1"/>
                <w:color w:val="auto"/>
              </w:rPr>
            </w:pPr>
          </w:p>
        </w:tc>
      </w:tr>
      <w:tr>
        <w:trPr>
          <w:trHeight w:val="155"/>
        </w:trPr>
        <w:tc>
          <w:tcPr>
            <w:tcW w:w="1420" w:type="dxa"/>
            <w:vAlign w:val="bottom"/>
          </w:tcPr>
          <w:p>
            <w:pPr>
              <w:ind w:left="20"/>
              <w:spacing w:after="0" w:line="155" w:lineRule="exact"/>
              <w:rPr>
                <w:sz w:val="20"/>
                <w:szCs w:val="20"/>
                <w:color w:val="auto"/>
              </w:rPr>
            </w:pPr>
            <w:r>
              <w:rPr>
                <w:rFonts w:ascii="Times New Roman" w:cs="Times New Roman" w:eastAsia="Times New Roman" w:hAnsi="Times New Roman"/>
                <w:sz w:val="17"/>
                <w:szCs w:val="17"/>
                <w:color w:val="auto"/>
              </w:rPr>
              <w:t>Mark A. Nelson</w:t>
            </w:r>
          </w:p>
        </w:tc>
        <w:tc>
          <w:tcPr>
            <w:tcW w:w="560" w:type="dxa"/>
            <w:vAlign w:val="bottom"/>
          </w:tcPr>
          <w:p>
            <w:pPr>
              <w:jc w:val="center"/>
              <w:spacing w:after="0" w:line="155" w:lineRule="exact"/>
              <w:rPr>
                <w:sz w:val="20"/>
                <w:szCs w:val="20"/>
                <w:color w:val="auto"/>
              </w:rPr>
            </w:pPr>
            <w:r>
              <w:rPr>
                <w:rFonts w:ascii="Times New Roman" w:cs="Times New Roman" w:eastAsia="Times New Roman" w:hAnsi="Times New Roman"/>
                <w:sz w:val="17"/>
                <w:szCs w:val="17"/>
                <w:color w:val="auto"/>
                <w:w w:val="93"/>
              </w:rPr>
              <w:t>61</w:t>
            </w:r>
          </w:p>
        </w:tc>
        <w:tc>
          <w:tcPr>
            <w:tcW w:w="6160" w:type="dxa"/>
            <w:vAlign w:val="bottom"/>
          </w:tcPr>
          <w:p>
            <w:pPr>
              <w:ind w:left="80"/>
              <w:spacing w:after="0" w:line="155" w:lineRule="exact"/>
              <w:rPr>
                <w:sz w:val="20"/>
                <w:szCs w:val="20"/>
                <w:color w:val="auto"/>
              </w:rPr>
            </w:pPr>
            <w:r>
              <w:rPr>
                <w:rFonts w:ascii="Times New Roman" w:cs="Times New Roman" w:eastAsia="Times New Roman" w:hAnsi="Times New Roman"/>
                <w:sz w:val="17"/>
                <w:szCs w:val="17"/>
                <w:color w:val="auto"/>
              </w:rPr>
              <w:t>Vice Chairman (since Feb 2023); Executive Vice President, Oil, Products &amp; Gas (since</w:t>
            </w:r>
          </w:p>
        </w:tc>
        <w:tc>
          <w:tcPr>
            <w:tcW w:w="3100" w:type="dxa"/>
            <w:vAlign w:val="bottom"/>
          </w:tcPr>
          <w:p>
            <w:pPr>
              <w:ind w:left="100"/>
              <w:spacing w:after="0" w:line="155" w:lineRule="exact"/>
              <w:rPr>
                <w:sz w:val="20"/>
                <w:szCs w:val="20"/>
                <w:color w:val="auto"/>
              </w:rPr>
            </w:pPr>
            <w:r>
              <w:rPr>
                <w:rFonts w:ascii="Times New Roman" w:cs="Times New Roman" w:eastAsia="Times New Roman" w:hAnsi="Times New Roman"/>
                <w:sz w:val="17"/>
                <w:szCs w:val="17"/>
                <w:color w:val="auto"/>
              </w:rPr>
              <w:t>Upstream - Worldwide Exploration and</w:t>
            </w:r>
          </w:p>
        </w:tc>
      </w:tr>
      <w:tr>
        <w:trPr>
          <w:trHeight w:val="167"/>
        </w:trPr>
        <w:tc>
          <w:tcPr>
            <w:tcW w:w="1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160" w:type="dxa"/>
            <w:vAlign w:val="bottom"/>
          </w:tcPr>
          <w:p>
            <w:pPr>
              <w:ind w:left="160"/>
              <w:spacing w:after="0" w:line="167" w:lineRule="exact"/>
              <w:rPr>
                <w:sz w:val="20"/>
                <w:szCs w:val="20"/>
                <w:color w:val="auto"/>
              </w:rPr>
            </w:pPr>
            <w:r>
              <w:rPr>
                <w:rFonts w:ascii="Times New Roman" w:cs="Times New Roman" w:eastAsia="Times New Roman" w:hAnsi="Times New Roman"/>
                <w:sz w:val="17"/>
                <w:szCs w:val="17"/>
                <w:color w:val="auto"/>
              </w:rPr>
              <w:t>Oct 2024)</w:t>
            </w:r>
          </w:p>
        </w:tc>
        <w:tc>
          <w:tcPr>
            <w:tcW w:w="3100" w:type="dxa"/>
            <w:vAlign w:val="bottom"/>
          </w:tcPr>
          <w:p>
            <w:pPr>
              <w:ind w:left="100"/>
              <w:spacing w:after="0" w:line="167" w:lineRule="exact"/>
              <w:rPr>
                <w:sz w:val="20"/>
                <w:szCs w:val="20"/>
                <w:color w:val="auto"/>
              </w:rPr>
            </w:pPr>
            <w:r>
              <w:rPr>
                <w:rFonts w:ascii="Times New Roman" w:cs="Times New Roman" w:eastAsia="Times New Roman" w:hAnsi="Times New Roman"/>
                <w:sz w:val="17"/>
                <w:szCs w:val="17"/>
                <w:color w:val="auto"/>
              </w:rPr>
              <w:t>Production;</w:t>
            </w:r>
          </w:p>
        </w:tc>
      </w:tr>
      <w:tr>
        <w:trPr>
          <w:trHeight w:val="170"/>
        </w:trPr>
        <w:tc>
          <w:tcPr>
            <w:tcW w:w="1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160" w:type="dxa"/>
            <w:vAlign w:val="bottom"/>
          </w:tcPr>
          <w:p>
            <w:pPr>
              <w:ind w:left="80"/>
              <w:spacing w:after="0" w:line="171" w:lineRule="exact"/>
              <w:rPr>
                <w:sz w:val="20"/>
                <w:szCs w:val="20"/>
                <w:color w:val="auto"/>
              </w:rPr>
            </w:pPr>
            <w:r>
              <w:rPr>
                <w:rFonts w:ascii="Times New Roman" w:cs="Times New Roman" w:eastAsia="Times New Roman" w:hAnsi="Times New Roman"/>
                <w:sz w:val="17"/>
                <w:szCs w:val="17"/>
                <w:color w:val="auto"/>
              </w:rPr>
              <w:t>Executive Vice President, Strategy, Policy &amp; Development (Oct</w:t>
            </w:r>
          </w:p>
        </w:tc>
        <w:tc>
          <w:tcPr>
            <w:tcW w:w="3100" w:type="dxa"/>
            <w:vAlign w:val="bottom"/>
          </w:tcPr>
          <w:p>
            <w:pPr>
              <w:ind w:left="100"/>
              <w:spacing w:after="0" w:line="171" w:lineRule="exact"/>
              <w:rPr>
                <w:sz w:val="20"/>
                <w:szCs w:val="20"/>
                <w:color w:val="auto"/>
              </w:rPr>
            </w:pPr>
            <w:r>
              <w:rPr>
                <w:rFonts w:ascii="Times New Roman" w:cs="Times New Roman" w:eastAsia="Times New Roman" w:hAnsi="Times New Roman"/>
                <w:sz w:val="17"/>
                <w:szCs w:val="17"/>
                <w:color w:val="auto"/>
              </w:rPr>
              <w:t>Downstream - Worldwide Manufacturing,</w:t>
            </w:r>
          </w:p>
        </w:tc>
      </w:tr>
      <w:tr>
        <w:trPr>
          <w:trHeight w:val="167"/>
        </w:trPr>
        <w:tc>
          <w:tcPr>
            <w:tcW w:w="1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160" w:type="dxa"/>
            <w:vAlign w:val="bottom"/>
          </w:tcPr>
          <w:p>
            <w:pPr>
              <w:ind w:left="160"/>
              <w:spacing w:after="0" w:line="167" w:lineRule="exact"/>
              <w:rPr>
                <w:sz w:val="20"/>
                <w:szCs w:val="20"/>
                <w:color w:val="auto"/>
              </w:rPr>
            </w:pPr>
            <w:r>
              <w:rPr>
                <w:rFonts w:ascii="Times New Roman" w:cs="Times New Roman" w:eastAsia="Times New Roman" w:hAnsi="Times New Roman"/>
                <w:sz w:val="17"/>
                <w:szCs w:val="17"/>
                <w:color w:val="auto"/>
              </w:rPr>
              <w:t>2022 - Sep 2023)</w:t>
            </w:r>
          </w:p>
        </w:tc>
        <w:tc>
          <w:tcPr>
            <w:tcW w:w="3100" w:type="dxa"/>
            <w:vAlign w:val="bottom"/>
          </w:tcPr>
          <w:p>
            <w:pPr>
              <w:ind w:left="100"/>
              <w:spacing w:after="0" w:line="167" w:lineRule="exact"/>
              <w:rPr>
                <w:sz w:val="20"/>
                <w:szCs w:val="20"/>
                <w:color w:val="auto"/>
              </w:rPr>
            </w:pPr>
            <w:r>
              <w:rPr>
                <w:rFonts w:ascii="Times New Roman" w:cs="Times New Roman" w:eastAsia="Times New Roman" w:hAnsi="Times New Roman"/>
                <w:sz w:val="17"/>
                <w:szCs w:val="17"/>
                <w:color w:val="auto"/>
              </w:rPr>
              <w:t>Marketing, Lubricants, and Chemicals;</w:t>
            </w:r>
          </w:p>
        </w:tc>
      </w:tr>
      <w:tr>
        <w:trPr>
          <w:trHeight w:val="175"/>
        </w:trPr>
        <w:tc>
          <w:tcPr>
            <w:tcW w:w="1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160" w:type="dxa"/>
            <w:vAlign w:val="bottom"/>
          </w:tcPr>
          <w:p>
            <w:pPr>
              <w:ind w:left="80"/>
              <w:spacing w:after="0" w:line="176" w:lineRule="exact"/>
              <w:rPr>
                <w:sz w:val="20"/>
                <w:szCs w:val="20"/>
                <w:color w:val="auto"/>
              </w:rPr>
            </w:pPr>
            <w:r>
              <w:rPr>
                <w:rFonts w:ascii="Times New Roman" w:cs="Times New Roman" w:eastAsia="Times New Roman" w:hAnsi="Times New Roman"/>
                <w:sz w:val="17"/>
                <w:szCs w:val="17"/>
                <w:color w:val="auto"/>
              </w:rPr>
              <w:t>Executive Vice President, Downstream (Mar 2019 - Sep 2022)</w:t>
            </w:r>
          </w:p>
        </w:tc>
        <w:tc>
          <w:tcPr>
            <w:tcW w:w="3100" w:type="dxa"/>
            <w:vAlign w:val="bottom"/>
          </w:tcPr>
          <w:p>
            <w:pPr>
              <w:ind w:left="100"/>
              <w:spacing w:after="0" w:line="176" w:lineRule="exact"/>
              <w:rPr>
                <w:sz w:val="20"/>
                <w:szCs w:val="20"/>
                <w:color w:val="auto"/>
              </w:rPr>
            </w:pPr>
            <w:r>
              <w:rPr>
                <w:rFonts w:ascii="Times New Roman" w:cs="Times New Roman" w:eastAsia="Times New Roman" w:hAnsi="Times New Roman"/>
                <w:sz w:val="17"/>
                <w:szCs w:val="17"/>
                <w:color w:val="auto"/>
              </w:rPr>
              <w:t>Midstream - Worldwide; Asset</w:t>
            </w:r>
          </w:p>
        </w:tc>
      </w:tr>
      <w:tr>
        <w:trPr>
          <w:trHeight w:val="170"/>
        </w:trPr>
        <w:tc>
          <w:tcPr>
            <w:tcW w:w="1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3100" w:type="dxa"/>
            <w:vAlign w:val="bottom"/>
          </w:tcPr>
          <w:p>
            <w:pPr>
              <w:ind w:left="100"/>
              <w:spacing w:after="0" w:line="171" w:lineRule="exact"/>
              <w:rPr>
                <w:sz w:val="20"/>
                <w:szCs w:val="20"/>
                <w:color w:val="auto"/>
              </w:rPr>
            </w:pPr>
            <w:r>
              <w:rPr>
                <w:rFonts w:ascii="Times New Roman" w:cs="Times New Roman" w:eastAsia="Times New Roman" w:hAnsi="Times New Roman"/>
                <w:sz w:val="17"/>
                <w:szCs w:val="17"/>
                <w:color w:val="auto"/>
              </w:rPr>
              <w:t>Performance and Process Safety; Health,</w:t>
            </w:r>
          </w:p>
        </w:tc>
      </w:tr>
      <w:tr>
        <w:trPr>
          <w:trHeight w:val="167"/>
        </w:trPr>
        <w:tc>
          <w:tcPr>
            <w:tcW w:w="1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3100" w:type="dxa"/>
            <w:vAlign w:val="bottom"/>
          </w:tcPr>
          <w:p>
            <w:pPr>
              <w:ind w:left="100"/>
              <w:spacing w:after="0" w:line="167" w:lineRule="exact"/>
              <w:rPr>
                <w:sz w:val="20"/>
                <w:szCs w:val="20"/>
                <w:color w:val="auto"/>
              </w:rPr>
            </w:pPr>
            <w:r>
              <w:rPr>
                <w:rFonts w:ascii="Times New Roman" w:cs="Times New Roman" w:eastAsia="Times New Roman" w:hAnsi="Times New Roman"/>
                <w:sz w:val="17"/>
                <w:szCs w:val="17"/>
                <w:color w:val="auto"/>
              </w:rPr>
              <w:t>Safety and Environment; Supply Chain</w:t>
            </w:r>
          </w:p>
        </w:tc>
      </w:tr>
      <w:tr>
        <w:trPr>
          <w:trHeight w:val="231"/>
        </w:trPr>
        <w:tc>
          <w:tcPr>
            <w:tcW w:w="1420" w:type="dxa"/>
            <w:vAlign w:val="bottom"/>
            <w:tcBorders>
              <w:bottom w:val="single" w:sz="8" w:color="0077C0"/>
            </w:tcBorders>
          </w:tcPr>
          <w:p>
            <w:pPr>
              <w:spacing w:after="0"/>
              <w:rPr>
                <w:sz w:val="20"/>
                <w:szCs w:val="20"/>
                <w:color w:val="auto"/>
              </w:rPr>
            </w:pPr>
          </w:p>
        </w:tc>
        <w:tc>
          <w:tcPr>
            <w:tcW w:w="560" w:type="dxa"/>
            <w:vAlign w:val="bottom"/>
            <w:tcBorders>
              <w:bottom w:val="single" w:sz="8" w:color="0077C0"/>
            </w:tcBorders>
          </w:tcPr>
          <w:p>
            <w:pPr>
              <w:spacing w:after="0"/>
              <w:rPr>
                <w:sz w:val="20"/>
                <w:szCs w:val="20"/>
                <w:color w:val="auto"/>
              </w:rPr>
            </w:pPr>
          </w:p>
        </w:tc>
        <w:tc>
          <w:tcPr>
            <w:tcW w:w="6160" w:type="dxa"/>
            <w:vAlign w:val="bottom"/>
            <w:tcBorders>
              <w:bottom w:val="single" w:sz="8" w:color="0077C0"/>
            </w:tcBorders>
          </w:tcPr>
          <w:p>
            <w:pPr>
              <w:spacing w:after="0"/>
              <w:rPr>
                <w:sz w:val="20"/>
                <w:szCs w:val="20"/>
                <w:color w:val="auto"/>
              </w:rPr>
            </w:pPr>
          </w:p>
        </w:tc>
        <w:tc>
          <w:tcPr>
            <w:tcW w:w="3100" w:type="dxa"/>
            <w:vAlign w:val="bottom"/>
            <w:tcBorders>
              <w:bottom w:val="single" w:sz="8" w:color="0077C0"/>
            </w:tcBorders>
          </w:tcPr>
          <w:p>
            <w:pPr>
              <w:ind w:left="100"/>
              <w:spacing w:after="0"/>
              <w:rPr>
                <w:sz w:val="20"/>
                <w:szCs w:val="20"/>
                <w:color w:val="auto"/>
              </w:rPr>
            </w:pPr>
            <w:r>
              <w:rPr>
                <w:rFonts w:ascii="Times New Roman" w:cs="Times New Roman" w:eastAsia="Times New Roman" w:hAnsi="Times New Roman"/>
                <w:sz w:val="17"/>
                <w:szCs w:val="17"/>
                <w:color w:val="auto"/>
              </w:rPr>
              <w:t>Management</w:t>
            </w:r>
          </w:p>
        </w:tc>
      </w:tr>
      <w:tr>
        <w:trPr>
          <w:trHeight w:val="162"/>
        </w:trPr>
        <w:tc>
          <w:tcPr>
            <w:tcW w:w="1420" w:type="dxa"/>
            <w:vAlign w:val="bottom"/>
          </w:tcPr>
          <w:p>
            <w:pPr>
              <w:ind w:left="20"/>
              <w:spacing w:after="0" w:line="162" w:lineRule="exact"/>
              <w:rPr>
                <w:sz w:val="20"/>
                <w:szCs w:val="20"/>
                <w:color w:val="auto"/>
              </w:rPr>
            </w:pPr>
            <w:r>
              <w:rPr>
                <w:rFonts w:ascii="Times New Roman" w:cs="Times New Roman" w:eastAsia="Times New Roman" w:hAnsi="Times New Roman"/>
                <w:sz w:val="17"/>
                <w:szCs w:val="17"/>
                <w:color w:val="auto"/>
              </w:rPr>
              <w:t>Jeff B. Gustavson</w:t>
            </w:r>
          </w:p>
        </w:tc>
        <w:tc>
          <w:tcPr>
            <w:tcW w:w="560" w:type="dxa"/>
            <w:vAlign w:val="bottom"/>
          </w:tcPr>
          <w:p>
            <w:pPr>
              <w:jc w:val="center"/>
              <w:spacing w:after="0" w:line="162" w:lineRule="exact"/>
              <w:rPr>
                <w:sz w:val="20"/>
                <w:szCs w:val="20"/>
                <w:color w:val="auto"/>
              </w:rPr>
            </w:pPr>
            <w:r>
              <w:rPr>
                <w:rFonts w:ascii="Times New Roman" w:cs="Times New Roman" w:eastAsia="Times New Roman" w:hAnsi="Times New Roman"/>
                <w:sz w:val="17"/>
                <w:szCs w:val="17"/>
                <w:color w:val="auto"/>
                <w:w w:val="93"/>
              </w:rPr>
              <w:t>52</w:t>
            </w:r>
          </w:p>
        </w:tc>
        <w:tc>
          <w:tcPr>
            <w:tcW w:w="6160" w:type="dxa"/>
            <w:vAlign w:val="bottom"/>
          </w:tcPr>
          <w:p>
            <w:pPr>
              <w:ind w:left="80"/>
              <w:spacing w:after="0" w:line="162" w:lineRule="exact"/>
              <w:rPr>
                <w:sz w:val="20"/>
                <w:szCs w:val="20"/>
                <w:color w:val="auto"/>
              </w:rPr>
            </w:pPr>
            <w:r>
              <w:rPr>
                <w:rFonts w:ascii="Times New Roman" w:cs="Times New Roman" w:eastAsia="Times New Roman" w:hAnsi="Times New Roman"/>
                <w:sz w:val="17"/>
                <w:szCs w:val="17"/>
                <w:color w:val="auto"/>
              </w:rPr>
              <w:t>Vice President, Lower Carbon Energies (since Aug 2021)</w:t>
            </w:r>
          </w:p>
        </w:tc>
        <w:tc>
          <w:tcPr>
            <w:tcW w:w="3100" w:type="dxa"/>
            <w:vAlign w:val="bottom"/>
          </w:tcPr>
          <w:p>
            <w:pPr>
              <w:ind w:left="100"/>
              <w:spacing w:after="0" w:line="162" w:lineRule="exact"/>
              <w:rPr>
                <w:sz w:val="20"/>
                <w:szCs w:val="20"/>
                <w:color w:val="auto"/>
              </w:rPr>
            </w:pPr>
            <w:r>
              <w:rPr>
                <w:rFonts w:ascii="Times New Roman" w:cs="Times New Roman" w:eastAsia="Times New Roman" w:hAnsi="Times New Roman"/>
                <w:sz w:val="17"/>
                <w:szCs w:val="17"/>
                <w:color w:val="auto"/>
              </w:rPr>
              <w:t>Lower Carbon Solutions</w:t>
            </w:r>
          </w:p>
        </w:tc>
      </w:tr>
      <w:tr>
        <w:trPr>
          <w:trHeight w:val="226"/>
        </w:trPr>
        <w:tc>
          <w:tcPr>
            <w:tcW w:w="1420" w:type="dxa"/>
            <w:vAlign w:val="bottom"/>
            <w:tcBorders>
              <w:bottom w:val="single" w:sz="8" w:color="0077C0"/>
            </w:tcBorders>
          </w:tcPr>
          <w:p>
            <w:pPr>
              <w:spacing w:after="0"/>
              <w:rPr>
                <w:sz w:val="19"/>
                <w:szCs w:val="19"/>
                <w:color w:val="auto"/>
              </w:rPr>
            </w:pPr>
          </w:p>
        </w:tc>
        <w:tc>
          <w:tcPr>
            <w:tcW w:w="560" w:type="dxa"/>
            <w:vAlign w:val="bottom"/>
            <w:tcBorders>
              <w:bottom w:val="single" w:sz="8" w:color="0077C0"/>
            </w:tcBorders>
          </w:tcPr>
          <w:p>
            <w:pPr>
              <w:spacing w:after="0"/>
              <w:rPr>
                <w:sz w:val="19"/>
                <w:szCs w:val="19"/>
                <w:color w:val="auto"/>
              </w:rPr>
            </w:pPr>
          </w:p>
        </w:tc>
        <w:tc>
          <w:tcPr>
            <w:tcW w:w="6160" w:type="dxa"/>
            <w:vAlign w:val="bottom"/>
            <w:tcBorders>
              <w:bottom w:val="single" w:sz="8" w:color="0077C0"/>
            </w:tcBorders>
          </w:tcPr>
          <w:p>
            <w:pPr>
              <w:ind w:left="80"/>
              <w:spacing w:after="0"/>
              <w:rPr>
                <w:sz w:val="20"/>
                <w:szCs w:val="20"/>
                <w:color w:val="auto"/>
              </w:rPr>
            </w:pPr>
            <w:r>
              <w:rPr>
                <w:rFonts w:ascii="Times New Roman" w:cs="Times New Roman" w:eastAsia="Times New Roman" w:hAnsi="Times New Roman"/>
                <w:sz w:val="17"/>
                <w:szCs w:val="17"/>
                <w:color w:val="auto"/>
              </w:rPr>
              <w:t>Vice President, Midcontinent (Feb 2018 - Jul 2021)</w:t>
            </w:r>
          </w:p>
        </w:tc>
        <w:tc>
          <w:tcPr>
            <w:tcW w:w="3100" w:type="dxa"/>
            <w:vAlign w:val="bottom"/>
            <w:tcBorders>
              <w:bottom w:val="single" w:sz="8" w:color="0077C0"/>
            </w:tcBorders>
          </w:tcPr>
          <w:p>
            <w:pPr>
              <w:spacing w:after="0"/>
              <w:rPr>
                <w:sz w:val="19"/>
                <w:szCs w:val="19"/>
                <w:color w:val="auto"/>
              </w:rPr>
            </w:pPr>
          </w:p>
        </w:tc>
      </w:tr>
      <w:tr>
        <w:trPr>
          <w:trHeight w:val="159"/>
        </w:trPr>
        <w:tc>
          <w:tcPr>
            <w:tcW w:w="1420" w:type="dxa"/>
            <w:vAlign w:val="bottom"/>
          </w:tcPr>
          <w:p>
            <w:pPr>
              <w:ind w:left="20"/>
              <w:spacing w:after="0" w:line="159" w:lineRule="exact"/>
              <w:rPr>
                <w:sz w:val="20"/>
                <w:szCs w:val="20"/>
                <w:color w:val="auto"/>
              </w:rPr>
            </w:pPr>
            <w:r>
              <w:rPr>
                <w:rFonts w:ascii="Times New Roman" w:cs="Times New Roman" w:eastAsia="Times New Roman" w:hAnsi="Times New Roman"/>
                <w:sz w:val="17"/>
                <w:szCs w:val="17"/>
                <w:color w:val="auto"/>
              </w:rPr>
              <w:t>Balaji</w:t>
            </w:r>
          </w:p>
        </w:tc>
        <w:tc>
          <w:tcPr>
            <w:tcW w:w="560" w:type="dxa"/>
            <w:vAlign w:val="bottom"/>
          </w:tcPr>
          <w:p>
            <w:pPr>
              <w:jc w:val="center"/>
              <w:spacing w:after="0" w:line="159" w:lineRule="exact"/>
              <w:rPr>
                <w:sz w:val="20"/>
                <w:szCs w:val="20"/>
                <w:color w:val="auto"/>
              </w:rPr>
            </w:pPr>
            <w:r>
              <w:rPr>
                <w:rFonts w:ascii="Times New Roman" w:cs="Times New Roman" w:eastAsia="Times New Roman" w:hAnsi="Times New Roman"/>
                <w:sz w:val="17"/>
                <w:szCs w:val="17"/>
                <w:color w:val="auto"/>
                <w:w w:val="93"/>
              </w:rPr>
              <w:t>48</w:t>
            </w:r>
          </w:p>
        </w:tc>
        <w:tc>
          <w:tcPr>
            <w:tcW w:w="6160" w:type="dxa"/>
            <w:vAlign w:val="bottom"/>
          </w:tcPr>
          <w:p>
            <w:pPr>
              <w:ind w:left="80"/>
              <w:spacing w:after="0" w:line="159" w:lineRule="exact"/>
              <w:rPr>
                <w:sz w:val="20"/>
                <w:szCs w:val="20"/>
                <w:color w:val="auto"/>
              </w:rPr>
            </w:pPr>
            <w:r>
              <w:rPr>
                <w:rFonts w:ascii="Times New Roman" w:cs="Times New Roman" w:eastAsia="Times New Roman" w:hAnsi="Times New Roman"/>
                <w:sz w:val="17"/>
                <w:szCs w:val="17"/>
                <w:color w:val="auto"/>
              </w:rPr>
              <w:t>Vice President (since Oct 2022); Vice President, Chevron Technical Center (since Jan</w:t>
            </w:r>
          </w:p>
        </w:tc>
        <w:tc>
          <w:tcPr>
            <w:tcW w:w="3100" w:type="dxa"/>
            <w:vAlign w:val="bottom"/>
          </w:tcPr>
          <w:p>
            <w:pPr>
              <w:ind w:left="100"/>
              <w:spacing w:after="0" w:line="159" w:lineRule="exact"/>
              <w:rPr>
                <w:sz w:val="20"/>
                <w:szCs w:val="20"/>
                <w:color w:val="auto"/>
              </w:rPr>
            </w:pPr>
            <w:r>
              <w:rPr>
                <w:rFonts w:ascii="Times New Roman" w:cs="Times New Roman" w:eastAsia="Times New Roman" w:hAnsi="Times New Roman"/>
                <w:sz w:val="17"/>
                <w:szCs w:val="17"/>
                <w:color w:val="auto"/>
              </w:rPr>
              <w:t>Subsurface; Global Reserves; Wells;</w:t>
            </w:r>
          </w:p>
        </w:tc>
      </w:tr>
      <w:tr>
        <w:trPr>
          <w:trHeight w:val="167"/>
        </w:trPr>
        <w:tc>
          <w:tcPr>
            <w:tcW w:w="142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Krishnamurthy</w:t>
            </w:r>
          </w:p>
        </w:tc>
        <w:tc>
          <w:tcPr>
            <w:tcW w:w="560" w:type="dxa"/>
            <w:vAlign w:val="bottom"/>
          </w:tcPr>
          <w:p>
            <w:pPr>
              <w:spacing w:after="0"/>
              <w:rPr>
                <w:sz w:val="14"/>
                <w:szCs w:val="14"/>
                <w:color w:val="auto"/>
              </w:rPr>
            </w:pPr>
          </w:p>
        </w:tc>
        <w:tc>
          <w:tcPr>
            <w:tcW w:w="6160" w:type="dxa"/>
            <w:vAlign w:val="bottom"/>
          </w:tcPr>
          <w:p>
            <w:pPr>
              <w:ind w:left="160"/>
              <w:spacing w:after="0" w:line="167" w:lineRule="exact"/>
              <w:rPr>
                <w:sz w:val="20"/>
                <w:szCs w:val="20"/>
                <w:color w:val="auto"/>
              </w:rPr>
            </w:pPr>
            <w:r>
              <w:rPr>
                <w:rFonts w:ascii="Times New Roman" w:cs="Times New Roman" w:eastAsia="Times New Roman" w:hAnsi="Times New Roman"/>
                <w:sz w:val="17"/>
                <w:szCs w:val="17"/>
                <w:color w:val="auto"/>
              </w:rPr>
              <w:t>2024)</w:t>
            </w:r>
          </w:p>
        </w:tc>
        <w:tc>
          <w:tcPr>
            <w:tcW w:w="3100" w:type="dxa"/>
            <w:vAlign w:val="bottom"/>
          </w:tcPr>
          <w:p>
            <w:pPr>
              <w:ind w:left="100"/>
              <w:spacing w:after="0" w:line="167" w:lineRule="exact"/>
              <w:rPr>
                <w:sz w:val="20"/>
                <w:szCs w:val="20"/>
                <w:color w:val="auto"/>
              </w:rPr>
            </w:pPr>
            <w:r>
              <w:rPr>
                <w:rFonts w:ascii="Times New Roman" w:cs="Times New Roman" w:eastAsia="Times New Roman" w:hAnsi="Times New Roman"/>
                <w:sz w:val="17"/>
                <w:szCs w:val="17"/>
                <w:color w:val="auto"/>
              </w:rPr>
              <w:t>Facilities Designs and Solutions; Capital</w:t>
            </w:r>
          </w:p>
        </w:tc>
      </w:tr>
      <w:tr>
        <w:trPr>
          <w:trHeight w:val="170"/>
        </w:trPr>
        <w:tc>
          <w:tcPr>
            <w:tcW w:w="1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160" w:type="dxa"/>
            <w:vAlign w:val="bottom"/>
          </w:tcPr>
          <w:p>
            <w:pPr>
              <w:ind w:left="80"/>
              <w:spacing w:after="0" w:line="171" w:lineRule="exact"/>
              <w:rPr>
                <w:sz w:val="20"/>
                <w:szCs w:val="20"/>
                <w:color w:val="auto"/>
              </w:rPr>
            </w:pPr>
            <w:r>
              <w:rPr>
                <w:rFonts w:ascii="Times New Roman" w:cs="Times New Roman" w:eastAsia="Times New Roman" w:hAnsi="Times New Roman"/>
                <w:sz w:val="17"/>
                <w:szCs w:val="17"/>
                <w:color w:val="auto"/>
              </w:rPr>
              <w:t>Vice President, Strategy &amp; Sustainability (Oct 2022 - Sep 2023)</w:t>
            </w:r>
          </w:p>
        </w:tc>
        <w:tc>
          <w:tcPr>
            <w:tcW w:w="3100" w:type="dxa"/>
            <w:vAlign w:val="bottom"/>
          </w:tcPr>
          <w:p>
            <w:pPr>
              <w:ind w:left="100"/>
              <w:spacing w:after="0" w:line="171" w:lineRule="exact"/>
              <w:rPr>
                <w:sz w:val="20"/>
                <w:szCs w:val="20"/>
                <w:color w:val="auto"/>
              </w:rPr>
            </w:pPr>
            <w:r>
              <w:rPr>
                <w:rFonts w:ascii="Times New Roman" w:cs="Times New Roman" w:eastAsia="Times New Roman" w:hAnsi="Times New Roman"/>
                <w:sz w:val="17"/>
                <w:szCs w:val="17"/>
                <w:color w:val="auto"/>
              </w:rPr>
              <w:t>Projects; Technology Strategy Execution</w:t>
            </w:r>
          </w:p>
        </w:tc>
      </w:tr>
      <w:tr>
        <w:trPr>
          <w:trHeight w:val="167"/>
        </w:trPr>
        <w:tc>
          <w:tcPr>
            <w:tcW w:w="1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160" w:type="dxa"/>
            <w:vAlign w:val="bottom"/>
          </w:tcPr>
          <w:p>
            <w:pPr>
              <w:ind w:left="80"/>
              <w:spacing w:after="0" w:line="167" w:lineRule="exact"/>
              <w:rPr>
                <w:sz w:val="20"/>
                <w:szCs w:val="20"/>
                <w:color w:val="auto"/>
              </w:rPr>
            </w:pPr>
            <w:r>
              <w:rPr>
                <w:rFonts w:ascii="Times New Roman" w:cs="Times New Roman" w:eastAsia="Times New Roman" w:hAnsi="Times New Roman"/>
                <w:sz w:val="17"/>
                <w:szCs w:val="17"/>
                <w:color w:val="auto"/>
              </w:rPr>
              <w:t>President, Chevron Canada Limited (Jun 2021 - Sep 2022)</w:t>
            </w:r>
          </w:p>
        </w:tc>
        <w:tc>
          <w:tcPr>
            <w:tcW w:w="3100" w:type="dxa"/>
            <w:vAlign w:val="bottom"/>
          </w:tcPr>
          <w:p>
            <w:pPr>
              <w:ind w:left="100"/>
              <w:spacing w:after="0" w:line="167" w:lineRule="exact"/>
              <w:rPr>
                <w:sz w:val="20"/>
                <w:szCs w:val="20"/>
                <w:color w:val="auto"/>
              </w:rPr>
            </w:pPr>
            <w:r>
              <w:rPr>
                <w:rFonts w:ascii="Times New Roman" w:cs="Times New Roman" w:eastAsia="Times New Roman" w:hAnsi="Times New Roman"/>
                <w:sz w:val="17"/>
                <w:szCs w:val="17"/>
                <w:color w:val="auto"/>
              </w:rPr>
              <w:t>and Performance; Information Technology;</w:t>
            </w:r>
          </w:p>
        </w:tc>
      </w:tr>
      <w:tr>
        <w:trPr>
          <w:trHeight w:val="175"/>
        </w:trPr>
        <w:tc>
          <w:tcPr>
            <w:tcW w:w="1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160" w:type="dxa"/>
            <w:vAlign w:val="bottom"/>
          </w:tcPr>
          <w:p>
            <w:pPr>
              <w:ind w:left="80"/>
              <w:spacing w:after="0" w:line="176" w:lineRule="exact"/>
              <w:rPr>
                <w:sz w:val="20"/>
                <w:szCs w:val="20"/>
                <w:color w:val="auto"/>
              </w:rPr>
            </w:pPr>
            <w:r>
              <w:rPr>
                <w:rFonts w:ascii="Times New Roman" w:cs="Times New Roman" w:eastAsia="Times New Roman" w:hAnsi="Times New Roman"/>
                <w:sz w:val="17"/>
                <w:szCs w:val="17"/>
                <w:color w:val="auto"/>
              </w:rPr>
              <w:t>General Manager, Corporate Transformation and Integration Management (Dec 2019 -</w:t>
            </w:r>
          </w:p>
        </w:tc>
        <w:tc>
          <w:tcPr>
            <w:tcW w:w="3100" w:type="dxa"/>
            <w:vAlign w:val="bottom"/>
          </w:tcPr>
          <w:p>
            <w:pPr>
              <w:ind w:left="100"/>
              <w:spacing w:after="0" w:line="176" w:lineRule="exact"/>
              <w:rPr>
                <w:sz w:val="20"/>
                <w:szCs w:val="20"/>
                <w:color w:val="auto"/>
              </w:rPr>
            </w:pPr>
            <w:r>
              <w:rPr>
                <w:rFonts w:ascii="Times New Roman" w:cs="Times New Roman" w:eastAsia="Times New Roman" w:hAnsi="Times New Roman"/>
                <w:sz w:val="17"/>
                <w:szCs w:val="17"/>
                <w:color w:val="auto"/>
              </w:rPr>
              <w:t>Environmental Management; Innovation</w:t>
            </w:r>
          </w:p>
        </w:tc>
      </w:tr>
      <w:tr>
        <w:trPr>
          <w:trHeight w:val="231"/>
        </w:trPr>
        <w:tc>
          <w:tcPr>
            <w:tcW w:w="1420" w:type="dxa"/>
            <w:vAlign w:val="bottom"/>
            <w:tcBorders>
              <w:bottom w:val="single" w:sz="8" w:color="0077C0"/>
            </w:tcBorders>
          </w:tcPr>
          <w:p>
            <w:pPr>
              <w:spacing w:after="0"/>
              <w:rPr>
                <w:sz w:val="20"/>
                <w:szCs w:val="20"/>
                <w:color w:val="auto"/>
              </w:rPr>
            </w:pPr>
          </w:p>
        </w:tc>
        <w:tc>
          <w:tcPr>
            <w:tcW w:w="560" w:type="dxa"/>
            <w:vAlign w:val="bottom"/>
            <w:tcBorders>
              <w:bottom w:val="single" w:sz="8" w:color="0077C0"/>
            </w:tcBorders>
          </w:tcPr>
          <w:p>
            <w:pPr>
              <w:spacing w:after="0"/>
              <w:rPr>
                <w:sz w:val="20"/>
                <w:szCs w:val="20"/>
                <w:color w:val="auto"/>
              </w:rPr>
            </w:pPr>
          </w:p>
        </w:tc>
        <w:tc>
          <w:tcPr>
            <w:tcW w:w="6160" w:type="dxa"/>
            <w:vAlign w:val="bottom"/>
            <w:tcBorders>
              <w:bottom w:val="single" w:sz="8" w:color="0077C0"/>
            </w:tcBorders>
          </w:tcPr>
          <w:p>
            <w:pPr>
              <w:ind w:left="160"/>
              <w:spacing w:after="0"/>
              <w:rPr>
                <w:sz w:val="20"/>
                <w:szCs w:val="20"/>
                <w:color w:val="auto"/>
              </w:rPr>
            </w:pPr>
            <w:r>
              <w:rPr>
                <w:rFonts w:ascii="Times New Roman" w:cs="Times New Roman" w:eastAsia="Times New Roman" w:hAnsi="Times New Roman"/>
                <w:sz w:val="17"/>
                <w:szCs w:val="17"/>
                <w:color w:val="auto"/>
              </w:rPr>
              <w:t>May 2021)</w:t>
            </w:r>
          </w:p>
        </w:tc>
        <w:tc>
          <w:tcPr>
            <w:tcW w:w="3100" w:type="dxa"/>
            <w:vAlign w:val="bottom"/>
            <w:tcBorders>
              <w:bottom w:val="single" w:sz="8" w:color="0077C0"/>
            </w:tcBorders>
          </w:tcPr>
          <w:p>
            <w:pPr>
              <w:spacing w:after="0"/>
              <w:rPr>
                <w:sz w:val="20"/>
                <w:szCs w:val="20"/>
                <w:color w:val="auto"/>
              </w:rPr>
            </w:pPr>
          </w:p>
        </w:tc>
      </w:tr>
      <w:tr>
        <w:trPr>
          <w:trHeight w:val="226"/>
        </w:trPr>
        <w:tc>
          <w:tcPr>
            <w:tcW w:w="142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7"/>
                <w:szCs w:val="17"/>
                <w:color w:val="auto"/>
              </w:rPr>
              <w:t>R. Hewitt Pate</w:t>
            </w:r>
          </w:p>
        </w:tc>
        <w:tc>
          <w:tcPr>
            <w:tcW w:w="560" w:type="dxa"/>
            <w:vAlign w:val="bottom"/>
            <w:tcBorders>
              <w:bottom w:val="single" w:sz="8" w:color="0077C0"/>
            </w:tcBorders>
          </w:tcPr>
          <w:p>
            <w:pPr>
              <w:jc w:val="center"/>
              <w:spacing w:after="0"/>
              <w:rPr>
                <w:sz w:val="20"/>
                <w:szCs w:val="20"/>
                <w:color w:val="auto"/>
              </w:rPr>
            </w:pPr>
            <w:r>
              <w:rPr>
                <w:rFonts w:ascii="Times New Roman" w:cs="Times New Roman" w:eastAsia="Times New Roman" w:hAnsi="Times New Roman"/>
                <w:sz w:val="17"/>
                <w:szCs w:val="17"/>
                <w:color w:val="auto"/>
                <w:w w:val="93"/>
              </w:rPr>
              <w:t>62</w:t>
            </w:r>
          </w:p>
        </w:tc>
        <w:tc>
          <w:tcPr>
            <w:tcW w:w="6160" w:type="dxa"/>
            <w:vAlign w:val="bottom"/>
            <w:tcBorders>
              <w:bottom w:val="single" w:sz="8" w:color="0077C0"/>
            </w:tcBorders>
          </w:tcPr>
          <w:p>
            <w:pPr>
              <w:ind w:left="80"/>
              <w:spacing w:after="0"/>
              <w:rPr>
                <w:sz w:val="20"/>
                <w:szCs w:val="20"/>
                <w:color w:val="auto"/>
              </w:rPr>
            </w:pPr>
            <w:r>
              <w:rPr>
                <w:rFonts w:ascii="Times New Roman" w:cs="Times New Roman" w:eastAsia="Times New Roman" w:hAnsi="Times New Roman"/>
                <w:sz w:val="17"/>
                <w:szCs w:val="17"/>
                <w:color w:val="auto"/>
              </w:rPr>
              <w:t>Vice President and General Counsel (since Aug 2009)</w:t>
            </w:r>
          </w:p>
        </w:tc>
        <w:tc>
          <w:tcPr>
            <w:tcW w:w="3100" w:type="dxa"/>
            <w:vAlign w:val="bottom"/>
            <w:tcBorders>
              <w:bottom w:val="single" w:sz="8" w:color="0077C0"/>
            </w:tcBorders>
          </w:tcPr>
          <w:p>
            <w:pPr>
              <w:ind w:left="100"/>
              <w:spacing w:after="0"/>
              <w:rPr>
                <w:sz w:val="20"/>
                <w:szCs w:val="20"/>
                <w:color w:val="auto"/>
              </w:rPr>
            </w:pPr>
            <w:r>
              <w:rPr>
                <w:rFonts w:ascii="Times New Roman" w:cs="Times New Roman" w:eastAsia="Times New Roman" w:hAnsi="Times New Roman"/>
                <w:sz w:val="17"/>
                <w:szCs w:val="17"/>
                <w:color w:val="auto"/>
              </w:rPr>
              <w:t>Law, Governance and Compliance</w:t>
            </w:r>
          </w:p>
        </w:tc>
      </w:tr>
    </w:tbl>
    <w:p>
      <w:pPr>
        <w:spacing w:after="0" w:line="19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information about directors required by Item 401(a), (d), (e) and (f) of Regulation S-K and contained under the heading “Election of Directors” in the Notice of the 2025 Annual Meeting of Stockholders and 2025 Proxy Statement, to be filed pursuant to Rule 14a-6(b) under the Exchange Act in connection with the company’s 2025 Annual Meeting (the 2025 Proxy Statement), is incorporated by reference into this Annual Report on Form 10-K.</w:t>
      </w:r>
    </w:p>
    <w:p>
      <w:pPr>
        <w:spacing w:after="0" w:line="4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information required by Item 406 of Regulation S-K and contained under the heading “Business Conduct and Ethics Code” in the 2025 Proxy Statement is incorporated by reference into this Annual Report on Form 10-K.</w:t>
      </w:r>
    </w:p>
    <w:p>
      <w:pPr>
        <w:spacing w:after="0" w:line="2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information required by Item 407(d)(4) and (5) of Regulation S-K and contained under the heading “Corporate Governance — Board Committees” in the 2025 Proxy Statement is incorporated by reference into this Annual Report on Form 10-K.</w:t>
      </w:r>
    </w:p>
    <w:p>
      <w:pPr>
        <w:spacing w:after="0" w:line="2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information required by Item 408(b) of Regulation S-K and contained under the heading “Insider Trading and Prohibited Transactions Involving Chevron Securities” in the 2025 Proxy Statement is incorporated by reference into this Annual Report on Form 10-K.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Item 11. Executive Compensation</w:t>
      </w:r>
    </w:p>
    <w:p>
      <w:pPr>
        <w:spacing w:after="0" w:line="9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information required by Item 402 of Regulation S-K and contained under the headings “Executive Compensation,” “Director Compensation” and “CEO Pay Ratio” in the 2025 Proxy Statement is incorporated by reference into this Annual Report on Form 10-K.</w:t>
      </w:r>
    </w:p>
    <w:p>
      <w:pPr>
        <w:spacing w:after="0" w:line="2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information required by Item 407(e)(5) of Regulation S-K and contained under the heading “Corporate Governance — Management Compensation Committee Report” in the 2025 Proxy Statement is incorporated herein by reference into this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33" w:name="page34"/>
    <w:bookmarkEnd w:id="33"/>
    <w:p>
      <w:pPr>
        <w:ind w:left="10100"/>
        <w:spacing w:after="0"/>
        <w:rPr>
          <w:sz w:val="20"/>
          <w:szCs w:val="20"/>
          <w:color w:val="auto"/>
        </w:rPr>
      </w:pPr>
      <w:r>
        <w:rPr>
          <w:rFonts w:ascii="Arial" w:cs="Arial" w:eastAsia="Arial" w:hAnsi="Arial"/>
          <w:sz w:val="14"/>
          <w:szCs w:val="14"/>
          <w:color w:val="0077C0"/>
        </w:rPr>
        <w:t>Table of Contents</w:t>
      </w:r>
    </w:p>
    <w:p>
      <w:pPr>
        <w:spacing w:after="0" w:line="200" w:lineRule="exact"/>
        <w:rPr>
          <w:sz w:val="20"/>
          <w:szCs w:val="20"/>
          <w:color w:val="auto"/>
        </w:rPr>
      </w:pPr>
    </w:p>
    <w:p>
      <w:pPr>
        <w:spacing w:after="0" w:line="3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Annual Report on Form 10-K. Pursuant to the rules and regulations of the SEC under the Exchange Act, the information under such caption incorporated by reference from the 2025 Proxy Statement shall not be deemed to be “soliciting material,” or to be “filed” with the Commission, or subject to Regulation 14A or 14C or the liabilities of Section 18 of the Exchange Act, nor shall it be deemed incorporated by reference into any filing under the Securities Act of 1933.</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Item 12. Security Ownership of Certain Beneficial Owners and Management and Related Stockholder Matters</w:t>
      </w:r>
    </w:p>
    <w:p>
      <w:pPr>
        <w:spacing w:after="0" w:line="9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information required by Item 403 of Regulation S-K and contained under the heading “Stock Ownership Information — Security Ownership of Certain Beneficial Owners and Management” in the 2025 Proxy Statement is incorporated by reference into this Annual Report on Form 10-K.</w:t>
      </w:r>
    </w:p>
    <w:p>
      <w:pPr>
        <w:spacing w:after="0" w:line="28"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The information required by Item 201(d) of Regulation S-K and contained under the heading “Equity Compensation Plan Information” in the 2025 Proxy Statement is incorporated by reference into this Annual Report on Form 10-K.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Item 13. Certain Relationships and Related Transactions, and Director Independence</w:t>
      </w:r>
    </w:p>
    <w:p>
      <w:pPr>
        <w:spacing w:after="0" w:line="9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information required by Item 404 of Regulation S-K and contained under the heading “Related Person Transactions” in the 2025 Proxy Statement is incorporated by reference into this Annual Report on Form 10-K.</w:t>
      </w:r>
    </w:p>
    <w:p>
      <w:pPr>
        <w:spacing w:after="0" w:line="28"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The information required by Item 407(a) of Regulation S-K and contained under the heading “Corporate Governance — Director Independence” in the 2025 Proxy Statement is incorporated by reference into this Annual Report on Form 10-K.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Item 14. Principal Accountant Fees and Services</w:t>
      </w:r>
    </w:p>
    <w:p>
      <w:pPr>
        <w:spacing w:after="0" w:line="9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information required by Item 9(e) of Schedule 14A and contained under the heading “Board Proposal to Ratify PricewaterhouseCoopers LLP as the Independent Registered Public Accounting Firm for 2025” in the 2025 Proxy Statement is incorporated by reference into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34" w:name="page35"/>
    <w:bookmarkEnd w:id="34"/>
    <w:p>
      <w:pPr>
        <w:spacing w:after="0"/>
        <w:tabs>
          <w:tab w:leader="none" w:pos="10060" w:val="left"/>
        </w:tabs>
        <w:rPr>
          <w:sz w:val="20"/>
          <w:szCs w:val="20"/>
          <w:color w:val="auto"/>
        </w:rPr>
      </w:pPr>
      <w:r>
        <w:rPr>
          <w:rFonts w:ascii="Arial" w:cs="Arial" w:eastAsia="Arial" w:hAnsi="Arial"/>
          <w:sz w:val="18"/>
          <w:szCs w:val="18"/>
          <w:color w:val="0077C0"/>
        </w:rPr>
        <w:t>Financial Table of Contents</w:t>
      </w:r>
      <w:r>
        <w:rPr>
          <w:sz w:val="20"/>
          <w:szCs w:val="20"/>
          <w:color w:val="auto"/>
        </w:rPr>
        <w:tab/>
      </w:r>
      <w:r>
        <w:rPr>
          <w:rFonts w:ascii="Arial" w:cs="Arial" w:eastAsia="Arial" w:hAnsi="Arial"/>
          <w:sz w:val="14"/>
          <w:szCs w:val="14"/>
          <w:color w:val="0077C0"/>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488950</wp:posOffset>
            </wp:positionV>
            <wp:extent cx="7123430" cy="68319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23430" cy="6831965"/>
                    </a:xfrm>
                    <a:prstGeom prst="rect">
                      <a:avLst/>
                    </a:prstGeom>
                    <a:noFill/>
                  </pic:spPr>
                </pic:pic>
              </a:graphicData>
            </a:graphic>
          </wp:anchor>
        </w:drawing>
      </w:r>
    </w:p>
    <w:p>
      <w:pPr>
        <w:sectPr>
          <w:pgSz w:w="11900" w:h="16838" w:orient="portrait"/>
          <w:cols w:equalWidth="0" w:num="1">
            <w:col w:w="11200"/>
          </w:cols>
          <w:pgMar w:left="340" w:top="16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0" w:right="1100"/>
        <w:spacing w:after="0" w:line="253" w:lineRule="auto"/>
        <w:rPr>
          <w:sz w:val="20"/>
          <w:szCs w:val="20"/>
          <w:color w:val="auto"/>
        </w:rPr>
      </w:pPr>
      <w:r>
        <w:rPr>
          <w:rFonts w:ascii="Arial" w:cs="Arial" w:eastAsia="Arial" w:hAnsi="Arial"/>
          <w:sz w:val="16"/>
          <w:szCs w:val="16"/>
          <w:b w:val="1"/>
          <w:bCs w:val="1"/>
          <w:color w:val="0077C0"/>
        </w:rPr>
        <w:t>Management’s Discussion and Analysis of Financial Condition and Results of Operations</w:t>
      </w:r>
    </w:p>
    <w:p>
      <w:pPr>
        <w:spacing w:after="0" w:line="11" w:lineRule="exact"/>
        <w:rPr>
          <w:sz w:val="20"/>
          <w:szCs w:val="20"/>
          <w:color w:val="auto"/>
        </w:rPr>
      </w:pPr>
    </w:p>
    <w:tbl>
      <w:tblPr>
        <w:tblLayout w:type="fixed"/>
        <w:tblInd w:w="100" w:type="dxa"/>
        <w:tblCellMar>
          <w:top w:w="0" w:type="dxa"/>
          <w:left w:w="0" w:type="dxa"/>
          <w:bottom w:w="0" w:type="dxa"/>
          <w:right w:w="0" w:type="dxa"/>
        </w:tblCellMar>
      </w:tblPr>
      <w:tr>
        <w:trPr>
          <w:trHeight w:val="151"/>
        </w:trPr>
        <w:tc>
          <w:tcPr>
            <w:tcW w:w="454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Key Financial Results</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0000FF"/>
                <w:w w:val="96"/>
              </w:rPr>
              <w:t>35</w:t>
            </w:r>
          </w:p>
        </w:tc>
      </w:tr>
      <w:tr>
        <w:trPr>
          <w:trHeight w:val="172"/>
        </w:trPr>
        <w:tc>
          <w:tcPr>
            <w:tcW w:w="454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Earnings by Major Operating Area</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0000FF"/>
                <w:w w:val="96"/>
              </w:rPr>
              <w:t>35</w:t>
            </w:r>
          </w:p>
        </w:tc>
      </w:tr>
      <w:tr>
        <w:trPr>
          <w:trHeight w:val="175"/>
        </w:trPr>
        <w:tc>
          <w:tcPr>
            <w:tcW w:w="454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Business Environment and Outlook</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0000FF"/>
                <w:w w:val="96"/>
              </w:rPr>
              <w:t>35</w:t>
            </w:r>
          </w:p>
        </w:tc>
      </w:tr>
      <w:tr>
        <w:trPr>
          <w:trHeight w:val="176"/>
        </w:trPr>
        <w:tc>
          <w:tcPr>
            <w:tcW w:w="454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Noteworthy Developments</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0000FF"/>
                <w:w w:val="96"/>
              </w:rPr>
              <w:t>42</w:t>
            </w:r>
          </w:p>
        </w:tc>
      </w:tr>
      <w:tr>
        <w:trPr>
          <w:trHeight w:val="176"/>
        </w:trPr>
        <w:tc>
          <w:tcPr>
            <w:tcW w:w="454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Results of Operations</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0000FF"/>
                <w:w w:val="96"/>
              </w:rPr>
              <w:t>43</w:t>
            </w:r>
          </w:p>
        </w:tc>
      </w:tr>
      <w:tr>
        <w:trPr>
          <w:trHeight w:val="175"/>
        </w:trPr>
        <w:tc>
          <w:tcPr>
            <w:tcW w:w="454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Consolidated Statement of Income</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0000FF"/>
                <w:w w:val="96"/>
              </w:rPr>
              <w:t>45</w:t>
            </w:r>
          </w:p>
        </w:tc>
      </w:tr>
      <w:tr>
        <w:trPr>
          <w:trHeight w:val="176"/>
        </w:trPr>
        <w:tc>
          <w:tcPr>
            <w:tcW w:w="454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Selected Operating Data</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0000FF"/>
                <w:w w:val="96"/>
              </w:rPr>
              <w:t>47</w:t>
            </w:r>
          </w:p>
        </w:tc>
      </w:tr>
      <w:tr>
        <w:trPr>
          <w:trHeight w:val="175"/>
        </w:trPr>
        <w:tc>
          <w:tcPr>
            <w:tcW w:w="454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Liquidity and Capital Resources</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0000FF"/>
                <w:w w:val="96"/>
              </w:rPr>
              <w:t>48</w:t>
            </w:r>
          </w:p>
        </w:tc>
      </w:tr>
      <w:tr>
        <w:trPr>
          <w:trHeight w:val="176"/>
        </w:trPr>
        <w:tc>
          <w:tcPr>
            <w:tcW w:w="454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Financial Ratios and Metrics</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0000FF"/>
                <w:w w:val="96"/>
              </w:rPr>
              <w:t>52</w:t>
            </w:r>
          </w:p>
        </w:tc>
      </w:tr>
      <w:tr>
        <w:trPr>
          <w:trHeight w:val="175"/>
        </w:trPr>
        <w:tc>
          <w:tcPr>
            <w:tcW w:w="454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Financial and Derivative Instrument Market Risk</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0000FF"/>
                <w:w w:val="96"/>
              </w:rPr>
              <w:t>53</w:t>
            </w:r>
          </w:p>
        </w:tc>
      </w:tr>
      <w:tr>
        <w:trPr>
          <w:trHeight w:val="176"/>
        </w:trPr>
        <w:tc>
          <w:tcPr>
            <w:tcW w:w="454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Transactions With Related Parties</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0000FF"/>
                <w:w w:val="96"/>
              </w:rPr>
              <w:t>54</w:t>
            </w:r>
          </w:p>
        </w:tc>
      </w:tr>
      <w:tr>
        <w:trPr>
          <w:trHeight w:val="176"/>
        </w:trPr>
        <w:tc>
          <w:tcPr>
            <w:tcW w:w="454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Litigation and Other Contingencies</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0000FF"/>
                <w:w w:val="96"/>
              </w:rPr>
              <w:t>54</w:t>
            </w:r>
          </w:p>
        </w:tc>
      </w:tr>
      <w:tr>
        <w:trPr>
          <w:trHeight w:val="175"/>
        </w:trPr>
        <w:tc>
          <w:tcPr>
            <w:tcW w:w="454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Environmental Matters</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0000FF"/>
                <w:w w:val="96"/>
              </w:rPr>
              <w:t>55</w:t>
            </w:r>
          </w:p>
        </w:tc>
      </w:tr>
      <w:tr>
        <w:trPr>
          <w:trHeight w:val="176"/>
        </w:trPr>
        <w:tc>
          <w:tcPr>
            <w:tcW w:w="454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Critical Accounting Estimates and Assumptions</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0000FF"/>
                <w:w w:val="96"/>
              </w:rPr>
              <w:t>56</w:t>
            </w:r>
          </w:p>
        </w:tc>
      </w:tr>
      <w:tr>
        <w:trPr>
          <w:trHeight w:val="175"/>
        </w:trPr>
        <w:tc>
          <w:tcPr>
            <w:tcW w:w="454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New Accounting Standards</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0000FF"/>
                <w:w w:val="96"/>
              </w:rPr>
              <w:t>59</w:t>
            </w:r>
          </w:p>
        </w:tc>
      </w:tr>
      <w:tr>
        <w:trPr>
          <w:trHeight w:val="176"/>
        </w:trPr>
        <w:tc>
          <w:tcPr>
            <w:tcW w:w="454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Quarterly Results</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0000FF"/>
                <w:w w:val="96"/>
              </w:rPr>
              <w:t>60</w:t>
            </w:r>
          </w:p>
        </w:tc>
      </w:tr>
      <w:tr>
        <w:trPr>
          <w:trHeight w:val="62"/>
        </w:trPr>
        <w:tc>
          <w:tcPr>
            <w:tcW w:w="4540" w:type="dxa"/>
            <w:vAlign w:val="bottom"/>
            <w:shd w:val="clear" w:color="auto" w:fill="E8EEF9"/>
          </w:tcPr>
          <w:p>
            <w:pPr>
              <w:spacing w:after="0"/>
              <w:rPr>
                <w:sz w:val="5"/>
                <w:szCs w:val="5"/>
                <w:color w:val="auto"/>
              </w:rPr>
            </w:pPr>
          </w:p>
        </w:tc>
        <w:tc>
          <w:tcPr>
            <w:tcW w:w="1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-1705610</wp:posOffset>
            </wp:positionV>
            <wp:extent cx="3480435" cy="19545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80435" cy="195453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b w:val="1"/>
          <w:bCs w:val="1"/>
          <w:color w:val="0077C0"/>
        </w:rPr>
        <w:t>Consolidated Financial Statements</w:t>
      </w:r>
    </w:p>
    <w:p>
      <w:pPr>
        <w:spacing w:after="0" w:line="52" w:lineRule="exact"/>
        <w:rPr>
          <w:sz w:val="20"/>
          <w:szCs w:val="20"/>
          <w:color w:val="auto"/>
        </w:rPr>
      </w:pPr>
    </w:p>
    <w:tbl>
      <w:tblPr>
        <w:tblLayout w:type="fixed"/>
        <w:tblInd w:w="100" w:type="dxa"/>
        <w:tblCellMar>
          <w:top w:w="0" w:type="dxa"/>
          <w:left w:w="0" w:type="dxa"/>
          <w:bottom w:w="0" w:type="dxa"/>
          <w:right w:w="0" w:type="dxa"/>
        </w:tblCellMar>
      </w:tblPr>
      <w:tr>
        <w:trPr>
          <w:trHeight w:val="151"/>
        </w:trPr>
        <w:tc>
          <w:tcPr>
            <w:tcW w:w="454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Reports of Management</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0000FF"/>
                <w:w w:val="96"/>
              </w:rPr>
              <w:t>61</w:t>
            </w:r>
          </w:p>
        </w:tc>
      </w:tr>
      <w:tr>
        <w:trPr>
          <w:trHeight w:val="172"/>
        </w:trPr>
        <w:tc>
          <w:tcPr>
            <w:tcW w:w="454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 xml:space="preserve">Report of Independent Registered Public Accounting Firm (PCAOB ID: </w:t>
            </w:r>
            <w:r>
              <w:rPr>
                <w:rFonts w:ascii="Arial" w:cs="Arial" w:eastAsia="Arial" w:hAnsi="Arial"/>
                <w:sz w:val="13"/>
                <w:szCs w:val="13"/>
                <w:color w:val="000000"/>
              </w:rPr>
              <w:t>238</w:t>
            </w:r>
            <w:r>
              <w:rPr>
                <w:rFonts w:ascii="Arial" w:cs="Arial" w:eastAsia="Arial" w:hAnsi="Arial"/>
                <w:sz w:val="13"/>
                <w:szCs w:val="13"/>
                <w:color w:val="0000FF"/>
              </w:rPr>
              <w:t>)</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0000FF"/>
                <w:w w:val="96"/>
              </w:rPr>
              <w:t>62</w:t>
            </w:r>
          </w:p>
        </w:tc>
      </w:tr>
      <w:tr>
        <w:trPr>
          <w:trHeight w:val="176"/>
        </w:trPr>
        <w:tc>
          <w:tcPr>
            <w:tcW w:w="454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Consolidated Statement of Income</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0000FF"/>
                <w:w w:val="96"/>
              </w:rPr>
              <w:t>64</w:t>
            </w:r>
          </w:p>
        </w:tc>
      </w:tr>
      <w:tr>
        <w:trPr>
          <w:trHeight w:val="175"/>
        </w:trPr>
        <w:tc>
          <w:tcPr>
            <w:tcW w:w="454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Consolidated Statement of Comprehensive Income</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0000FF"/>
                <w:w w:val="96"/>
              </w:rPr>
              <w:t>65</w:t>
            </w:r>
          </w:p>
        </w:tc>
      </w:tr>
      <w:tr>
        <w:trPr>
          <w:trHeight w:val="176"/>
        </w:trPr>
        <w:tc>
          <w:tcPr>
            <w:tcW w:w="454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Consolidated Balance Sheet</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0000FF"/>
                <w:w w:val="96"/>
              </w:rPr>
              <w:t>66</w:t>
            </w:r>
          </w:p>
        </w:tc>
      </w:tr>
      <w:tr>
        <w:trPr>
          <w:trHeight w:val="175"/>
        </w:trPr>
        <w:tc>
          <w:tcPr>
            <w:tcW w:w="454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Consolidated Statement of Cash Flows</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0000FF"/>
                <w:w w:val="96"/>
              </w:rPr>
              <w:t>67</w:t>
            </w:r>
          </w:p>
        </w:tc>
      </w:tr>
      <w:tr>
        <w:trPr>
          <w:trHeight w:val="184"/>
        </w:trPr>
        <w:tc>
          <w:tcPr>
            <w:tcW w:w="454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Consolidated Statement of Equity</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0000FF"/>
                <w:w w:val="96"/>
              </w:rPr>
              <w:t>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-668020</wp:posOffset>
            </wp:positionV>
            <wp:extent cx="3480435" cy="42259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80435" cy="42259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0077C0"/>
        </w:rPr>
        <w:t>Notes to the Consolidated Financial Statements</w:t>
      </w:r>
    </w:p>
    <w:p>
      <w:pPr>
        <w:spacing w:after="0" w:line="53" w:lineRule="exact"/>
        <w:rPr>
          <w:sz w:val="20"/>
          <w:szCs w:val="20"/>
          <w:color w:val="auto"/>
        </w:rPr>
      </w:pPr>
    </w:p>
    <w:tbl>
      <w:tblPr>
        <w:tblLayout w:type="fixed"/>
        <w:tblInd w:w="80" w:type="dxa"/>
        <w:tblCellMar>
          <w:top w:w="0" w:type="dxa"/>
          <w:left w:w="0" w:type="dxa"/>
          <w:bottom w:w="0" w:type="dxa"/>
          <w:right w:w="0" w:type="dxa"/>
        </w:tblCellMar>
      </w:tblPr>
      <w:tr>
        <w:trPr>
          <w:trHeight w:val="156"/>
        </w:trPr>
        <w:tc>
          <w:tcPr>
            <w:tcW w:w="94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Note 1</w:t>
            </w:r>
          </w:p>
        </w:tc>
        <w:tc>
          <w:tcPr>
            <w:tcW w:w="3920" w:type="dxa"/>
            <w:vAlign w:val="bottom"/>
          </w:tcPr>
          <w:p>
            <w:pPr>
              <w:ind w:left="20"/>
              <w:spacing w:after="0"/>
              <w:rPr>
                <w:sz w:val="20"/>
                <w:szCs w:val="20"/>
                <w:color w:val="auto"/>
              </w:rPr>
            </w:pPr>
            <w:r>
              <w:rPr>
                <w:rFonts w:ascii="Arial" w:cs="Arial" w:eastAsia="Arial" w:hAnsi="Arial"/>
                <w:sz w:val="13"/>
                <w:szCs w:val="13"/>
                <w:color w:val="0000FF"/>
              </w:rPr>
              <w:t>Summary of Significant Accounting Policies</w:t>
            </w:r>
          </w:p>
        </w:tc>
        <w:tc>
          <w:tcPr>
            <w:tcW w:w="240" w:type="dxa"/>
            <w:vAlign w:val="bottom"/>
          </w:tcPr>
          <w:p>
            <w:pPr>
              <w:ind w:left="20"/>
              <w:spacing w:after="0"/>
              <w:rPr>
                <w:sz w:val="20"/>
                <w:szCs w:val="20"/>
                <w:color w:val="auto"/>
              </w:rPr>
            </w:pPr>
            <w:r>
              <w:rPr>
                <w:rFonts w:ascii="Arial" w:cs="Arial" w:eastAsia="Arial" w:hAnsi="Arial"/>
                <w:sz w:val="13"/>
                <w:szCs w:val="13"/>
                <w:b w:val="1"/>
                <w:bCs w:val="1"/>
                <w:color w:val="0000FF"/>
              </w:rPr>
              <w:t>69</w:t>
            </w:r>
          </w:p>
        </w:tc>
        <w:tc>
          <w:tcPr>
            <w:tcW w:w="0" w:type="dxa"/>
            <w:vAlign w:val="bottom"/>
          </w:tcPr>
          <w:p>
            <w:pPr>
              <w:spacing w:after="0"/>
              <w:rPr>
                <w:sz w:val="1"/>
                <w:szCs w:val="1"/>
                <w:color w:val="auto"/>
              </w:rPr>
            </w:pPr>
          </w:p>
        </w:tc>
      </w:tr>
      <w:tr>
        <w:trPr>
          <w:trHeight w:val="121"/>
        </w:trPr>
        <w:tc>
          <w:tcPr>
            <w:tcW w:w="940" w:type="dxa"/>
            <w:vAlign w:val="bottom"/>
            <w:shd w:val="clear" w:color="auto" w:fill="E8EEF9"/>
          </w:tcPr>
          <w:p>
            <w:pPr>
              <w:ind w:left="20"/>
              <w:spacing w:after="0" w:line="122" w:lineRule="exact"/>
              <w:rPr>
                <w:sz w:val="20"/>
                <w:szCs w:val="20"/>
                <w:color w:val="auto"/>
              </w:rPr>
            </w:pPr>
            <w:r>
              <w:rPr>
                <w:rFonts w:ascii="Arial" w:cs="Arial" w:eastAsia="Arial" w:hAnsi="Arial"/>
                <w:sz w:val="13"/>
                <w:szCs w:val="13"/>
                <w:color w:val="0000FF"/>
              </w:rPr>
              <w:t>Note 2</w:t>
            </w:r>
          </w:p>
        </w:tc>
        <w:tc>
          <w:tcPr>
            <w:tcW w:w="3920" w:type="dxa"/>
            <w:vAlign w:val="bottom"/>
            <w:shd w:val="clear" w:color="auto" w:fill="E8EEF9"/>
          </w:tcPr>
          <w:p>
            <w:pPr>
              <w:ind w:left="20"/>
              <w:spacing w:after="0" w:line="122" w:lineRule="exact"/>
              <w:rPr>
                <w:sz w:val="20"/>
                <w:szCs w:val="20"/>
                <w:color w:val="auto"/>
              </w:rPr>
            </w:pPr>
            <w:r>
              <w:rPr>
                <w:rFonts w:ascii="Arial" w:cs="Arial" w:eastAsia="Arial" w:hAnsi="Arial"/>
                <w:sz w:val="13"/>
                <w:szCs w:val="13"/>
                <w:color w:val="0000FF"/>
              </w:rPr>
              <w:t>Changes in Accumulated Other</w:t>
            </w:r>
          </w:p>
        </w:tc>
        <w:tc>
          <w:tcPr>
            <w:tcW w:w="240" w:type="dxa"/>
            <w:vAlign w:val="bottom"/>
            <w:vMerge w:val="restart"/>
          </w:tcPr>
          <w:p>
            <w:pPr>
              <w:ind w:left="20"/>
              <w:spacing w:after="0"/>
              <w:rPr>
                <w:sz w:val="20"/>
                <w:szCs w:val="20"/>
                <w:color w:val="auto"/>
              </w:rPr>
            </w:pPr>
            <w:r>
              <w:rPr>
                <w:rFonts w:ascii="Arial" w:cs="Arial" w:eastAsia="Arial" w:hAnsi="Arial"/>
                <w:sz w:val="13"/>
                <w:szCs w:val="13"/>
                <w:b w:val="1"/>
                <w:bCs w:val="1"/>
                <w:color w:val="0000FF"/>
              </w:rPr>
              <w:t>72</w:t>
            </w:r>
          </w:p>
        </w:tc>
        <w:tc>
          <w:tcPr>
            <w:tcW w:w="0" w:type="dxa"/>
            <w:vAlign w:val="bottom"/>
          </w:tcPr>
          <w:p>
            <w:pPr>
              <w:spacing w:after="0"/>
              <w:rPr>
                <w:sz w:val="1"/>
                <w:szCs w:val="1"/>
                <w:color w:val="auto"/>
              </w:rPr>
            </w:pPr>
          </w:p>
        </w:tc>
      </w:tr>
      <w:tr>
        <w:trPr>
          <w:trHeight w:val="181"/>
        </w:trPr>
        <w:tc>
          <w:tcPr>
            <w:tcW w:w="940" w:type="dxa"/>
            <w:vAlign w:val="bottom"/>
            <w:shd w:val="clear" w:color="auto" w:fill="E8EEF9"/>
          </w:tcPr>
          <w:p>
            <w:pPr>
              <w:spacing w:after="0"/>
              <w:rPr>
                <w:sz w:val="15"/>
                <w:szCs w:val="15"/>
                <w:color w:val="auto"/>
              </w:rPr>
            </w:pPr>
          </w:p>
        </w:tc>
        <w:tc>
          <w:tcPr>
            <w:tcW w:w="3920" w:type="dxa"/>
            <w:vAlign w:val="bottom"/>
            <w:shd w:val="clear" w:color="auto" w:fill="E8EEF9"/>
          </w:tcPr>
          <w:p>
            <w:pPr>
              <w:ind w:left="80"/>
              <w:spacing w:after="0"/>
              <w:rPr>
                <w:sz w:val="20"/>
                <w:szCs w:val="20"/>
                <w:color w:val="auto"/>
              </w:rPr>
            </w:pPr>
            <w:r>
              <w:rPr>
                <w:rFonts w:ascii="Arial" w:cs="Arial" w:eastAsia="Arial" w:hAnsi="Arial"/>
                <w:sz w:val="13"/>
                <w:szCs w:val="13"/>
                <w:color w:val="0000FF"/>
              </w:rPr>
              <w:t>Comprehensive Losses</w:t>
            </w:r>
          </w:p>
        </w:tc>
        <w:tc>
          <w:tcPr>
            <w:tcW w:w="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4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Note 3</w:t>
            </w:r>
          </w:p>
        </w:tc>
        <w:tc>
          <w:tcPr>
            <w:tcW w:w="392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Information Relating to the Consolidated Statement of Cash Flows</w:t>
            </w:r>
          </w:p>
        </w:tc>
        <w:tc>
          <w:tcPr>
            <w:tcW w:w="240" w:type="dxa"/>
            <w:vAlign w:val="bottom"/>
          </w:tcPr>
          <w:p>
            <w:pPr>
              <w:ind w:left="20"/>
              <w:spacing w:after="0"/>
              <w:rPr>
                <w:sz w:val="20"/>
                <w:szCs w:val="20"/>
                <w:color w:val="auto"/>
              </w:rPr>
            </w:pPr>
            <w:r>
              <w:rPr>
                <w:rFonts w:ascii="Arial" w:cs="Arial" w:eastAsia="Arial" w:hAnsi="Arial"/>
                <w:sz w:val="13"/>
                <w:szCs w:val="13"/>
                <w:b w:val="1"/>
                <w:bCs w:val="1"/>
                <w:color w:val="0000FF"/>
              </w:rPr>
              <w:t>73</w:t>
            </w:r>
          </w:p>
        </w:tc>
        <w:tc>
          <w:tcPr>
            <w:tcW w:w="0" w:type="dxa"/>
            <w:vAlign w:val="bottom"/>
          </w:tcPr>
          <w:p>
            <w:pPr>
              <w:spacing w:after="0"/>
              <w:rPr>
                <w:sz w:val="1"/>
                <w:szCs w:val="1"/>
                <w:color w:val="auto"/>
              </w:rPr>
            </w:pPr>
          </w:p>
        </w:tc>
      </w:tr>
      <w:tr>
        <w:trPr>
          <w:trHeight w:val="176"/>
        </w:trPr>
        <w:tc>
          <w:tcPr>
            <w:tcW w:w="94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Note 4</w:t>
            </w:r>
          </w:p>
        </w:tc>
        <w:tc>
          <w:tcPr>
            <w:tcW w:w="392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New Accounting Standards</w:t>
            </w:r>
          </w:p>
        </w:tc>
        <w:tc>
          <w:tcPr>
            <w:tcW w:w="240" w:type="dxa"/>
            <w:vAlign w:val="bottom"/>
          </w:tcPr>
          <w:p>
            <w:pPr>
              <w:ind w:left="20"/>
              <w:spacing w:after="0"/>
              <w:rPr>
                <w:sz w:val="20"/>
                <w:szCs w:val="20"/>
                <w:color w:val="auto"/>
              </w:rPr>
            </w:pPr>
            <w:r>
              <w:rPr>
                <w:rFonts w:ascii="Arial" w:cs="Arial" w:eastAsia="Arial" w:hAnsi="Arial"/>
                <w:sz w:val="13"/>
                <w:szCs w:val="13"/>
                <w:b w:val="1"/>
                <w:bCs w:val="1"/>
                <w:color w:val="0000FF"/>
              </w:rPr>
              <w:t>74</w:t>
            </w:r>
          </w:p>
        </w:tc>
        <w:tc>
          <w:tcPr>
            <w:tcW w:w="0" w:type="dxa"/>
            <w:vAlign w:val="bottom"/>
          </w:tcPr>
          <w:p>
            <w:pPr>
              <w:spacing w:after="0"/>
              <w:rPr>
                <w:sz w:val="1"/>
                <w:szCs w:val="1"/>
                <w:color w:val="auto"/>
              </w:rPr>
            </w:pPr>
          </w:p>
        </w:tc>
      </w:tr>
      <w:tr>
        <w:trPr>
          <w:trHeight w:val="175"/>
        </w:trPr>
        <w:tc>
          <w:tcPr>
            <w:tcW w:w="94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Note 5</w:t>
            </w:r>
          </w:p>
        </w:tc>
        <w:tc>
          <w:tcPr>
            <w:tcW w:w="392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Lease Commitments</w:t>
            </w:r>
          </w:p>
        </w:tc>
        <w:tc>
          <w:tcPr>
            <w:tcW w:w="240" w:type="dxa"/>
            <w:vAlign w:val="bottom"/>
          </w:tcPr>
          <w:p>
            <w:pPr>
              <w:ind w:left="20"/>
              <w:spacing w:after="0"/>
              <w:rPr>
                <w:sz w:val="20"/>
                <w:szCs w:val="20"/>
                <w:color w:val="auto"/>
              </w:rPr>
            </w:pPr>
            <w:r>
              <w:rPr>
                <w:rFonts w:ascii="Arial" w:cs="Arial" w:eastAsia="Arial" w:hAnsi="Arial"/>
                <w:sz w:val="13"/>
                <w:szCs w:val="13"/>
                <w:b w:val="1"/>
                <w:bCs w:val="1"/>
                <w:color w:val="0000FF"/>
              </w:rPr>
              <w:t>74</w:t>
            </w:r>
          </w:p>
        </w:tc>
        <w:tc>
          <w:tcPr>
            <w:tcW w:w="0" w:type="dxa"/>
            <w:vAlign w:val="bottom"/>
          </w:tcPr>
          <w:p>
            <w:pPr>
              <w:spacing w:after="0"/>
              <w:rPr>
                <w:sz w:val="1"/>
                <w:szCs w:val="1"/>
                <w:color w:val="auto"/>
              </w:rPr>
            </w:pPr>
          </w:p>
        </w:tc>
      </w:tr>
      <w:tr>
        <w:trPr>
          <w:trHeight w:val="176"/>
        </w:trPr>
        <w:tc>
          <w:tcPr>
            <w:tcW w:w="94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Note 6</w:t>
            </w:r>
          </w:p>
        </w:tc>
        <w:tc>
          <w:tcPr>
            <w:tcW w:w="392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Summarized Financial Data - Chevron U.S.A. Inc.</w:t>
            </w:r>
          </w:p>
        </w:tc>
        <w:tc>
          <w:tcPr>
            <w:tcW w:w="240" w:type="dxa"/>
            <w:vAlign w:val="bottom"/>
          </w:tcPr>
          <w:p>
            <w:pPr>
              <w:ind w:left="20"/>
              <w:spacing w:after="0"/>
              <w:rPr>
                <w:sz w:val="20"/>
                <w:szCs w:val="20"/>
                <w:color w:val="auto"/>
              </w:rPr>
            </w:pPr>
            <w:r>
              <w:rPr>
                <w:rFonts w:ascii="Arial" w:cs="Arial" w:eastAsia="Arial" w:hAnsi="Arial"/>
                <w:sz w:val="13"/>
                <w:szCs w:val="13"/>
                <w:b w:val="1"/>
                <w:bCs w:val="1"/>
                <w:color w:val="0000FF"/>
              </w:rPr>
              <w:t>76</w:t>
            </w:r>
          </w:p>
        </w:tc>
        <w:tc>
          <w:tcPr>
            <w:tcW w:w="0" w:type="dxa"/>
            <w:vAlign w:val="bottom"/>
          </w:tcPr>
          <w:p>
            <w:pPr>
              <w:spacing w:after="0"/>
              <w:rPr>
                <w:sz w:val="1"/>
                <w:szCs w:val="1"/>
                <w:color w:val="auto"/>
              </w:rPr>
            </w:pPr>
          </w:p>
        </w:tc>
      </w:tr>
      <w:tr>
        <w:trPr>
          <w:trHeight w:val="175"/>
        </w:trPr>
        <w:tc>
          <w:tcPr>
            <w:tcW w:w="94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Note 7</w:t>
            </w:r>
          </w:p>
        </w:tc>
        <w:tc>
          <w:tcPr>
            <w:tcW w:w="392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Summarized Financial Data - Tengizchevroil LLP</w:t>
            </w:r>
          </w:p>
        </w:tc>
        <w:tc>
          <w:tcPr>
            <w:tcW w:w="240" w:type="dxa"/>
            <w:vAlign w:val="bottom"/>
          </w:tcPr>
          <w:p>
            <w:pPr>
              <w:ind w:left="20"/>
              <w:spacing w:after="0"/>
              <w:rPr>
                <w:sz w:val="20"/>
                <w:szCs w:val="20"/>
                <w:color w:val="auto"/>
              </w:rPr>
            </w:pPr>
            <w:r>
              <w:rPr>
                <w:rFonts w:ascii="Arial" w:cs="Arial" w:eastAsia="Arial" w:hAnsi="Arial"/>
                <w:sz w:val="13"/>
                <w:szCs w:val="13"/>
                <w:b w:val="1"/>
                <w:bCs w:val="1"/>
                <w:color w:val="0000FF"/>
              </w:rPr>
              <w:t>76</w:t>
            </w:r>
          </w:p>
        </w:tc>
        <w:tc>
          <w:tcPr>
            <w:tcW w:w="0" w:type="dxa"/>
            <w:vAlign w:val="bottom"/>
          </w:tcPr>
          <w:p>
            <w:pPr>
              <w:spacing w:after="0"/>
              <w:rPr>
                <w:sz w:val="1"/>
                <w:szCs w:val="1"/>
                <w:color w:val="auto"/>
              </w:rPr>
            </w:pPr>
          </w:p>
        </w:tc>
      </w:tr>
      <w:tr>
        <w:trPr>
          <w:trHeight w:val="176"/>
        </w:trPr>
        <w:tc>
          <w:tcPr>
            <w:tcW w:w="94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Note 8</w:t>
            </w:r>
          </w:p>
        </w:tc>
        <w:tc>
          <w:tcPr>
            <w:tcW w:w="392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Restructuring and Reorganization Costs</w:t>
            </w:r>
          </w:p>
        </w:tc>
        <w:tc>
          <w:tcPr>
            <w:tcW w:w="240" w:type="dxa"/>
            <w:vAlign w:val="bottom"/>
          </w:tcPr>
          <w:p>
            <w:pPr>
              <w:ind w:left="20"/>
              <w:spacing w:after="0"/>
              <w:rPr>
                <w:sz w:val="20"/>
                <w:szCs w:val="20"/>
                <w:color w:val="auto"/>
              </w:rPr>
            </w:pPr>
            <w:r>
              <w:rPr>
                <w:rFonts w:ascii="Arial" w:cs="Arial" w:eastAsia="Arial" w:hAnsi="Arial"/>
                <w:sz w:val="13"/>
                <w:szCs w:val="13"/>
                <w:b w:val="1"/>
                <w:bCs w:val="1"/>
                <w:color w:val="0000FF"/>
              </w:rPr>
              <w:t>76</w:t>
            </w:r>
          </w:p>
        </w:tc>
        <w:tc>
          <w:tcPr>
            <w:tcW w:w="0" w:type="dxa"/>
            <w:vAlign w:val="bottom"/>
          </w:tcPr>
          <w:p>
            <w:pPr>
              <w:spacing w:after="0"/>
              <w:rPr>
                <w:sz w:val="1"/>
                <w:szCs w:val="1"/>
                <w:color w:val="auto"/>
              </w:rPr>
            </w:pPr>
          </w:p>
        </w:tc>
      </w:tr>
      <w:tr>
        <w:trPr>
          <w:trHeight w:val="175"/>
        </w:trPr>
        <w:tc>
          <w:tcPr>
            <w:tcW w:w="94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Note 9</w:t>
            </w:r>
          </w:p>
        </w:tc>
        <w:tc>
          <w:tcPr>
            <w:tcW w:w="392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Fair Value Measurements</w:t>
            </w:r>
          </w:p>
        </w:tc>
        <w:tc>
          <w:tcPr>
            <w:tcW w:w="240" w:type="dxa"/>
            <w:vAlign w:val="bottom"/>
          </w:tcPr>
          <w:p>
            <w:pPr>
              <w:ind w:left="20"/>
              <w:spacing w:after="0"/>
              <w:rPr>
                <w:sz w:val="20"/>
                <w:szCs w:val="20"/>
                <w:color w:val="auto"/>
              </w:rPr>
            </w:pPr>
            <w:r>
              <w:rPr>
                <w:rFonts w:ascii="Arial" w:cs="Arial" w:eastAsia="Arial" w:hAnsi="Arial"/>
                <w:sz w:val="13"/>
                <w:szCs w:val="13"/>
                <w:b w:val="1"/>
                <w:bCs w:val="1"/>
                <w:color w:val="0000FF"/>
              </w:rPr>
              <w:t>77</w:t>
            </w:r>
          </w:p>
        </w:tc>
        <w:tc>
          <w:tcPr>
            <w:tcW w:w="0" w:type="dxa"/>
            <w:vAlign w:val="bottom"/>
          </w:tcPr>
          <w:p>
            <w:pPr>
              <w:spacing w:after="0"/>
              <w:rPr>
                <w:sz w:val="1"/>
                <w:szCs w:val="1"/>
                <w:color w:val="auto"/>
              </w:rPr>
            </w:pPr>
          </w:p>
        </w:tc>
      </w:tr>
      <w:tr>
        <w:trPr>
          <w:trHeight w:val="176"/>
        </w:trPr>
        <w:tc>
          <w:tcPr>
            <w:tcW w:w="94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Note 10</w:t>
            </w:r>
          </w:p>
        </w:tc>
        <w:tc>
          <w:tcPr>
            <w:tcW w:w="392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Financial and Derivative Instruments</w:t>
            </w:r>
          </w:p>
        </w:tc>
        <w:tc>
          <w:tcPr>
            <w:tcW w:w="240" w:type="dxa"/>
            <w:vAlign w:val="bottom"/>
          </w:tcPr>
          <w:p>
            <w:pPr>
              <w:ind w:left="20"/>
              <w:spacing w:after="0"/>
              <w:rPr>
                <w:sz w:val="20"/>
                <w:szCs w:val="20"/>
                <w:color w:val="auto"/>
              </w:rPr>
            </w:pPr>
            <w:r>
              <w:rPr>
                <w:rFonts w:ascii="Arial" w:cs="Arial" w:eastAsia="Arial" w:hAnsi="Arial"/>
                <w:sz w:val="13"/>
                <w:szCs w:val="13"/>
                <w:b w:val="1"/>
                <w:bCs w:val="1"/>
                <w:color w:val="0000FF"/>
              </w:rPr>
              <w:t>78</w:t>
            </w:r>
          </w:p>
        </w:tc>
        <w:tc>
          <w:tcPr>
            <w:tcW w:w="0" w:type="dxa"/>
            <w:vAlign w:val="bottom"/>
          </w:tcPr>
          <w:p>
            <w:pPr>
              <w:spacing w:after="0"/>
              <w:rPr>
                <w:sz w:val="1"/>
                <w:szCs w:val="1"/>
                <w:color w:val="auto"/>
              </w:rPr>
            </w:pPr>
          </w:p>
        </w:tc>
      </w:tr>
      <w:tr>
        <w:trPr>
          <w:trHeight w:val="176"/>
        </w:trPr>
        <w:tc>
          <w:tcPr>
            <w:tcW w:w="94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Note 11</w:t>
            </w:r>
          </w:p>
        </w:tc>
        <w:tc>
          <w:tcPr>
            <w:tcW w:w="392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Assets Held for Sale</w:t>
            </w:r>
          </w:p>
        </w:tc>
        <w:tc>
          <w:tcPr>
            <w:tcW w:w="240" w:type="dxa"/>
            <w:vAlign w:val="bottom"/>
          </w:tcPr>
          <w:p>
            <w:pPr>
              <w:ind w:left="20"/>
              <w:spacing w:after="0"/>
              <w:rPr>
                <w:sz w:val="20"/>
                <w:szCs w:val="20"/>
                <w:color w:val="auto"/>
              </w:rPr>
            </w:pPr>
            <w:r>
              <w:rPr>
                <w:rFonts w:ascii="Arial" w:cs="Arial" w:eastAsia="Arial" w:hAnsi="Arial"/>
                <w:sz w:val="13"/>
                <w:szCs w:val="13"/>
                <w:b w:val="1"/>
                <w:bCs w:val="1"/>
                <w:color w:val="0000FF"/>
              </w:rPr>
              <w:t>79</w:t>
            </w:r>
          </w:p>
        </w:tc>
        <w:tc>
          <w:tcPr>
            <w:tcW w:w="0" w:type="dxa"/>
            <w:vAlign w:val="bottom"/>
          </w:tcPr>
          <w:p>
            <w:pPr>
              <w:spacing w:after="0"/>
              <w:rPr>
                <w:sz w:val="1"/>
                <w:szCs w:val="1"/>
                <w:color w:val="auto"/>
              </w:rPr>
            </w:pPr>
          </w:p>
        </w:tc>
      </w:tr>
      <w:tr>
        <w:trPr>
          <w:trHeight w:val="175"/>
        </w:trPr>
        <w:tc>
          <w:tcPr>
            <w:tcW w:w="94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Note 12</w:t>
            </w:r>
          </w:p>
        </w:tc>
        <w:tc>
          <w:tcPr>
            <w:tcW w:w="392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Equity</w:t>
            </w:r>
          </w:p>
        </w:tc>
        <w:tc>
          <w:tcPr>
            <w:tcW w:w="240" w:type="dxa"/>
            <w:vAlign w:val="bottom"/>
          </w:tcPr>
          <w:p>
            <w:pPr>
              <w:ind w:left="20"/>
              <w:spacing w:after="0"/>
              <w:rPr>
                <w:sz w:val="20"/>
                <w:szCs w:val="20"/>
                <w:color w:val="auto"/>
              </w:rPr>
            </w:pPr>
            <w:r>
              <w:rPr>
                <w:rFonts w:ascii="Arial" w:cs="Arial" w:eastAsia="Arial" w:hAnsi="Arial"/>
                <w:sz w:val="13"/>
                <w:szCs w:val="13"/>
                <w:b w:val="1"/>
                <w:bCs w:val="1"/>
                <w:color w:val="0000FF"/>
              </w:rPr>
              <w:t>79</w:t>
            </w:r>
          </w:p>
        </w:tc>
        <w:tc>
          <w:tcPr>
            <w:tcW w:w="0" w:type="dxa"/>
            <w:vAlign w:val="bottom"/>
          </w:tcPr>
          <w:p>
            <w:pPr>
              <w:spacing w:after="0"/>
              <w:rPr>
                <w:sz w:val="1"/>
                <w:szCs w:val="1"/>
                <w:color w:val="auto"/>
              </w:rPr>
            </w:pPr>
          </w:p>
        </w:tc>
      </w:tr>
      <w:tr>
        <w:trPr>
          <w:trHeight w:val="176"/>
        </w:trPr>
        <w:tc>
          <w:tcPr>
            <w:tcW w:w="94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Note 13</w:t>
            </w:r>
          </w:p>
        </w:tc>
        <w:tc>
          <w:tcPr>
            <w:tcW w:w="392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Earnings Per Share</w:t>
            </w:r>
          </w:p>
        </w:tc>
        <w:tc>
          <w:tcPr>
            <w:tcW w:w="240" w:type="dxa"/>
            <w:vAlign w:val="bottom"/>
          </w:tcPr>
          <w:p>
            <w:pPr>
              <w:ind w:left="20"/>
              <w:spacing w:after="0"/>
              <w:rPr>
                <w:sz w:val="20"/>
                <w:szCs w:val="20"/>
                <w:color w:val="auto"/>
              </w:rPr>
            </w:pPr>
            <w:r>
              <w:rPr>
                <w:rFonts w:ascii="Arial" w:cs="Arial" w:eastAsia="Arial" w:hAnsi="Arial"/>
                <w:sz w:val="13"/>
                <w:szCs w:val="13"/>
                <w:b w:val="1"/>
                <w:bCs w:val="1"/>
                <w:color w:val="0000FF"/>
              </w:rPr>
              <w:t>80</w:t>
            </w:r>
          </w:p>
        </w:tc>
        <w:tc>
          <w:tcPr>
            <w:tcW w:w="0" w:type="dxa"/>
            <w:vAlign w:val="bottom"/>
          </w:tcPr>
          <w:p>
            <w:pPr>
              <w:spacing w:after="0"/>
              <w:rPr>
                <w:sz w:val="1"/>
                <w:szCs w:val="1"/>
                <w:color w:val="auto"/>
              </w:rPr>
            </w:pPr>
          </w:p>
        </w:tc>
      </w:tr>
      <w:tr>
        <w:trPr>
          <w:trHeight w:val="175"/>
        </w:trPr>
        <w:tc>
          <w:tcPr>
            <w:tcW w:w="94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Note 14</w:t>
            </w:r>
          </w:p>
        </w:tc>
        <w:tc>
          <w:tcPr>
            <w:tcW w:w="392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Operating Segments and Geographic Data</w:t>
            </w:r>
          </w:p>
        </w:tc>
        <w:tc>
          <w:tcPr>
            <w:tcW w:w="240" w:type="dxa"/>
            <w:vAlign w:val="bottom"/>
          </w:tcPr>
          <w:p>
            <w:pPr>
              <w:ind w:left="20"/>
              <w:spacing w:after="0"/>
              <w:rPr>
                <w:sz w:val="20"/>
                <w:szCs w:val="20"/>
                <w:color w:val="auto"/>
              </w:rPr>
            </w:pPr>
            <w:r>
              <w:rPr>
                <w:rFonts w:ascii="Arial" w:cs="Arial" w:eastAsia="Arial" w:hAnsi="Arial"/>
                <w:sz w:val="13"/>
                <w:szCs w:val="13"/>
                <w:b w:val="1"/>
                <w:bCs w:val="1"/>
                <w:color w:val="0000FF"/>
              </w:rPr>
              <w:t>80</w:t>
            </w:r>
          </w:p>
        </w:tc>
        <w:tc>
          <w:tcPr>
            <w:tcW w:w="0" w:type="dxa"/>
            <w:vAlign w:val="bottom"/>
          </w:tcPr>
          <w:p>
            <w:pPr>
              <w:spacing w:after="0"/>
              <w:rPr>
                <w:sz w:val="1"/>
                <w:szCs w:val="1"/>
                <w:color w:val="auto"/>
              </w:rPr>
            </w:pPr>
          </w:p>
        </w:tc>
      </w:tr>
      <w:tr>
        <w:trPr>
          <w:trHeight w:val="176"/>
        </w:trPr>
        <w:tc>
          <w:tcPr>
            <w:tcW w:w="94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Note 15</w:t>
            </w:r>
          </w:p>
        </w:tc>
        <w:tc>
          <w:tcPr>
            <w:tcW w:w="392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Investments and Advances</w:t>
            </w:r>
          </w:p>
        </w:tc>
        <w:tc>
          <w:tcPr>
            <w:tcW w:w="240" w:type="dxa"/>
            <w:vAlign w:val="bottom"/>
          </w:tcPr>
          <w:p>
            <w:pPr>
              <w:ind w:left="20"/>
              <w:spacing w:after="0"/>
              <w:rPr>
                <w:sz w:val="20"/>
                <w:szCs w:val="20"/>
                <w:color w:val="auto"/>
              </w:rPr>
            </w:pPr>
            <w:r>
              <w:rPr>
                <w:rFonts w:ascii="Arial" w:cs="Arial" w:eastAsia="Arial" w:hAnsi="Arial"/>
                <w:sz w:val="13"/>
                <w:szCs w:val="13"/>
                <w:b w:val="1"/>
                <w:bCs w:val="1"/>
                <w:color w:val="0000FF"/>
              </w:rPr>
              <w:t>83</w:t>
            </w:r>
          </w:p>
        </w:tc>
        <w:tc>
          <w:tcPr>
            <w:tcW w:w="0" w:type="dxa"/>
            <w:vAlign w:val="bottom"/>
          </w:tcPr>
          <w:p>
            <w:pPr>
              <w:spacing w:after="0"/>
              <w:rPr>
                <w:sz w:val="1"/>
                <w:szCs w:val="1"/>
                <w:color w:val="auto"/>
              </w:rPr>
            </w:pPr>
          </w:p>
        </w:tc>
      </w:tr>
      <w:tr>
        <w:trPr>
          <w:trHeight w:val="176"/>
        </w:trPr>
        <w:tc>
          <w:tcPr>
            <w:tcW w:w="94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Note 16</w:t>
            </w:r>
          </w:p>
        </w:tc>
        <w:tc>
          <w:tcPr>
            <w:tcW w:w="392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Litigation</w:t>
            </w:r>
          </w:p>
        </w:tc>
        <w:tc>
          <w:tcPr>
            <w:tcW w:w="240" w:type="dxa"/>
            <w:vAlign w:val="bottom"/>
          </w:tcPr>
          <w:p>
            <w:pPr>
              <w:ind w:left="20"/>
              <w:spacing w:after="0"/>
              <w:rPr>
                <w:sz w:val="20"/>
                <w:szCs w:val="20"/>
                <w:color w:val="auto"/>
              </w:rPr>
            </w:pPr>
            <w:r>
              <w:rPr>
                <w:rFonts w:ascii="Arial" w:cs="Arial" w:eastAsia="Arial" w:hAnsi="Arial"/>
                <w:sz w:val="13"/>
                <w:szCs w:val="13"/>
                <w:b w:val="1"/>
                <w:bCs w:val="1"/>
                <w:color w:val="0000FF"/>
              </w:rPr>
              <w:t>85</w:t>
            </w:r>
          </w:p>
        </w:tc>
        <w:tc>
          <w:tcPr>
            <w:tcW w:w="0" w:type="dxa"/>
            <w:vAlign w:val="bottom"/>
          </w:tcPr>
          <w:p>
            <w:pPr>
              <w:spacing w:after="0"/>
              <w:rPr>
                <w:sz w:val="1"/>
                <w:szCs w:val="1"/>
                <w:color w:val="auto"/>
              </w:rPr>
            </w:pPr>
          </w:p>
        </w:tc>
      </w:tr>
      <w:tr>
        <w:trPr>
          <w:trHeight w:val="175"/>
        </w:trPr>
        <w:tc>
          <w:tcPr>
            <w:tcW w:w="94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Note 17</w:t>
            </w:r>
          </w:p>
        </w:tc>
        <w:tc>
          <w:tcPr>
            <w:tcW w:w="392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Taxes</w:t>
            </w:r>
          </w:p>
        </w:tc>
        <w:tc>
          <w:tcPr>
            <w:tcW w:w="240" w:type="dxa"/>
            <w:vAlign w:val="bottom"/>
          </w:tcPr>
          <w:p>
            <w:pPr>
              <w:ind w:left="20"/>
              <w:spacing w:after="0"/>
              <w:rPr>
                <w:sz w:val="20"/>
                <w:szCs w:val="20"/>
                <w:color w:val="auto"/>
              </w:rPr>
            </w:pPr>
            <w:r>
              <w:rPr>
                <w:rFonts w:ascii="Arial" w:cs="Arial" w:eastAsia="Arial" w:hAnsi="Arial"/>
                <w:sz w:val="13"/>
                <w:szCs w:val="13"/>
                <w:b w:val="1"/>
                <w:bCs w:val="1"/>
                <w:color w:val="0000FF"/>
              </w:rPr>
              <w:t>87</w:t>
            </w:r>
          </w:p>
        </w:tc>
        <w:tc>
          <w:tcPr>
            <w:tcW w:w="0" w:type="dxa"/>
            <w:vAlign w:val="bottom"/>
          </w:tcPr>
          <w:p>
            <w:pPr>
              <w:spacing w:after="0"/>
              <w:rPr>
                <w:sz w:val="1"/>
                <w:szCs w:val="1"/>
                <w:color w:val="auto"/>
              </w:rPr>
            </w:pPr>
          </w:p>
        </w:tc>
      </w:tr>
      <w:tr>
        <w:trPr>
          <w:trHeight w:val="176"/>
        </w:trPr>
        <w:tc>
          <w:tcPr>
            <w:tcW w:w="94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Note 18</w:t>
            </w:r>
          </w:p>
        </w:tc>
        <w:tc>
          <w:tcPr>
            <w:tcW w:w="392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Properties, Plant and Equipment</w:t>
            </w:r>
          </w:p>
        </w:tc>
        <w:tc>
          <w:tcPr>
            <w:tcW w:w="240" w:type="dxa"/>
            <w:vAlign w:val="bottom"/>
          </w:tcPr>
          <w:p>
            <w:pPr>
              <w:ind w:left="20"/>
              <w:spacing w:after="0"/>
              <w:rPr>
                <w:sz w:val="20"/>
                <w:szCs w:val="20"/>
                <w:color w:val="auto"/>
              </w:rPr>
            </w:pPr>
            <w:r>
              <w:rPr>
                <w:rFonts w:ascii="Arial" w:cs="Arial" w:eastAsia="Arial" w:hAnsi="Arial"/>
                <w:sz w:val="13"/>
                <w:szCs w:val="13"/>
                <w:b w:val="1"/>
                <w:bCs w:val="1"/>
                <w:color w:val="0000FF"/>
              </w:rPr>
              <w:t>90</w:t>
            </w:r>
          </w:p>
        </w:tc>
        <w:tc>
          <w:tcPr>
            <w:tcW w:w="0" w:type="dxa"/>
            <w:vAlign w:val="bottom"/>
          </w:tcPr>
          <w:p>
            <w:pPr>
              <w:spacing w:after="0"/>
              <w:rPr>
                <w:sz w:val="1"/>
                <w:szCs w:val="1"/>
                <w:color w:val="auto"/>
              </w:rPr>
            </w:pPr>
          </w:p>
        </w:tc>
      </w:tr>
      <w:tr>
        <w:trPr>
          <w:trHeight w:val="175"/>
        </w:trPr>
        <w:tc>
          <w:tcPr>
            <w:tcW w:w="94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Note 19</w:t>
            </w:r>
          </w:p>
        </w:tc>
        <w:tc>
          <w:tcPr>
            <w:tcW w:w="392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Short-Term Debt</w:t>
            </w:r>
          </w:p>
        </w:tc>
        <w:tc>
          <w:tcPr>
            <w:tcW w:w="240" w:type="dxa"/>
            <w:vAlign w:val="bottom"/>
          </w:tcPr>
          <w:p>
            <w:pPr>
              <w:ind w:left="20"/>
              <w:spacing w:after="0"/>
              <w:rPr>
                <w:sz w:val="20"/>
                <w:szCs w:val="20"/>
                <w:color w:val="auto"/>
              </w:rPr>
            </w:pPr>
            <w:r>
              <w:rPr>
                <w:rFonts w:ascii="Arial" w:cs="Arial" w:eastAsia="Arial" w:hAnsi="Arial"/>
                <w:sz w:val="13"/>
                <w:szCs w:val="13"/>
                <w:b w:val="1"/>
                <w:bCs w:val="1"/>
                <w:color w:val="0000FF"/>
              </w:rPr>
              <w:t>90</w:t>
            </w:r>
          </w:p>
        </w:tc>
        <w:tc>
          <w:tcPr>
            <w:tcW w:w="0" w:type="dxa"/>
            <w:vAlign w:val="bottom"/>
          </w:tcPr>
          <w:p>
            <w:pPr>
              <w:spacing w:after="0"/>
              <w:rPr>
                <w:sz w:val="1"/>
                <w:szCs w:val="1"/>
                <w:color w:val="auto"/>
              </w:rPr>
            </w:pPr>
          </w:p>
        </w:tc>
      </w:tr>
      <w:tr>
        <w:trPr>
          <w:trHeight w:val="176"/>
        </w:trPr>
        <w:tc>
          <w:tcPr>
            <w:tcW w:w="94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Note 20</w:t>
            </w:r>
          </w:p>
        </w:tc>
        <w:tc>
          <w:tcPr>
            <w:tcW w:w="392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Long-Term Debt</w:t>
            </w:r>
          </w:p>
        </w:tc>
        <w:tc>
          <w:tcPr>
            <w:tcW w:w="240" w:type="dxa"/>
            <w:vAlign w:val="bottom"/>
          </w:tcPr>
          <w:p>
            <w:pPr>
              <w:ind w:left="20"/>
              <w:spacing w:after="0"/>
              <w:rPr>
                <w:sz w:val="20"/>
                <w:szCs w:val="20"/>
                <w:color w:val="auto"/>
              </w:rPr>
            </w:pPr>
            <w:r>
              <w:rPr>
                <w:rFonts w:ascii="Arial" w:cs="Arial" w:eastAsia="Arial" w:hAnsi="Arial"/>
                <w:sz w:val="13"/>
                <w:szCs w:val="13"/>
                <w:b w:val="1"/>
                <w:bCs w:val="1"/>
                <w:color w:val="0000FF"/>
              </w:rPr>
              <w:t>91</w:t>
            </w:r>
          </w:p>
        </w:tc>
        <w:tc>
          <w:tcPr>
            <w:tcW w:w="0" w:type="dxa"/>
            <w:vAlign w:val="bottom"/>
          </w:tcPr>
          <w:p>
            <w:pPr>
              <w:spacing w:after="0"/>
              <w:rPr>
                <w:sz w:val="1"/>
                <w:szCs w:val="1"/>
                <w:color w:val="auto"/>
              </w:rPr>
            </w:pPr>
          </w:p>
        </w:tc>
      </w:tr>
      <w:tr>
        <w:trPr>
          <w:trHeight w:val="175"/>
        </w:trPr>
        <w:tc>
          <w:tcPr>
            <w:tcW w:w="94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Note 21</w:t>
            </w:r>
          </w:p>
        </w:tc>
        <w:tc>
          <w:tcPr>
            <w:tcW w:w="392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Accounting for Suspended Exploratory Wells</w:t>
            </w:r>
          </w:p>
        </w:tc>
        <w:tc>
          <w:tcPr>
            <w:tcW w:w="240" w:type="dxa"/>
            <w:vAlign w:val="bottom"/>
          </w:tcPr>
          <w:p>
            <w:pPr>
              <w:ind w:left="20"/>
              <w:spacing w:after="0"/>
              <w:rPr>
                <w:sz w:val="20"/>
                <w:szCs w:val="20"/>
                <w:color w:val="auto"/>
              </w:rPr>
            </w:pPr>
            <w:r>
              <w:rPr>
                <w:rFonts w:ascii="Arial" w:cs="Arial" w:eastAsia="Arial" w:hAnsi="Arial"/>
                <w:sz w:val="13"/>
                <w:szCs w:val="13"/>
                <w:b w:val="1"/>
                <w:bCs w:val="1"/>
                <w:color w:val="0000FF"/>
              </w:rPr>
              <w:t>91</w:t>
            </w:r>
          </w:p>
        </w:tc>
        <w:tc>
          <w:tcPr>
            <w:tcW w:w="0" w:type="dxa"/>
            <w:vAlign w:val="bottom"/>
          </w:tcPr>
          <w:p>
            <w:pPr>
              <w:spacing w:after="0"/>
              <w:rPr>
                <w:sz w:val="1"/>
                <w:szCs w:val="1"/>
                <w:color w:val="auto"/>
              </w:rPr>
            </w:pPr>
          </w:p>
        </w:tc>
      </w:tr>
      <w:tr>
        <w:trPr>
          <w:trHeight w:val="176"/>
        </w:trPr>
        <w:tc>
          <w:tcPr>
            <w:tcW w:w="94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Note 22</w:t>
            </w:r>
          </w:p>
        </w:tc>
        <w:tc>
          <w:tcPr>
            <w:tcW w:w="392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Stock Options and Other Share-Based Compensation</w:t>
            </w:r>
          </w:p>
        </w:tc>
        <w:tc>
          <w:tcPr>
            <w:tcW w:w="240" w:type="dxa"/>
            <w:vAlign w:val="bottom"/>
          </w:tcPr>
          <w:p>
            <w:pPr>
              <w:ind w:left="20"/>
              <w:spacing w:after="0"/>
              <w:rPr>
                <w:sz w:val="20"/>
                <w:szCs w:val="20"/>
                <w:color w:val="auto"/>
              </w:rPr>
            </w:pPr>
            <w:r>
              <w:rPr>
                <w:rFonts w:ascii="Arial" w:cs="Arial" w:eastAsia="Arial" w:hAnsi="Arial"/>
                <w:sz w:val="13"/>
                <w:szCs w:val="13"/>
                <w:b w:val="1"/>
                <w:bCs w:val="1"/>
                <w:color w:val="0000FF"/>
              </w:rPr>
              <w:t>92</w:t>
            </w:r>
          </w:p>
        </w:tc>
        <w:tc>
          <w:tcPr>
            <w:tcW w:w="0" w:type="dxa"/>
            <w:vAlign w:val="bottom"/>
          </w:tcPr>
          <w:p>
            <w:pPr>
              <w:spacing w:after="0"/>
              <w:rPr>
                <w:sz w:val="1"/>
                <w:szCs w:val="1"/>
                <w:color w:val="auto"/>
              </w:rPr>
            </w:pPr>
          </w:p>
        </w:tc>
      </w:tr>
      <w:tr>
        <w:trPr>
          <w:trHeight w:val="176"/>
        </w:trPr>
        <w:tc>
          <w:tcPr>
            <w:tcW w:w="94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Note 23</w:t>
            </w:r>
          </w:p>
        </w:tc>
        <w:tc>
          <w:tcPr>
            <w:tcW w:w="392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Employee Benefit Plans</w:t>
            </w:r>
          </w:p>
        </w:tc>
        <w:tc>
          <w:tcPr>
            <w:tcW w:w="240" w:type="dxa"/>
            <w:vAlign w:val="bottom"/>
          </w:tcPr>
          <w:p>
            <w:pPr>
              <w:ind w:left="20"/>
              <w:spacing w:after="0"/>
              <w:rPr>
                <w:sz w:val="20"/>
                <w:szCs w:val="20"/>
                <w:color w:val="auto"/>
              </w:rPr>
            </w:pPr>
            <w:r>
              <w:rPr>
                <w:rFonts w:ascii="Arial" w:cs="Arial" w:eastAsia="Arial" w:hAnsi="Arial"/>
                <w:sz w:val="13"/>
                <w:szCs w:val="13"/>
                <w:b w:val="1"/>
                <w:bCs w:val="1"/>
                <w:color w:val="0000FF"/>
              </w:rPr>
              <w:t>94</w:t>
            </w:r>
          </w:p>
        </w:tc>
        <w:tc>
          <w:tcPr>
            <w:tcW w:w="0" w:type="dxa"/>
            <w:vAlign w:val="bottom"/>
          </w:tcPr>
          <w:p>
            <w:pPr>
              <w:spacing w:after="0"/>
              <w:rPr>
                <w:sz w:val="1"/>
                <w:szCs w:val="1"/>
                <w:color w:val="auto"/>
              </w:rPr>
            </w:pPr>
          </w:p>
        </w:tc>
      </w:tr>
      <w:tr>
        <w:trPr>
          <w:trHeight w:val="175"/>
        </w:trPr>
        <w:tc>
          <w:tcPr>
            <w:tcW w:w="94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Note 24</w:t>
            </w:r>
          </w:p>
        </w:tc>
        <w:tc>
          <w:tcPr>
            <w:tcW w:w="392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Other Contingencies and Commitments</w:t>
            </w:r>
          </w:p>
        </w:tc>
        <w:tc>
          <w:tcPr>
            <w:tcW w:w="240" w:type="dxa"/>
            <w:vAlign w:val="bottom"/>
          </w:tcPr>
          <w:p>
            <w:pPr>
              <w:ind w:left="20"/>
              <w:spacing w:after="0"/>
              <w:rPr>
                <w:sz w:val="20"/>
                <w:szCs w:val="20"/>
                <w:color w:val="auto"/>
              </w:rPr>
            </w:pPr>
            <w:r>
              <w:rPr>
                <w:rFonts w:ascii="Arial" w:cs="Arial" w:eastAsia="Arial" w:hAnsi="Arial"/>
                <w:sz w:val="13"/>
                <w:szCs w:val="13"/>
                <w:b w:val="1"/>
                <w:bCs w:val="1"/>
                <w:color w:val="0000FF"/>
              </w:rPr>
              <w:t>99</w:t>
            </w:r>
          </w:p>
        </w:tc>
        <w:tc>
          <w:tcPr>
            <w:tcW w:w="0" w:type="dxa"/>
            <w:vAlign w:val="bottom"/>
          </w:tcPr>
          <w:p>
            <w:pPr>
              <w:spacing w:after="0"/>
              <w:rPr>
                <w:sz w:val="1"/>
                <w:szCs w:val="1"/>
                <w:color w:val="auto"/>
              </w:rPr>
            </w:pPr>
          </w:p>
        </w:tc>
      </w:tr>
      <w:tr>
        <w:trPr>
          <w:trHeight w:val="176"/>
        </w:trPr>
        <w:tc>
          <w:tcPr>
            <w:tcW w:w="94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Note 25</w:t>
            </w:r>
          </w:p>
        </w:tc>
        <w:tc>
          <w:tcPr>
            <w:tcW w:w="392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Asset Retirement Obligations</w:t>
            </w:r>
          </w:p>
        </w:tc>
        <w:tc>
          <w:tcPr>
            <w:tcW w:w="240" w:type="dxa"/>
            <w:vAlign w:val="bottom"/>
          </w:tcPr>
          <w:p>
            <w:pPr>
              <w:ind w:left="20"/>
              <w:spacing w:after="0"/>
              <w:rPr>
                <w:sz w:val="20"/>
                <w:szCs w:val="20"/>
                <w:color w:val="auto"/>
              </w:rPr>
            </w:pPr>
            <w:r>
              <w:rPr>
                <w:rFonts w:ascii="Arial" w:cs="Arial" w:eastAsia="Arial" w:hAnsi="Arial"/>
                <w:sz w:val="13"/>
                <w:szCs w:val="13"/>
                <w:b w:val="1"/>
                <w:bCs w:val="1"/>
                <w:color w:val="0000FF"/>
                <w:w w:val="92"/>
              </w:rPr>
              <w:t>100</w:t>
            </w:r>
          </w:p>
        </w:tc>
        <w:tc>
          <w:tcPr>
            <w:tcW w:w="0" w:type="dxa"/>
            <w:vAlign w:val="bottom"/>
          </w:tcPr>
          <w:p>
            <w:pPr>
              <w:spacing w:after="0"/>
              <w:rPr>
                <w:sz w:val="1"/>
                <w:szCs w:val="1"/>
                <w:color w:val="auto"/>
              </w:rPr>
            </w:pPr>
          </w:p>
        </w:tc>
      </w:tr>
      <w:tr>
        <w:trPr>
          <w:trHeight w:val="175"/>
        </w:trPr>
        <w:tc>
          <w:tcPr>
            <w:tcW w:w="94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Note 26</w:t>
            </w:r>
          </w:p>
        </w:tc>
        <w:tc>
          <w:tcPr>
            <w:tcW w:w="392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Revenue</w:t>
            </w:r>
          </w:p>
        </w:tc>
        <w:tc>
          <w:tcPr>
            <w:tcW w:w="240" w:type="dxa"/>
            <w:vAlign w:val="bottom"/>
          </w:tcPr>
          <w:p>
            <w:pPr>
              <w:ind w:left="20"/>
              <w:spacing w:after="0"/>
              <w:rPr>
                <w:sz w:val="20"/>
                <w:szCs w:val="20"/>
                <w:color w:val="auto"/>
              </w:rPr>
            </w:pPr>
            <w:r>
              <w:rPr>
                <w:rFonts w:ascii="Arial" w:cs="Arial" w:eastAsia="Arial" w:hAnsi="Arial"/>
                <w:sz w:val="13"/>
                <w:szCs w:val="13"/>
                <w:b w:val="1"/>
                <w:bCs w:val="1"/>
                <w:color w:val="0000FF"/>
                <w:w w:val="92"/>
              </w:rPr>
              <w:t>101</w:t>
            </w:r>
          </w:p>
        </w:tc>
        <w:tc>
          <w:tcPr>
            <w:tcW w:w="0" w:type="dxa"/>
            <w:vAlign w:val="bottom"/>
          </w:tcPr>
          <w:p>
            <w:pPr>
              <w:spacing w:after="0"/>
              <w:rPr>
                <w:sz w:val="1"/>
                <w:szCs w:val="1"/>
                <w:color w:val="auto"/>
              </w:rPr>
            </w:pPr>
          </w:p>
        </w:tc>
      </w:tr>
      <w:tr>
        <w:trPr>
          <w:trHeight w:val="176"/>
        </w:trPr>
        <w:tc>
          <w:tcPr>
            <w:tcW w:w="94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Note 27</w:t>
            </w:r>
          </w:p>
        </w:tc>
        <w:tc>
          <w:tcPr>
            <w:tcW w:w="392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Other Financial Information</w:t>
            </w:r>
          </w:p>
        </w:tc>
        <w:tc>
          <w:tcPr>
            <w:tcW w:w="240" w:type="dxa"/>
            <w:vAlign w:val="bottom"/>
          </w:tcPr>
          <w:p>
            <w:pPr>
              <w:ind w:left="20"/>
              <w:spacing w:after="0"/>
              <w:rPr>
                <w:sz w:val="20"/>
                <w:szCs w:val="20"/>
                <w:color w:val="auto"/>
              </w:rPr>
            </w:pPr>
            <w:r>
              <w:rPr>
                <w:rFonts w:ascii="Arial" w:cs="Arial" w:eastAsia="Arial" w:hAnsi="Arial"/>
                <w:sz w:val="13"/>
                <w:szCs w:val="13"/>
                <w:b w:val="1"/>
                <w:bCs w:val="1"/>
                <w:color w:val="0000FF"/>
                <w:w w:val="92"/>
              </w:rPr>
              <w:t>101</w:t>
            </w:r>
          </w:p>
        </w:tc>
        <w:tc>
          <w:tcPr>
            <w:tcW w:w="0" w:type="dxa"/>
            <w:vAlign w:val="bottom"/>
          </w:tcPr>
          <w:p>
            <w:pPr>
              <w:spacing w:after="0"/>
              <w:rPr>
                <w:sz w:val="1"/>
                <w:szCs w:val="1"/>
                <w:color w:val="auto"/>
              </w:rPr>
            </w:pPr>
          </w:p>
        </w:tc>
      </w:tr>
      <w:tr>
        <w:trPr>
          <w:trHeight w:val="175"/>
        </w:trPr>
        <w:tc>
          <w:tcPr>
            <w:tcW w:w="94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Note 28</w:t>
            </w:r>
          </w:p>
        </w:tc>
        <w:tc>
          <w:tcPr>
            <w:tcW w:w="392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Financial Instruments - Credit Losses</w:t>
            </w:r>
          </w:p>
        </w:tc>
        <w:tc>
          <w:tcPr>
            <w:tcW w:w="240" w:type="dxa"/>
            <w:vAlign w:val="bottom"/>
          </w:tcPr>
          <w:p>
            <w:pPr>
              <w:ind w:left="20"/>
              <w:spacing w:after="0"/>
              <w:rPr>
                <w:sz w:val="20"/>
                <w:szCs w:val="20"/>
                <w:color w:val="auto"/>
              </w:rPr>
            </w:pPr>
            <w:r>
              <w:rPr>
                <w:rFonts w:ascii="Arial" w:cs="Arial" w:eastAsia="Arial" w:hAnsi="Arial"/>
                <w:sz w:val="13"/>
                <w:szCs w:val="13"/>
                <w:b w:val="1"/>
                <w:bCs w:val="1"/>
                <w:color w:val="0000FF"/>
                <w:w w:val="92"/>
              </w:rPr>
              <w:t>102</w:t>
            </w:r>
          </w:p>
        </w:tc>
        <w:tc>
          <w:tcPr>
            <w:tcW w:w="0" w:type="dxa"/>
            <w:vAlign w:val="bottom"/>
          </w:tcPr>
          <w:p>
            <w:pPr>
              <w:spacing w:after="0"/>
              <w:rPr>
                <w:sz w:val="1"/>
                <w:szCs w:val="1"/>
                <w:color w:val="auto"/>
              </w:rPr>
            </w:pPr>
          </w:p>
        </w:tc>
      </w:tr>
      <w:tr>
        <w:trPr>
          <w:trHeight w:val="175"/>
        </w:trPr>
        <w:tc>
          <w:tcPr>
            <w:tcW w:w="94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Note 29</w:t>
            </w:r>
          </w:p>
        </w:tc>
        <w:tc>
          <w:tcPr>
            <w:tcW w:w="392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Acquisition of PDC Energy, Inc.</w:t>
            </w:r>
          </w:p>
        </w:tc>
        <w:tc>
          <w:tcPr>
            <w:tcW w:w="240" w:type="dxa"/>
            <w:vAlign w:val="bottom"/>
          </w:tcPr>
          <w:p>
            <w:pPr>
              <w:ind w:left="20"/>
              <w:spacing w:after="0"/>
              <w:rPr>
                <w:sz w:val="20"/>
                <w:szCs w:val="20"/>
                <w:color w:val="auto"/>
              </w:rPr>
            </w:pPr>
            <w:r>
              <w:rPr>
                <w:rFonts w:ascii="Arial" w:cs="Arial" w:eastAsia="Arial" w:hAnsi="Arial"/>
                <w:sz w:val="13"/>
                <w:szCs w:val="13"/>
                <w:b w:val="1"/>
                <w:bCs w:val="1"/>
                <w:color w:val="0000FF"/>
                <w:w w:val="92"/>
              </w:rPr>
              <w:t>103</w:t>
            </w:r>
          </w:p>
        </w:tc>
        <w:tc>
          <w:tcPr>
            <w:tcW w:w="0" w:type="dxa"/>
            <w:vAlign w:val="bottom"/>
          </w:tcPr>
          <w:p>
            <w:pPr>
              <w:spacing w:after="0"/>
              <w:rPr>
                <w:sz w:val="1"/>
                <w:szCs w:val="1"/>
                <w:color w:val="auto"/>
              </w:rPr>
            </w:pPr>
          </w:p>
        </w:tc>
      </w:tr>
      <w:tr>
        <w:trPr>
          <w:trHeight w:val="175"/>
        </w:trPr>
        <w:tc>
          <w:tcPr>
            <w:tcW w:w="94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Note 30</w:t>
            </w:r>
          </w:p>
        </w:tc>
        <w:tc>
          <w:tcPr>
            <w:tcW w:w="392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Agreement to Acquire Hess Corporation</w:t>
            </w:r>
          </w:p>
        </w:tc>
        <w:tc>
          <w:tcPr>
            <w:tcW w:w="240" w:type="dxa"/>
            <w:vAlign w:val="bottom"/>
          </w:tcPr>
          <w:p>
            <w:pPr>
              <w:ind w:left="20"/>
              <w:spacing w:after="0"/>
              <w:rPr>
                <w:sz w:val="20"/>
                <w:szCs w:val="20"/>
                <w:color w:val="auto"/>
              </w:rPr>
            </w:pPr>
            <w:r>
              <w:rPr>
                <w:rFonts w:ascii="Arial" w:cs="Arial" w:eastAsia="Arial" w:hAnsi="Arial"/>
                <w:sz w:val="13"/>
                <w:szCs w:val="13"/>
                <w:b w:val="1"/>
                <w:bCs w:val="1"/>
                <w:color w:val="0000FF"/>
                <w:w w:val="92"/>
              </w:rPr>
              <w:t>103</w:t>
            </w:r>
          </w:p>
        </w:tc>
        <w:tc>
          <w:tcPr>
            <w:tcW w:w="0" w:type="dxa"/>
            <w:vAlign w:val="bottom"/>
          </w:tcPr>
          <w:p>
            <w:pPr>
              <w:spacing w:after="0"/>
              <w:rPr>
                <w:sz w:val="1"/>
                <w:szCs w:val="1"/>
                <w:color w:val="auto"/>
              </w:rPr>
            </w:pPr>
          </w:p>
        </w:tc>
      </w:tr>
      <w:tr>
        <w:trPr>
          <w:trHeight w:val="378"/>
        </w:trPr>
        <w:tc>
          <w:tcPr>
            <w:tcW w:w="940" w:type="dxa"/>
            <w:vAlign w:val="bottom"/>
            <w:shd w:val="clear" w:color="auto" w:fill="E8EEF9"/>
          </w:tcPr>
          <w:p>
            <w:pPr>
              <w:ind w:left="20"/>
              <w:spacing w:after="0"/>
              <w:rPr>
                <w:sz w:val="20"/>
                <w:szCs w:val="20"/>
                <w:color w:val="auto"/>
              </w:rPr>
            </w:pPr>
            <w:r>
              <w:rPr>
                <w:rFonts w:ascii="Arial" w:cs="Arial" w:eastAsia="Arial" w:hAnsi="Arial"/>
                <w:sz w:val="13"/>
                <w:szCs w:val="13"/>
                <w:color w:val="0000FF"/>
              </w:rPr>
              <w:t>Supplemental</w:t>
            </w:r>
          </w:p>
        </w:tc>
        <w:tc>
          <w:tcPr>
            <w:tcW w:w="3920" w:type="dxa"/>
            <w:vAlign w:val="bottom"/>
            <w:shd w:val="clear" w:color="auto" w:fill="E8EEF9"/>
          </w:tcPr>
          <w:p>
            <w:pPr>
              <w:spacing w:after="0"/>
              <w:rPr>
                <w:sz w:val="20"/>
                <w:szCs w:val="20"/>
                <w:color w:val="auto"/>
              </w:rPr>
            </w:pPr>
            <w:r>
              <w:rPr>
                <w:rFonts w:ascii="Arial" w:cs="Arial" w:eastAsia="Arial" w:hAnsi="Arial"/>
                <w:sz w:val="13"/>
                <w:szCs w:val="13"/>
                <w:color w:val="0000FF"/>
              </w:rPr>
              <w:t>Information on Oil and Gas Producing Activities</w:t>
            </w:r>
          </w:p>
        </w:tc>
        <w:tc>
          <w:tcPr>
            <w:tcW w:w="240" w:type="dxa"/>
            <w:vAlign w:val="bottom"/>
          </w:tcPr>
          <w:p>
            <w:pPr>
              <w:ind w:left="20"/>
              <w:spacing w:after="0"/>
              <w:rPr>
                <w:sz w:val="20"/>
                <w:szCs w:val="20"/>
                <w:color w:val="auto"/>
              </w:rPr>
            </w:pPr>
            <w:r>
              <w:rPr>
                <w:rFonts w:ascii="Arial" w:cs="Arial" w:eastAsia="Arial" w:hAnsi="Arial"/>
                <w:sz w:val="13"/>
                <w:szCs w:val="13"/>
                <w:b w:val="1"/>
                <w:bCs w:val="1"/>
                <w:color w:val="0000FF"/>
                <w:w w:val="92"/>
              </w:rPr>
              <w:t>104</w:t>
            </w:r>
          </w:p>
        </w:tc>
        <w:tc>
          <w:tcPr>
            <w:tcW w:w="0" w:type="dxa"/>
            <w:vAlign w:val="bottom"/>
          </w:tcPr>
          <w:p>
            <w:pPr>
              <w:spacing w:after="0"/>
              <w:rPr>
                <w:sz w:val="1"/>
                <w:szCs w:val="1"/>
                <w:color w:val="auto"/>
              </w:rPr>
            </w:pPr>
          </w:p>
        </w:tc>
      </w:tr>
      <w:tr>
        <w:trPr>
          <w:trHeight w:val="4152"/>
        </w:trPr>
        <w:tc>
          <w:tcPr>
            <w:tcW w:w="940" w:type="dxa"/>
            <w:vAlign w:val="bottom"/>
            <w:shd w:val="clear" w:color="auto" w:fill="E8EEF9"/>
          </w:tcPr>
          <w:p>
            <w:pPr>
              <w:spacing w:after="0"/>
              <w:rPr>
                <w:sz w:val="24"/>
                <w:szCs w:val="24"/>
                <w:color w:val="auto"/>
              </w:rPr>
            </w:pPr>
          </w:p>
        </w:tc>
        <w:tc>
          <w:tcPr>
            <w:tcW w:w="3920" w:type="dxa"/>
            <w:vAlign w:val="bottom"/>
            <w:shd w:val="clear" w:color="auto" w:fill="E8EEF9"/>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222250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800" w:space="720"/>
            <w:col w:w="5680"/>
          </w:cols>
          <w:pgMar w:left="340" w:top="161" w:right="359" w:bottom="1440" w:gutter="0" w:footer="0" w:header="0"/>
          <w:type w:val="continuous"/>
        </w:sectPr>
      </w:pPr>
    </w:p>
    <w:bookmarkStart w:id="35" w:name="page36"/>
    <w:bookmarkEnd w:id="35"/>
    <w:p>
      <w:pPr>
        <w:ind w:left="20"/>
        <w:spacing w:after="0"/>
        <w:tabs>
          <w:tab w:leader="none" w:pos="9460" w:val="left"/>
        </w:tabs>
        <w:rPr>
          <w:sz w:val="20"/>
          <w:szCs w:val="20"/>
          <w:color w:val="auto"/>
        </w:rPr>
      </w:pPr>
      <w:r>
        <w:rPr>
          <w:rFonts w:ascii="Arial" w:cs="Arial" w:eastAsia="Arial" w:hAnsi="Arial"/>
          <w:sz w:val="14"/>
          <w:szCs w:val="14"/>
          <w:color w:val="0077C0"/>
        </w:rPr>
        <w:t>Management’s Discussion and Analysis of Financial Condition and Results of Operations</w:t>
      </w:r>
      <w:r>
        <w:rPr>
          <w:sz w:val="20"/>
          <w:szCs w:val="20"/>
          <w:color w:val="auto"/>
        </w:rPr>
        <w:tab/>
      </w:r>
      <w:r>
        <w:rPr>
          <w:rFonts w:ascii="Arial" w:cs="Arial" w:eastAsia="Arial" w:hAnsi="Arial"/>
          <w:sz w:val="14"/>
          <w:szCs w:val="14"/>
          <w:color w:val="0077C0"/>
        </w:rPr>
        <w:t>Financial 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Key Financial Results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Millions of dollars, except per-share amounts</w:t>
            </w:r>
          </w:p>
        </w:tc>
        <w:tc>
          <w:tcPr>
            <w:tcW w:w="19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2023</w:t>
            </w: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4800" w:type="dxa"/>
            <w:vAlign w:val="bottom"/>
            <w:tcBorders>
              <w:bottom w:val="single" w:sz="8" w:color="0077C0"/>
            </w:tcBorders>
          </w:tcPr>
          <w:p>
            <w:pPr>
              <w:spacing w:after="0"/>
              <w:rPr>
                <w:sz w:val="2"/>
                <w:szCs w:val="2"/>
                <w:color w:val="auto"/>
              </w:rPr>
            </w:pPr>
          </w:p>
        </w:tc>
        <w:tc>
          <w:tcPr>
            <w:tcW w:w="1920" w:type="dxa"/>
            <w:vAlign w:val="bottom"/>
            <w:tcBorders>
              <w:bottom w:val="single" w:sz="8" w:color="0077C0"/>
            </w:tcBorders>
          </w:tcPr>
          <w:p>
            <w:pPr>
              <w:spacing w:after="0"/>
              <w:rPr>
                <w:sz w:val="2"/>
                <w:szCs w:val="2"/>
                <w:color w:val="auto"/>
              </w:rPr>
            </w:pPr>
          </w:p>
        </w:tc>
        <w:tc>
          <w:tcPr>
            <w:tcW w:w="1040" w:type="dxa"/>
            <w:vAlign w:val="bottom"/>
            <w:tcBorders>
              <w:bottom w:val="single" w:sz="8" w:color="0077C0"/>
            </w:tcBorders>
          </w:tcPr>
          <w:p>
            <w:pPr>
              <w:spacing w:after="0"/>
              <w:rPr>
                <w:sz w:val="2"/>
                <w:szCs w:val="2"/>
                <w:color w:val="auto"/>
              </w:rPr>
            </w:pPr>
          </w:p>
        </w:tc>
        <w:tc>
          <w:tcPr>
            <w:tcW w:w="720" w:type="dxa"/>
            <w:vAlign w:val="bottom"/>
            <w:tcBorders>
              <w:bottom w:val="single" w:sz="8" w:color="0077C0"/>
            </w:tcBorders>
          </w:tcPr>
          <w:p>
            <w:pPr>
              <w:spacing w:after="0"/>
              <w:rPr>
                <w:sz w:val="2"/>
                <w:szCs w:val="2"/>
                <w:color w:val="auto"/>
              </w:rPr>
            </w:pPr>
          </w:p>
        </w:tc>
        <w:tc>
          <w:tcPr>
            <w:tcW w:w="112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1020" w:type="dxa"/>
            <w:vAlign w:val="bottom"/>
            <w:tcBorders>
              <w:bottom w:val="single" w:sz="8" w:color="0077C0"/>
            </w:tcBorders>
          </w:tcPr>
          <w:p>
            <w:pPr>
              <w:spacing w:after="0"/>
              <w:rPr>
                <w:sz w:val="2"/>
                <w:szCs w:val="2"/>
                <w:color w:val="auto"/>
              </w:rPr>
            </w:pPr>
          </w:p>
        </w:tc>
      </w:tr>
      <w:tr>
        <w:trPr>
          <w:trHeight w:val="184"/>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Chevron Corporation</w:t>
            </w:r>
          </w:p>
        </w:tc>
        <w:tc>
          <w:tcPr>
            <w:tcW w:w="19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right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17,661</w:t>
            </w:r>
          </w:p>
        </w:tc>
        <w:tc>
          <w:tcPr>
            <w:tcW w:w="7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21,369</w:t>
            </w:r>
          </w:p>
        </w:tc>
        <w:tc>
          <w:tcPr>
            <w:tcW w:w="6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35,465</w:t>
            </w:r>
          </w:p>
        </w:tc>
      </w:tr>
      <w:tr>
        <w:trPr>
          <w:trHeight w:val="191"/>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 Share Amounts:</w:t>
            </w:r>
          </w:p>
        </w:tc>
        <w:tc>
          <w:tcPr>
            <w:tcW w:w="1920" w:type="dxa"/>
            <w:vAlign w:val="bottom"/>
          </w:tcPr>
          <w:p>
            <w:pPr>
              <w:spacing w:after="0"/>
              <w:rPr>
                <w:sz w:val="16"/>
                <w:szCs w:val="16"/>
                <w:color w:val="auto"/>
              </w:rPr>
            </w:pPr>
          </w:p>
        </w:tc>
        <w:tc>
          <w:tcPr>
            <w:tcW w:w="1040" w:type="dxa"/>
            <w:vAlign w:val="bottom"/>
            <w:tcBorders>
              <w:right w:val="single" w:sz="8" w:color="0077C0"/>
            </w:tcBorders>
          </w:tcPr>
          <w:p>
            <w:pPr>
              <w:spacing w:after="0"/>
              <w:rPr>
                <w:sz w:val="16"/>
                <w:szCs w:val="16"/>
                <w:color w:val="auto"/>
              </w:rPr>
            </w:pPr>
          </w:p>
        </w:tc>
        <w:tc>
          <w:tcPr>
            <w:tcW w:w="7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3"/>
        </w:trPr>
        <w:tc>
          <w:tcPr>
            <w:tcW w:w="4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(Loss) Attributable to Chevron Corporation</w:t>
            </w:r>
          </w:p>
        </w:tc>
        <w:tc>
          <w:tcPr>
            <w:tcW w:w="1920" w:type="dxa"/>
            <w:vAlign w:val="bottom"/>
          </w:tcPr>
          <w:p>
            <w:pPr>
              <w:spacing w:after="0"/>
              <w:rPr>
                <w:sz w:val="17"/>
                <w:szCs w:val="17"/>
                <w:color w:val="auto"/>
              </w:rPr>
            </w:pPr>
          </w:p>
        </w:tc>
        <w:tc>
          <w:tcPr>
            <w:tcW w:w="1040" w:type="dxa"/>
            <w:vAlign w:val="bottom"/>
            <w:tcBorders>
              <w:right w:val="single" w:sz="8" w:color="0077C0"/>
            </w:tcBorders>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48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 Basic</w:t>
            </w:r>
          </w:p>
        </w:tc>
        <w:tc>
          <w:tcPr>
            <w:tcW w:w="19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right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9.76</w:t>
            </w:r>
          </w:p>
        </w:tc>
        <w:tc>
          <w:tcPr>
            <w:tcW w:w="7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11.41</w:t>
            </w:r>
          </w:p>
        </w:tc>
        <w:tc>
          <w:tcPr>
            <w:tcW w:w="6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18.36</w:t>
            </w:r>
          </w:p>
        </w:tc>
      </w:tr>
      <w:tr>
        <w:trPr>
          <w:trHeight w:val="203"/>
        </w:trPr>
        <w:tc>
          <w:tcPr>
            <w:tcW w:w="48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 Diluted</w:t>
            </w:r>
          </w:p>
        </w:tc>
        <w:tc>
          <w:tcPr>
            <w:tcW w:w="19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right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9.72</w:t>
            </w:r>
          </w:p>
        </w:tc>
        <w:tc>
          <w:tcPr>
            <w:tcW w:w="7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11.36</w:t>
            </w:r>
          </w:p>
        </w:tc>
        <w:tc>
          <w:tcPr>
            <w:tcW w:w="6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18.28</w:t>
            </w:r>
          </w:p>
        </w:tc>
      </w:tr>
      <w:tr>
        <w:trPr>
          <w:trHeight w:val="203"/>
        </w:trPr>
        <w:tc>
          <w:tcPr>
            <w:tcW w:w="4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w:t>
            </w:r>
          </w:p>
        </w:tc>
        <w:tc>
          <w:tcPr>
            <w:tcW w:w="19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right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6.52</w:t>
            </w:r>
          </w:p>
        </w:tc>
        <w:tc>
          <w:tcPr>
            <w:tcW w:w="7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6.04</w:t>
            </w:r>
          </w:p>
        </w:tc>
        <w:tc>
          <w:tcPr>
            <w:tcW w:w="6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5.68</w:t>
            </w:r>
          </w:p>
        </w:tc>
      </w:tr>
      <w:tr>
        <w:trPr>
          <w:trHeight w:val="203"/>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Other Operating Revenues</w:t>
            </w:r>
          </w:p>
        </w:tc>
        <w:tc>
          <w:tcPr>
            <w:tcW w:w="19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right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193,414</w:t>
            </w:r>
          </w:p>
        </w:tc>
        <w:tc>
          <w:tcPr>
            <w:tcW w:w="7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196,913</w:t>
            </w:r>
          </w:p>
        </w:tc>
        <w:tc>
          <w:tcPr>
            <w:tcW w:w="6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235,717</w:t>
            </w:r>
          </w:p>
        </w:tc>
      </w:tr>
      <w:tr>
        <w:trPr>
          <w:trHeight w:val="203"/>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Return on:</w:t>
            </w:r>
          </w:p>
        </w:tc>
        <w:tc>
          <w:tcPr>
            <w:tcW w:w="1920" w:type="dxa"/>
            <w:vAlign w:val="bottom"/>
          </w:tcPr>
          <w:p>
            <w:pPr>
              <w:spacing w:after="0"/>
              <w:rPr>
                <w:sz w:val="17"/>
                <w:szCs w:val="17"/>
                <w:color w:val="auto"/>
              </w:rPr>
            </w:pPr>
          </w:p>
        </w:tc>
        <w:tc>
          <w:tcPr>
            <w:tcW w:w="1040" w:type="dxa"/>
            <w:vAlign w:val="bottom"/>
            <w:tcBorders>
              <w:right w:val="single" w:sz="8" w:color="0077C0"/>
            </w:tcBorders>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4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Capital Employed</w:t>
            </w:r>
          </w:p>
        </w:tc>
        <w:tc>
          <w:tcPr>
            <w:tcW w:w="1920" w:type="dxa"/>
            <w:vAlign w:val="bottom"/>
          </w:tcPr>
          <w:p>
            <w:pPr>
              <w:spacing w:after="0"/>
              <w:rPr>
                <w:sz w:val="17"/>
                <w:szCs w:val="17"/>
                <w:color w:val="auto"/>
              </w:rPr>
            </w:pPr>
          </w:p>
        </w:tc>
        <w:tc>
          <w:tcPr>
            <w:tcW w:w="104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10.1 %</w:t>
            </w:r>
          </w:p>
        </w:tc>
        <w:tc>
          <w:tcPr>
            <w:tcW w:w="72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11.9 %</w:t>
            </w:r>
          </w:p>
        </w:tc>
        <w:tc>
          <w:tcPr>
            <w:tcW w:w="6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20.3 %</w:t>
            </w:r>
          </w:p>
        </w:tc>
      </w:tr>
      <w:tr>
        <w:trPr>
          <w:trHeight w:val="203"/>
        </w:trPr>
        <w:tc>
          <w:tcPr>
            <w:tcW w:w="4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Stockholders’ Equity</w:t>
            </w:r>
          </w:p>
        </w:tc>
        <w:tc>
          <w:tcPr>
            <w:tcW w:w="1920" w:type="dxa"/>
            <w:vAlign w:val="bottom"/>
          </w:tcPr>
          <w:p>
            <w:pPr>
              <w:spacing w:after="0"/>
              <w:rPr>
                <w:sz w:val="17"/>
                <w:szCs w:val="17"/>
                <w:color w:val="auto"/>
              </w:rPr>
            </w:pPr>
          </w:p>
        </w:tc>
        <w:tc>
          <w:tcPr>
            <w:tcW w:w="104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11.3 %</w:t>
            </w:r>
          </w:p>
        </w:tc>
        <w:tc>
          <w:tcPr>
            <w:tcW w:w="72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13.3 %</w:t>
            </w:r>
          </w:p>
        </w:tc>
        <w:tc>
          <w:tcPr>
            <w:tcW w:w="6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23.8 %</w:t>
            </w:r>
          </w:p>
        </w:tc>
      </w:tr>
      <w:tr>
        <w:trPr>
          <w:trHeight w:val="23"/>
        </w:trPr>
        <w:tc>
          <w:tcPr>
            <w:tcW w:w="4800" w:type="dxa"/>
            <w:vAlign w:val="bottom"/>
            <w:tcBorders>
              <w:bottom w:val="single" w:sz="8" w:color="0077C0"/>
            </w:tcBorders>
          </w:tcPr>
          <w:p>
            <w:pPr>
              <w:spacing w:after="0"/>
              <w:rPr>
                <w:sz w:val="2"/>
                <w:szCs w:val="2"/>
                <w:color w:val="auto"/>
              </w:rPr>
            </w:pPr>
          </w:p>
        </w:tc>
        <w:tc>
          <w:tcPr>
            <w:tcW w:w="1920" w:type="dxa"/>
            <w:vAlign w:val="bottom"/>
            <w:tcBorders>
              <w:bottom w:val="single" w:sz="8" w:color="0077C0"/>
            </w:tcBorders>
          </w:tcPr>
          <w:p>
            <w:pPr>
              <w:spacing w:after="0"/>
              <w:rPr>
                <w:sz w:val="2"/>
                <w:szCs w:val="2"/>
                <w:color w:val="auto"/>
              </w:rPr>
            </w:pPr>
          </w:p>
        </w:tc>
        <w:tc>
          <w:tcPr>
            <w:tcW w:w="1040" w:type="dxa"/>
            <w:vAlign w:val="bottom"/>
            <w:tcBorders>
              <w:bottom w:val="single" w:sz="8" w:color="0077C0"/>
              <w:right w:val="single" w:sz="8" w:color="0077C0"/>
            </w:tcBorders>
          </w:tcPr>
          <w:p>
            <w:pPr>
              <w:spacing w:after="0"/>
              <w:rPr>
                <w:sz w:val="2"/>
                <w:szCs w:val="2"/>
                <w:color w:val="auto"/>
              </w:rPr>
            </w:pPr>
          </w:p>
        </w:tc>
        <w:tc>
          <w:tcPr>
            <w:tcW w:w="720" w:type="dxa"/>
            <w:vAlign w:val="bottom"/>
            <w:tcBorders>
              <w:bottom w:val="single" w:sz="8" w:color="0077C0"/>
            </w:tcBorders>
          </w:tcPr>
          <w:p>
            <w:pPr>
              <w:spacing w:after="0"/>
              <w:rPr>
                <w:sz w:val="2"/>
                <w:szCs w:val="2"/>
                <w:color w:val="auto"/>
              </w:rPr>
            </w:pPr>
          </w:p>
        </w:tc>
        <w:tc>
          <w:tcPr>
            <w:tcW w:w="112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1020" w:type="dxa"/>
            <w:vAlign w:val="bottom"/>
            <w:tcBorders>
              <w:bottom w:val="single" w:sz="8" w:color="0077C0"/>
            </w:tcBorders>
          </w:tcPr>
          <w:p>
            <w:pPr>
              <w:spacing w:after="0"/>
              <w:rPr>
                <w:sz w:val="2"/>
                <w:szCs w:val="2"/>
                <w:color w:val="auto"/>
              </w:rPr>
            </w:pPr>
          </w:p>
        </w:tc>
      </w:tr>
    </w:tbl>
    <w:p>
      <w:pPr>
        <w:ind w:left="20"/>
        <w:spacing w:after="0"/>
        <w:rPr>
          <w:sz w:val="20"/>
          <w:szCs w:val="20"/>
          <w:color w:val="auto"/>
        </w:rPr>
      </w:pPr>
      <w:r>
        <w:rPr>
          <w:rFonts w:ascii="Arial" w:cs="Arial" w:eastAsia="Arial" w:hAnsi="Arial"/>
          <w:sz w:val="18"/>
          <w:szCs w:val="18"/>
          <w:b w:val="1"/>
          <w:bCs w:val="1"/>
          <w:color w:val="0077C0"/>
        </w:rPr>
        <w:t>Earnings by Major Operating Area</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90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1840" w:type="dxa"/>
            <w:vAlign w:val="bottom"/>
            <w:tcBorders>
              <w:bottom w:val="single" w:sz="8" w:color="0077C0"/>
            </w:tcBorders>
          </w:tcPr>
          <w:p>
            <w:pPr>
              <w:spacing w:after="0"/>
              <w:rPr>
                <w:sz w:val="16"/>
                <w:szCs w:val="16"/>
                <w:color w:val="auto"/>
              </w:rPr>
            </w:pPr>
          </w:p>
        </w:tc>
        <w:tc>
          <w:tcPr>
            <w:tcW w:w="10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0077C0"/>
            </w:tcBorders>
          </w:tcPr>
          <w:p>
            <w:pPr>
              <w:spacing w:after="0"/>
              <w:rPr>
                <w:sz w:val="16"/>
                <w:szCs w:val="16"/>
                <w:color w:val="auto"/>
              </w:rPr>
            </w:pPr>
          </w:p>
        </w:tc>
        <w:tc>
          <w:tcPr>
            <w:tcW w:w="1100" w:type="dxa"/>
            <w:vAlign w:val="bottom"/>
            <w:tcBorders>
              <w:bottom w:val="single" w:sz="8" w:color="0077C0"/>
            </w:tcBorders>
          </w:tcPr>
          <w:p>
            <w:pPr>
              <w:jc w:val="right"/>
              <w:ind w:right="69"/>
              <w:spacing w:after="0"/>
              <w:rPr>
                <w:sz w:val="20"/>
                <w:szCs w:val="20"/>
                <w:color w:val="auto"/>
              </w:rPr>
            </w:pPr>
            <w:r>
              <w:rPr>
                <w:rFonts w:ascii="Times New Roman" w:cs="Times New Roman" w:eastAsia="Times New Roman" w:hAnsi="Times New Roman"/>
                <w:sz w:val="14"/>
                <w:szCs w:val="14"/>
                <w:color w:val="auto"/>
              </w:rPr>
              <w:t>2023</w:t>
            </w:r>
          </w:p>
        </w:tc>
        <w:tc>
          <w:tcPr>
            <w:tcW w:w="640" w:type="dxa"/>
            <w:vAlign w:val="bottom"/>
            <w:tcBorders>
              <w:bottom w:val="single" w:sz="8" w:color="0077C0"/>
            </w:tcBorders>
          </w:tcPr>
          <w:p>
            <w:pPr>
              <w:spacing w:after="0"/>
              <w:rPr>
                <w:sz w:val="16"/>
                <w:szCs w:val="16"/>
                <w:color w:val="auto"/>
              </w:rPr>
            </w:pPr>
          </w:p>
        </w:tc>
        <w:tc>
          <w:tcPr>
            <w:tcW w:w="10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r>
      <w:tr>
        <w:trPr>
          <w:trHeight w:val="184"/>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Upstream</w:t>
            </w:r>
          </w:p>
        </w:tc>
        <w:tc>
          <w:tcPr>
            <w:tcW w:w="1840" w:type="dxa"/>
            <w:vAlign w:val="bottom"/>
          </w:tcPr>
          <w:p>
            <w:pPr>
              <w:spacing w:after="0"/>
              <w:rPr>
                <w:sz w:val="16"/>
                <w:szCs w:val="16"/>
                <w:color w:val="auto"/>
              </w:rPr>
            </w:pPr>
          </w:p>
        </w:tc>
        <w:tc>
          <w:tcPr>
            <w:tcW w:w="1020" w:type="dxa"/>
            <w:vAlign w:val="bottom"/>
            <w:tcBorders>
              <w:right w:val="single" w:sz="8" w:color="0077C0"/>
            </w:tcBorders>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United States</w:t>
            </w:r>
          </w:p>
        </w:tc>
        <w:tc>
          <w:tcPr>
            <w:tcW w:w="1840" w:type="dxa"/>
            <w:vAlign w:val="bottom"/>
          </w:tcPr>
          <w:p>
            <w:pPr>
              <w:ind w:left="132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right w:val="single" w:sz="8" w:color="0077C0"/>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7,602</w:t>
            </w:r>
          </w:p>
        </w:tc>
        <w:tc>
          <w:tcPr>
            <w:tcW w:w="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4,148</w:t>
            </w:r>
          </w:p>
        </w:tc>
        <w:tc>
          <w:tcPr>
            <w:tcW w:w="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12,621</w:t>
            </w:r>
          </w:p>
        </w:tc>
      </w:tr>
      <w:tr>
        <w:trPr>
          <w:trHeight w:val="203"/>
        </w:trPr>
        <w:tc>
          <w:tcPr>
            <w:tcW w:w="4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International</w:t>
            </w:r>
          </w:p>
        </w:tc>
        <w:tc>
          <w:tcPr>
            <w:tcW w:w="1840" w:type="dxa"/>
            <w:vAlign w:val="bottom"/>
          </w:tcPr>
          <w:p>
            <w:pPr>
              <w:spacing w:after="0"/>
              <w:rPr>
                <w:sz w:val="17"/>
                <w:szCs w:val="17"/>
                <w:color w:val="auto"/>
              </w:rPr>
            </w:pPr>
          </w:p>
        </w:tc>
        <w:tc>
          <w:tcPr>
            <w:tcW w:w="1020" w:type="dxa"/>
            <w:vAlign w:val="bottom"/>
            <w:tcBorders>
              <w:right w:val="single" w:sz="8" w:color="0077C0"/>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11,000</w:t>
            </w:r>
          </w:p>
        </w:tc>
        <w:tc>
          <w:tcPr>
            <w:tcW w:w="740" w:type="dxa"/>
            <w:vAlign w:val="bottom"/>
          </w:tcPr>
          <w:p>
            <w:pPr>
              <w:spacing w:after="0"/>
              <w:rPr>
                <w:sz w:val="17"/>
                <w:szCs w:val="17"/>
                <w:color w:val="auto"/>
              </w:rPr>
            </w:pPr>
          </w:p>
        </w:tc>
        <w:tc>
          <w:tcPr>
            <w:tcW w:w="11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13,290</w:t>
            </w:r>
          </w:p>
        </w:tc>
        <w:tc>
          <w:tcPr>
            <w:tcW w:w="640" w:type="dxa"/>
            <w:vAlign w:val="bottom"/>
          </w:tcPr>
          <w:p>
            <w:pPr>
              <w:spacing w:after="0"/>
              <w:rPr>
                <w:sz w:val="17"/>
                <w:szCs w:val="17"/>
                <w:color w:val="auto"/>
              </w:rPr>
            </w:pP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17,663</w:t>
            </w:r>
          </w:p>
        </w:tc>
      </w:tr>
      <w:tr>
        <w:trPr>
          <w:trHeight w:val="23"/>
        </w:trPr>
        <w:tc>
          <w:tcPr>
            <w:tcW w:w="4900" w:type="dxa"/>
            <w:vAlign w:val="bottom"/>
            <w:tcBorders>
              <w:bottom w:val="single" w:sz="8" w:color="0077C0"/>
            </w:tcBorders>
          </w:tcPr>
          <w:p>
            <w:pPr>
              <w:spacing w:after="0"/>
              <w:rPr>
                <w:sz w:val="2"/>
                <w:szCs w:val="2"/>
                <w:color w:val="auto"/>
              </w:rPr>
            </w:pPr>
          </w:p>
        </w:tc>
        <w:tc>
          <w:tcPr>
            <w:tcW w:w="1840" w:type="dxa"/>
            <w:vAlign w:val="bottom"/>
            <w:tcBorders>
              <w:bottom w:val="single" w:sz="8" w:color="0077C0"/>
            </w:tcBorders>
          </w:tcPr>
          <w:p>
            <w:pPr>
              <w:spacing w:after="0"/>
              <w:rPr>
                <w:sz w:val="2"/>
                <w:szCs w:val="2"/>
                <w:color w:val="auto"/>
              </w:rPr>
            </w:pPr>
          </w:p>
        </w:tc>
        <w:tc>
          <w:tcPr>
            <w:tcW w:w="1020" w:type="dxa"/>
            <w:vAlign w:val="bottom"/>
            <w:tcBorders>
              <w:bottom w:val="single" w:sz="8" w:color="0077C0"/>
              <w:right w:val="single" w:sz="8" w:color="0077C0"/>
            </w:tcBorders>
          </w:tcPr>
          <w:p>
            <w:pPr>
              <w:spacing w:after="0"/>
              <w:rPr>
                <w:sz w:val="2"/>
                <w:szCs w:val="2"/>
                <w:color w:val="auto"/>
              </w:rPr>
            </w:pPr>
          </w:p>
        </w:tc>
        <w:tc>
          <w:tcPr>
            <w:tcW w:w="740" w:type="dxa"/>
            <w:vAlign w:val="bottom"/>
            <w:tcBorders>
              <w:bottom w:val="single" w:sz="8" w:color="0077C0"/>
            </w:tcBorders>
          </w:tcPr>
          <w:p>
            <w:pPr>
              <w:spacing w:after="0"/>
              <w:rPr>
                <w:sz w:val="2"/>
                <w:szCs w:val="2"/>
                <w:color w:val="auto"/>
              </w:rPr>
            </w:pPr>
          </w:p>
        </w:tc>
        <w:tc>
          <w:tcPr>
            <w:tcW w:w="110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r>
      <w:tr>
        <w:trPr>
          <w:trHeight w:val="190"/>
        </w:trPr>
        <w:tc>
          <w:tcPr>
            <w:tcW w:w="490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Upstream</w:t>
            </w:r>
          </w:p>
        </w:tc>
        <w:tc>
          <w:tcPr>
            <w:tcW w:w="1840" w:type="dxa"/>
            <w:vAlign w:val="bottom"/>
            <w:tcBorders>
              <w:bottom w:val="single" w:sz="8" w:color="0077C0"/>
            </w:tcBorders>
          </w:tcPr>
          <w:p>
            <w:pPr>
              <w:spacing w:after="0"/>
              <w:rPr>
                <w:sz w:val="16"/>
                <w:szCs w:val="16"/>
                <w:color w:val="auto"/>
              </w:rPr>
            </w:pPr>
          </w:p>
        </w:tc>
        <w:tc>
          <w:tcPr>
            <w:tcW w:w="1020" w:type="dxa"/>
            <w:vAlign w:val="bottom"/>
            <w:tcBorders>
              <w:bottom w:val="single" w:sz="8" w:color="0077C0"/>
              <w:right w:val="single" w:sz="8" w:color="0077C0"/>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18,602</w:t>
            </w:r>
          </w:p>
        </w:tc>
        <w:tc>
          <w:tcPr>
            <w:tcW w:w="740" w:type="dxa"/>
            <w:vAlign w:val="bottom"/>
            <w:tcBorders>
              <w:bottom w:val="single" w:sz="8" w:color="0077C0"/>
            </w:tcBorders>
          </w:tcPr>
          <w:p>
            <w:pPr>
              <w:spacing w:after="0"/>
              <w:rPr>
                <w:sz w:val="16"/>
                <w:szCs w:val="16"/>
                <w:color w:val="auto"/>
              </w:rPr>
            </w:pPr>
          </w:p>
        </w:tc>
        <w:tc>
          <w:tcPr>
            <w:tcW w:w="1100" w:type="dxa"/>
            <w:vAlign w:val="bottom"/>
            <w:tcBorders>
              <w:bottom w:val="single" w:sz="8" w:color="0077C0"/>
            </w:tcBorders>
          </w:tcPr>
          <w:p>
            <w:pPr>
              <w:jc w:val="right"/>
              <w:ind w:right="169"/>
              <w:spacing w:after="0"/>
              <w:rPr>
                <w:sz w:val="20"/>
                <w:szCs w:val="20"/>
                <w:color w:val="auto"/>
              </w:rPr>
            </w:pPr>
            <w:r>
              <w:rPr>
                <w:rFonts w:ascii="Times New Roman" w:cs="Times New Roman" w:eastAsia="Times New Roman" w:hAnsi="Times New Roman"/>
                <w:sz w:val="14"/>
                <w:szCs w:val="14"/>
                <w:color w:val="auto"/>
              </w:rPr>
              <w:t>17,438</w:t>
            </w:r>
          </w:p>
        </w:tc>
        <w:tc>
          <w:tcPr>
            <w:tcW w:w="640" w:type="dxa"/>
            <w:vAlign w:val="bottom"/>
            <w:tcBorders>
              <w:bottom w:val="single" w:sz="8" w:color="0077C0"/>
            </w:tcBorders>
          </w:tcPr>
          <w:p>
            <w:pPr>
              <w:spacing w:after="0"/>
              <w:rPr>
                <w:sz w:val="16"/>
                <w:szCs w:val="16"/>
                <w:color w:val="auto"/>
              </w:rPr>
            </w:pPr>
          </w:p>
        </w:tc>
        <w:tc>
          <w:tcPr>
            <w:tcW w:w="1000" w:type="dxa"/>
            <w:vAlign w:val="bottom"/>
            <w:tcBorders>
              <w:bottom w:val="single" w:sz="8" w:color="0077C0"/>
            </w:tcBorders>
          </w:tcPr>
          <w:p>
            <w:pPr>
              <w:jc w:val="right"/>
              <w:ind w:right="49"/>
              <w:spacing w:after="0"/>
              <w:rPr>
                <w:sz w:val="20"/>
                <w:szCs w:val="20"/>
                <w:color w:val="auto"/>
              </w:rPr>
            </w:pPr>
            <w:r>
              <w:rPr>
                <w:rFonts w:ascii="Times New Roman" w:cs="Times New Roman" w:eastAsia="Times New Roman" w:hAnsi="Times New Roman"/>
                <w:sz w:val="14"/>
                <w:szCs w:val="14"/>
                <w:color w:val="auto"/>
              </w:rPr>
              <w:t>30,284</w:t>
            </w:r>
          </w:p>
        </w:tc>
      </w:tr>
      <w:tr>
        <w:trPr>
          <w:trHeight w:val="188"/>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Downstream</w:t>
            </w:r>
          </w:p>
        </w:tc>
        <w:tc>
          <w:tcPr>
            <w:tcW w:w="1840" w:type="dxa"/>
            <w:vAlign w:val="bottom"/>
          </w:tcPr>
          <w:p>
            <w:pPr>
              <w:spacing w:after="0"/>
              <w:rPr>
                <w:sz w:val="16"/>
                <w:szCs w:val="16"/>
                <w:color w:val="auto"/>
              </w:rPr>
            </w:pPr>
          </w:p>
        </w:tc>
        <w:tc>
          <w:tcPr>
            <w:tcW w:w="1020" w:type="dxa"/>
            <w:vAlign w:val="bottom"/>
            <w:tcBorders>
              <w:right w:val="single" w:sz="8" w:color="0077C0"/>
            </w:tcBorders>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United States</w:t>
            </w:r>
          </w:p>
        </w:tc>
        <w:tc>
          <w:tcPr>
            <w:tcW w:w="1840" w:type="dxa"/>
            <w:vAlign w:val="bottom"/>
          </w:tcPr>
          <w:p>
            <w:pPr>
              <w:spacing w:after="0"/>
              <w:rPr>
                <w:sz w:val="16"/>
                <w:szCs w:val="16"/>
                <w:color w:val="auto"/>
              </w:rPr>
            </w:pPr>
          </w:p>
        </w:tc>
        <w:tc>
          <w:tcPr>
            <w:tcW w:w="1020" w:type="dxa"/>
            <w:vAlign w:val="bottom"/>
            <w:tcBorders>
              <w:right w:val="single" w:sz="8" w:color="0077C0"/>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531</w:t>
            </w:r>
          </w:p>
        </w:tc>
        <w:tc>
          <w:tcPr>
            <w:tcW w:w="740" w:type="dxa"/>
            <w:vAlign w:val="bottom"/>
          </w:tcPr>
          <w:p>
            <w:pPr>
              <w:spacing w:after="0"/>
              <w:rPr>
                <w:sz w:val="16"/>
                <w:szCs w:val="16"/>
                <w:color w:val="auto"/>
              </w:rPr>
            </w:pPr>
          </w:p>
        </w:tc>
        <w:tc>
          <w:tcPr>
            <w:tcW w:w="11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3,904</w:t>
            </w:r>
          </w:p>
        </w:tc>
        <w:tc>
          <w:tcPr>
            <w:tcW w:w="640" w:type="dxa"/>
            <w:vAlign w:val="bottom"/>
          </w:tcPr>
          <w:p>
            <w:pPr>
              <w:spacing w:after="0"/>
              <w:rPr>
                <w:sz w:val="16"/>
                <w:szCs w:val="16"/>
                <w:color w:val="auto"/>
              </w:rPr>
            </w:pP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5,394</w:t>
            </w:r>
          </w:p>
        </w:tc>
      </w:tr>
      <w:tr>
        <w:trPr>
          <w:trHeight w:val="203"/>
        </w:trPr>
        <w:tc>
          <w:tcPr>
            <w:tcW w:w="4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International</w:t>
            </w:r>
          </w:p>
        </w:tc>
        <w:tc>
          <w:tcPr>
            <w:tcW w:w="1840" w:type="dxa"/>
            <w:vAlign w:val="bottom"/>
          </w:tcPr>
          <w:p>
            <w:pPr>
              <w:spacing w:after="0"/>
              <w:rPr>
                <w:sz w:val="17"/>
                <w:szCs w:val="17"/>
                <w:color w:val="auto"/>
              </w:rPr>
            </w:pPr>
          </w:p>
        </w:tc>
        <w:tc>
          <w:tcPr>
            <w:tcW w:w="1020" w:type="dxa"/>
            <w:vAlign w:val="bottom"/>
            <w:tcBorders>
              <w:right w:val="single" w:sz="8" w:color="0077C0"/>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1,196</w:t>
            </w:r>
          </w:p>
        </w:tc>
        <w:tc>
          <w:tcPr>
            <w:tcW w:w="740" w:type="dxa"/>
            <w:vAlign w:val="bottom"/>
          </w:tcPr>
          <w:p>
            <w:pPr>
              <w:spacing w:after="0"/>
              <w:rPr>
                <w:sz w:val="17"/>
                <w:szCs w:val="17"/>
                <w:color w:val="auto"/>
              </w:rPr>
            </w:pPr>
          </w:p>
        </w:tc>
        <w:tc>
          <w:tcPr>
            <w:tcW w:w="11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2,233</w:t>
            </w:r>
          </w:p>
        </w:tc>
        <w:tc>
          <w:tcPr>
            <w:tcW w:w="640" w:type="dxa"/>
            <w:vAlign w:val="bottom"/>
          </w:tcPr>
          <w:p>
            <w:pPr>
              <w:spacing w:after="0"/>
              <w:rPr>
                <w:sz w:val="17"/>
                <w:szCs w:val="17"/>
                <w:color w:val="auto"/>
              </w:rPr>
            </w:pP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2,761</w:t>
            </w:r>
          </w:p>
        </w:tc>
      </w:tr>
      <w:tr>
        <w:trPr>
          <w:trHeight w:val="23"/>
        </w:trPr>
        <w:tc>
          <w:tcPr>
            <w:tcW w:w="4900" w:type="dxa"/>
            <w:vAlign w:val="bottom"/>
            <w:tcBorders>
              <w:bottom w:val="single" w:sz="8" w:color="0077C0"/>
            </w:tcBorders>
          </w:tcPr>
          <w:p>
            <w:pPr>
              <w:spacing w:after="0"/>
              <w:rPr>
                <w:sz w:val="2"/>
                <w:szCs w:val="2"/>
                <w:color w:val="auto"/>
              </w:rPr>
            </w:pPr>
          </w:p>
        </w:tc>
        <w:tc>
          <w:tcPr>
            <w:tcW w:w="1840" w:type="dxa"/>
            <w:vAlign w:val="bottom"/>
            <w:tcBorders>
              <w:bottom w:val="single" w:sz="8" w:color="0077C0"/>
            </w:tcBorders>
          </w:tcPr>
          <w:p>
            <w:pPr>
              <w:spacing w:after="0"/>
              <w:rPr>
                <w:sz w:val="2"/>
                <w:szCs w:val="2"/>
                <w:color w:val="auto"/>
              </w:rPr>
            </w:pPr>
          </w:p>
        </w:tc>
        <w:tc>
          <w:tcPr>
            <w:tcW w:w="1020" w:type="dxa"/>
            <w:vAlign w:val="bottom"/>
            <w:tcBorders>
              <w:bottom w:val="single" w:sz="8" w:color="0077C0"/>
              <w:right w:val="single" w:sz="8" w:color="0077C0"/>
            </w:tcBorders>
          </w:tcPr>
          <w:p>
            <w:pPr>
              <w:spacing w:after="0"/>
              <w:rPr>
                <w:sz w:val="2"/>
                <w:szCs w:val="2"/>
                <w:color w:val="auto"/>
              </w:rPr>
            </w:pPr>
          </w:p>
        </w:tc>
        <w:tc>
          <w:tcPr>
            <w:tcW w:w="740" w:type="dxa"/>
            <w:vAlign w:val="bottom"/>
            <w:tcBorders>
              <w:bottom w:val="single" w:sz="8" w:color="0077C0"/>
            </w:tcBorders>
          </w:tcPr>
          <w:p>
            <w:pPr>
              <w:spacing w:after="0"/>
              <w:rPr>
                <w:sz w:val="2"/>
                <w:szCs w:val="2"/>
                <w:color w:val="auto"/>
              </w:rPr>
            </w:pPr>
          </w:p>
        </w:tc>
        <w:tc>
          <w:tcPr>
            <w:tcW w:w="110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r>
      <w:tr>
        <w:trPr>
          <w:trHeight w:val="190"/>
        </w:trPr>
        <w:tc>
          <w:tcPr>
            <w:tcW w:w="490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Downstream</w:t>
            </w:r>
          </w:p>
        </w:tc>
        <w:tc>
          <w:tcPr>
            <w:tcW w:w="1840" w:type="dxa"/>
            <w:vAlign w:val="bottom"/>
            <w:tcBorders>
              <w:bottom w:val="single" w:sz="8" w:color="0077C0"/>
            </w:tcBorders>
          </w:tcPr>
          <w:p>
            <w:pPr>
              <w:spacing w:after="0"/>
              <w:rPr>
                <w:sz w:val="16"/>
                <w:szCs w:val="16"/>
                <w:color w:val="auto"/>
              </w:rPr>
            </w:pPr>
          </w:p>
        </w:tc>
        <w:tc>
          <w:tcPr>
            <w:tcW w:w="1020" w:type="dxa"/>
            <w:vAlign w:val="bottom"/>
            <w:tcBorders>
              <w:bottom w:val="single" w:sz="8" w:color="0077C0"/>
              <w:right w:val="single" w:sz="8" w:color="0077C0"/>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1,727</w:t>
            </w:r>
          </w:p>
        </w:tc>
        <w:tc>
          <w:tcPr>
            <w:tcW w:w="740" w:type="dxa"/>
            <w:vAlign w:val="bottom"/>
            <w:tcBorders>
              <w:bottom w:val="single" w:sz="8" w:color="0077C0"/>
            </w:tcBorders>
          </w:tcPr>
          <w:p>
            <w:pPr>
              <w:spacing w:after="0"/>
              <w:rPr>
                <w:sz w:val="16"/>
                <w:szCs w:val="16"/>
                <w:color w:val="auto"/>
              </w:rPr>
            </w:pPr>
          </w:p>
        </w:tc>
        <w:tc>
          <w:tcPr>
            <w:tcW w:w="1100" w:type="dxa"/>
            <w:vAlign w:val="bottom"/>
            <w:tcBorders>
              <w:bottom w:val="single" w:sz="8" w:color="0077C0"/>
            </w:tcBorders>
          </w:tcPr>
          <w:p>
            <w:pPr>
              <w:jc w:val="right"/>
              <w:ind w:right="169"/>
              <w:spacing w:after="0"/>
              <w:rPr>
                <w:sz w:val="20"/>
                <w:szCs w:val="20"/>
                <w:color w:val="auto"/>
              </w:rPr>
            </w:pPr>
            <w:r>
              <w:rPr>
                <w:rFonts w:ascii="Times New Roman" w:cs="Times New Roman" w:eastAsia="Times New Roman" w:hAnsi="Times New Roman"/>
                <w:sz w:val="14"/>
                <w:szCs w:val="14"/>
                <w:color w:val="auto"/>
              </w:rPr>
              <w:t>6,137</w:t>
            </w:r>
          </w:p>
        </w:tc>
        <w:tc>
          <w:tcPr>
            <w:tcW w:w="640" w:type="dxa"/>
            <w:vAlign w:val="bottom"/>
            <w:tcBorders>
              <w:bottom w:val="single" w:sz="8" w:color="0077C0"/>
            </w:tcBorders>
          </w:tcPr>
          <w:p>
            <w:pPr>
              <w:spacing w:after="0"/>
              <w:rPr>
                <w:sz w:val="16"/>
                <w:szCs w:val="16"/>
                <w:color w:val="auto"/>
              </w:rPr>
            </w:pPr>
          </w:p>
        </w:tc>
        <w:tc>
          <w:tcPr>
            <w:tcW w:w="1000" w:type="dxa"/>
            <w:vAlign w:val="bottom"/>
            <w:tcBorders>
              <w:bottom w:val="single" w:sz="8" w:color="0077C0"/>
            </w:tcBorders>
          </w:tcPr>
          <w:p>
            <w:pPr>
              <w:jc w:val="right"/>
              <w:ind w:right="49"/>
              <w:spacing w:after="0"/>
              <w:rPr>
                <w:sz w:val="20"/>
                <w:szCs w:val="20"/>
                <w:color w:val="auto"/>
              </w:rPr>
            </w:pPr>
            <w:r>
              <w:rPr>
                <w:rFonts w:ascii="Times New Roman" w:cs="Times New Roman" w:eastAsia="Times New Roman" w:hAnsi="Times New Roman"/>
                <w:sz w:val="14"/>
                <w:szCs w:val="14"/>
                <w:color w:val="auto"/>
              </w:rPr>
              <w:t>8,155</w:t>
            </w:r>
          </w:p>
        </w:tc>
      </w:tr>
      <w:tr>
        <w:trPr>
          <w:trHeight w:val="188"/>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 Other</w:t>
            </w:r>
          </w:p>
        </w:tc>
        <w:tc>
          <w:tcPr>
            <w:tcW w:w="1840" w:type="dxa"/>
            <w:vAlign w:val="bottom"/>
          </w:tcPr>
          <w:p>
            <w:pPr>
              <w:spacing w:after="0"/>
              <w:rPr>
                <w:sz w:val="16"/>
                <w:szCs w:val="16"/>
                <w:color w:val="auto"/>
              </w:rPr>
            </w:pPr>
          </w:p>
        </w:tc>
        <w:tc>
          <w:tcPr>
            <w:tcW w:w="1020" w:type="dxa"/>
            <w:vAlign w:val="bottom"/>
            <w:tcBorders>
              <w:right w:val="single" w:sz="8" w:color="0077C0"/>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(2,668)</w:t>
            </w:r>
          </w:p>
        </w:tc>
        <w:tc>
          <w:tcPr>
            <w:tcW w:w="740" w:type="dxa"/>
            <w:vAlign w:val="bottom"/>
          </w:tcPr>
          <w:p>
            <w:pPr>
              <w:spacing w:after="0"/>
              <w:rPr>
                <w:sz w:val="16"/>
                <w:szCs w:val="16"/>
                <w:color w:val="auto"/>
              </w:rPr>
            </w:pPr>
          </w:p>
        </w:tc>
        <w:tc>
          <w:tcPr>
            <w:tcW w:w="11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(2,206)</w:t>
            </w:r>
          </w:p>
        </w:tc>
        <w:tc>
          <w:tcPr>
            <w:tcW w:w="640" w:type="dxa"/>
            <w:vAlign w:val="bottom"/>
          </w:tcPr>
          <w:p>
            <w:pPr>
              <w:spacing w:after="0"/>
              <w:rPr>
                <w:sz w:val="16"/>
                <w:szCs w:val="16"/>
                <w:color w:val="auto"/>
              </w:rPr>
            </w:pP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(2,974)</w:t>
            </w:r>
          </w:p>
        </w:tc>
      </w:tr>
      <w:tr>
        <w:trPr>
          <w:trHeight w:val="217"/>
        </w:trPr>
        <w:tc>
          <w:tcPr>
            <w:tcW w:w="490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 Attributable to Chevron Corporation</w:t>
            </w:r>
            <w:r>
              <w:rPr>
                <w:rFonts w:ascii="Times New Roman" w:cs="Times New Roman" w:eastAsia="Times New Roman" w:hAnsi="Times New Roman"/>
                <w:sz w:val="18"/>
                <w:szCs w:val="18"/>
                <w:b w:val="1"/>
                <w:bCs w:val="1"/>
                <w:color w:val="auto"/>
                <w:vertAlign w:val="superscript"/>
              </w:rPr>
              <w:t>1,2</w:t>
            </w:r>
          </w:p>
        </w:tc>
        <w:tc>
          <w:tcPr>
            <w:tcW w:w="1840" w:type="dxa"/>
            <w:vAlign w:val="bottom"/>
            <w:tcBorders>
              <w:bottom w:val="single" w:sz="8" w:color="0077C0"/>
            </w:tcBorders>
          </w:tcPr>
          <w:p>
            <w:pPr>
              <w:ind w:left="132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0077C0"/>
              <w:right w:val="single" w:sz="8" w:color="0077C0"/>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17,661</w:t>
            </w:r>
          </w:p>
        </w:tc>
        <w:tc>
          <w:tcPr>
            <w:tcW w:w="740" w:type="dxa"/>
            <w:vAlign w:val="bottom"/>
            <w:tcBorders>
              <w:bottom w:val="single" w:sz="8" w:color="0077C0"/>
            </w:tcBorders>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0077C0"/>
            </w:tcBorders>
          </w:tcPr>
          <w:p>
            <w:pPr>
              <w:jc w:val="right"/>
              <w:ind w:right="169"/>
              <w:spacing w:after="0"/>
              <w:rPr>
                <w:sz w:val="20"/>
                <w:szCs w:val="20"/>
                <w:color w:val="auto"/>
              </w:rPr>
            </w:pPr>
            <w:r>
              <w:rPr>
                <w:rFonts w:ascii="Times New Roman" w:cs="Times New Roman" w:eastAsia="Times New Roman" w:hAnsi="Times New Roman"/>
                <w:sz w:val="14"/>
                <w:szCs w:val="14"/>
                <w:color w:val="auto"/>
              </w:rPr>
              <w:t>21,369</w:t>
            </w:r>
          </w:p>
        </w:tc>
        <w:tc>
          <w:tcPr>
            <w:tcW w:w="640" w:type="dxa"/>
            <w:vAlign w:val="bottom"/>
            <w:tcBorders>
              <w:bottom w:val="single" w:sz="8" w:color="0077C0"/>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0077C0"/>
            </w:tcBorders>
          </w:tcPr>
          <w:p>
            <w:pPr>
              <w:jc w:val="right"/>
              <w:ind w:right="49"/>
              <w:spacing w:after="0"/>
              <w:rPr>
                <w:sz w:val="20"/>
                <w:szCs w:val="20"/>
                <w:color w:val="auto"/>
              </w:rPr>
            </w:pPr>
            <w:r>
              <w:rPr>
                <w:rFonts w:ascii="Times New Roman" w:cs="Times New Roman" w:eastAsia="Times New Roman" w:hAnsi="Times New Roman"/>
                <w:sz w:val="14"/>
                <w:szCs w:val="14"/>
                <w:color w:val="auto"/>
              </w:rPr>
              <w:t>35,465</w:t>
            </w:r>
          </w:p>
        </w:tc>
      </w:tr>
      <w:tr>
        <w:trPr>
          <w:trHeight w:val="208"/>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3"/>
                <w:szCs w:val="13"/>
                <w:color w:val="auto"/>
              </w:rPr>
              <w:t xml:space="preserve"> Includes foreign currency effects:</w:t>
            </w:r>
          </w:p>
        </w:tc>
        <w:tc>
          <w:tcPr>
            <w:tcW w:w="1840" w:type="dxa"/>
            <w:vAlign w:val="bottom"/>
          </w:tcPr>
          <w:p>
            <w:pPr>
              <w:ind w:left="1320"/>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520</w:t>
            </w:r>
          </w:p>
        </w:tc>
        <w:tc>
          <w:tcPr>
            <w:tcW w:w="7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ind w:right="189"/>
              <w:spacing w:after="0"/>
              <w:rPr>
                <w:sz w:val="20"/>
                <w:szCs w:val="20"/>
                <w:color w:val="auto"/>
              </w:rPr>
            </w:pPr>
            <w:r>
              <w:rPr>
                <w:rFonts w:ascii="Times New Roman" w:cs="Times New Roman" w:eastAsia="Times New Roman" w:hAnsi="Times New Roman"/>
                <w:sz w:val="13"/>
                <w:szCs w:val="13"/>
                <w:color w:val="auto"/>
              </w:rPr>
              <w:t>(224)</w:t>
            </w:r>
          </w:p>
        </w:tc>
        <w:tc>
          <w:tcPr>
            <w:tcW w:w="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109"/>
              <w:spacing w:after="0"/>
              <w:rPr>
                <w:sz w:val="20"/>
                <w:szCs w:val="20"/>
                <w:color w:val="auto"/>
              </w:rPr>
            </w:pPr>
            <w:r>
              <w:rPr>
                <w:rFonts w:ascii="Times New Roman" w:cs="Times New Roman" w:eastAsia="Times New Roman" w:hAnsi="Times New Roman"/>
                <w:sz w:val="13"/>
                <w:szCs w:val="13"/>
                <w:color w:val="auto"/>
              </w:rPr>
              <w:t>669</w:t>
            </w:r>
          </w:p>
        </w:tc>
      </w:tr>
    </w:tbl>
    <w:p>
      <w:pPr>
        <w:ind w:left="80" w:hanging="54"/>
        <w:spacing w:after="0" w:line="210" w:lineRule="auto"/>
        <w:tabs>
          <w:tab w:leader="none" w:pos="80" w:val="left"/>
        </w:tabs>
        <w:numPr>
          <w:ilvl w:val="0"/>
          <w:numId w:val="1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Income net of tax, also referred to as “earnings” in the discussions that follow.</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the </w:t>
      </w:r>
      <w:r>
        <w:rPr>
          <w:rFonts w:ascii="Times New Roman" w:cs="Times New Roman" w:eastAsia="Times New Roman" w:hAnsi="Times New Roman"/>
          <w:sz w:val="18"/>
          <w:szCs w:val="18"/>
          <w:u w:val="single" w:color="auto"/>
          <w:color w:val="0000FF"/>
        </w:rPr>
        <w:t>Results of Operations</w:t>
      </w:r>
      <w:r>
        <w:rPr>
          <w:rFonts w:ascii="Times New Roman" w:cs="Times New Roman" w:eastAsia="Times New Roman" w:hAnsi="Times New Roman"/>
          <w:sz w:val="18"/>
          <w:szCs w:val="18"/>
          <w:color w:val="auto"/>
        </w:rPr>
        <w:t xml:space="preserve"> section for a discussion of financial results by major operating area for the three years ended December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Throughout the document, certain totals and percentages may not sum to their component parts due to rounding.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Business Environment and Outlook</w:t>
      </w:r>
    </w:p>
    <w:p>
      <w:pPr>
        <w:spacing w:after="0" w:line="1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Chevron Corporation is a global energy company with direct and indirect subsidiaries and affiliates that conduct substantial business activities in the following countries: Angola, Argentina, Australia, Bangladesh, Brazil, Canada, China, Egypt, Equatorial Guinea, Israel, Kazakhstan, Mexico, Nigeria, the Partitioned Zone between Saudi Arabia and Kuwait, the Philippines, Singapore, South Korea, Thailand, the United Kingdom, the United States and Venezuela.</w:t>
      </w:r>
    </w:p>
    <w:p>
      <w:pPr>
        <w:spacing w:after="0" w:line="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objective is to safely deliver higher returns, lower carbon and superior shareholder value in any business environment. Earnings of the company depend mostly on the profitability of its upstream business segment. The most significant factor affecting the results of operations for the upstream segment is the price of crude oil, which is determined in global markets outside of the company’s control. In the company’s downstream business, crude oil is the largest cost component of refined products. Periods of sustained lower commodity prices could result in the impairment or write-off of specific assets in future periods and cause the company to adjust operating expenses, including employee reductions, and capital expenditures, along with other measures intended to improve financial performance.</w:t>
      </w:r>
    </w:p>
    <w:p>
      <w:pPr>
        <w:spacing w:after="0" w:line="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governments, companies, communities and other stakeholders are supporting efforts to address climate change. International initiatives and national, regional and state legislation and regulations that aim to directly or indirectly reduce GHG emissions are in various stages of design, adoption and implementation. These policies and programs, some of which support the global net zero emissions ambitions of the Paris Agreement, can change the amount of energy consumed, the rate of energy-demand growth, the energy mix and the relative economics of one fuel versus another. Implementation of jurisdiction-specific policies and programs can be dependent on, and can affect the pace of, technological advancements; the granting of necessary permits by governing authorities; the availability and acceptability of cost-effective, verifiable carbon credits; the availability of suppliers that can meet our sustainability-related standards; evolving regulatory or other requirements affecting ESG standards or disclosures and evolving standards and regulations for tracking, reporting, marketing and advertising relating to emissions and emission reductions and removals.</w:t>
      </w:r>
    </w:p>
    <w:p>
      <w:pPr>
        <w:spacing w:after="0" w:line="55"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Some of these policies and programs include renewable and low carbon fuel standards, such as the Renewable Fuel Standard program in the U.S. and California’s Low Carbon Fuel Standard; programs that price GHG emissions, including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36" w:name="page37"/>
    <w:bookmarkEnd w:id="36"/>
    <w:p>
      <w:pPr>
        <w:spacing w:after="0"/>
        <w:tabs>
          <w:tab w:leader="none" w:pos="9400" w:val="left"/>
        </w:tabs>
        <w:rPr>
          <w:sz w:val="20"/>
          <w:szCs w:val="20"/>
          <w:color w:val="auto"/>
        </w:rPr>
      </w:pPr>
      <w:r>
        <w:rPr>
          <w:rFonts w:ascii="Arial" w:cs="Arial" w:eastAsia="Arial" w:hAnsi="Arial"/>
          <w:sz w:val="14"/>
          <w:szCs w:val="14"/>
          <w:color w:val="0077C0"/>
        </w:rPr>
        <w:t>Management’s Discussion and Analysis of Financial Condition and Results of Operations</w:t>
      </w:r>
      <w:r>
        <w:rPr>
          <w:sz w:val="20"/>
          <w:szCs w:val="20"/>
          <w:color w:val="auto"/>
        </w:rPr>
        <w:tab/>
      </w:r>
      <w:r>
        <w:rPr>
          <w:rFonts w:ascii="Arial" w:cs="Arial" w:eastAsia="Arial" w:hAnsi="Arial"/>
          <w:sz w:val="14"/>
          <w:szCs w:val="14"/>
          <w:color w:val="0077C0"/>
        </w:rPr>
        <w:t>Financial Table of Contents</w:t>
      </w:r>
    </w:p>
    <w:p>
      <w:pPr>
        <w:spacing w:after="0" w:line="200" w:lineRule="exact"/>
        <w:rPr>
          <w:sz w:val="20"/>
          <w:szCs w:val="20"/>
          <w:color w:val="auto"/>
        </w:rPr>
      </w:pPr>
    </w:p>
    <w:p>
      <w:pPr>
        <w:spacing w:after="0" w:line="318"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8"/>
          <w:szCs w:val="18"/>
          <w:color w:val="auto"/>
        </w:rPr>
        <w:t>California’s Cap-and-Trade Program; performance standards, including methane-specific regulations such as the United States Environmental Protection Agency (U.S. EPA) Standards of Performance for New, Reconstructed, and Modified Sources and Emissions Guidelines for Existing Sources; and measures that provide various incentives for lower carbon activities, including carbon capture and storage and the production of hydrogen and sustainable aviation fuel, such as the U.S. Inflation Reduction Act. Requirements for these and other similar policies and programs are complex, ever changing, program specific and encompass: (1) the blending of renewable fuels into transportation fuels; (2) the purchasing, selling, utilizing and retiring of allowances and carbon credits; and (3) other emissions reduction measures including efficiency improvements and capturing GHG emissions. These compliance policies and programs have had and may continue to have negative impacts on the company now and in the future including, but not limited to, the displacement of hydrocarbon and other products and/or the impairment of assets. These policies have also enabled opportunities for Chevron in its lower carbon business lines. For example, Renewable Energy Group, Inc. (REG) produces most of Chevron’s renewable fuels offering and generates a substantial amount of the company’s carbon credit generation activities. Although we expect the company’s costs to comply with these policies and programs to continue to increase, these costs currently do not have a material impact on the company’s financial condition or results of operations.</w:t>
      </w:r>
    </w:p>
    <w:p>
      <w:pPr>
        <w:spacing w:after="0" w:line="60" w:lineRule="exact"/>
        <w:rPr>
          <w:sz w:val="20"/>
          <w:szCs w:val="20"/>
          <w:color w:val="auto"/>
        </w:rPr>
      </w:pPr>
    </w:p>
    <w:p>
      <w:pPr>
        <w:jc w:val="both"/>
        <w:ind w:left="20"/>
        <w:spacing w:after="0" w:line="263" w:lineRule="auto"/>
        <w:rPr>
          <w:sz w:val="20"/>
          <w:szCs w:val="20"/>
          <w:color w:val="auto"/>
        </w:rPr>
      </w:pPr>
      <w:r>
        <w:rPr>
          <w:rFonts w:ascii="Times New Roman" w:cs="Times New Roman" w:eastAsia="Times New Roman" w:hAnsi="Times New Roman"/>
          <w:sz w:val="18"/>
          <w:szCs w:val="18"/>
          <w:color w:val="auto"/>
        </w:rPr>
        <w:t>Significant uncertainty remains as to the pace and extent to which the transition to a lower carbon future will progress, which is dependent, in part, on further advancements and changes in policy, technology, and customer and consumer preferences. The level of expenditure required to comply with new or potential climate change-related laws and regulations and the amount of additional investments needed in new or existing technology or facilities, such as carbon capture and storage, is difficult to predict with certainty and is expected to vary depending on the actual laws and regulations enacted, available technology options, customer and consumer preferences, the company’s activities and market conditions. As discussed below, in 2021, the company announced planned capital spend of approximately $10 billion through 2028 in lower carbon investments. Although the future is uncertain, many published outlooks conclude that fossil fuels will remain a significant part of an energy system that increasingly incorporates lower carbon sources of supply for many years to come.</w:t>
      </w:r>
    </w:p>
    <w:p>
      <w:pPr>
        <w:spacing w:after="0" w:line="75"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Chevron supports the Paris Agreement’s global approach to governments addressing climate change and continues to take actions to help lower the carbon intensity of its operations while continuing to meet the demand for energy. Chevron believes that broad, market-based mechanisms are the most efficient approach to addressing GHG emission reductions. Chevron integrates climate change-related issues and the regulatory and other responses to these issues into its strategy and planning, capital investment reviews and risk management tools and processes, where it believes they are applicable. They are also factored into the company’s long-range supply, demand and energy price forecasts. These forecasts reflect estimates of long-range effects from climate change-related policy actions, such as electric vehicle and renewable fuel penetration, energy efficiency standards and demand response to oil and natural gas prices.</w:t>
      </w:r>
    </w:p>
    <w:p>
      <w:pPr>
        <w:spacing w:after="0" w:line="55"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The company will continue to develop oil and gas resources to meet customers’ and consumers’ demand for energy. At the same time, Chevron believes that the future of energy is lower carbon. The company will continue to maintain flexibility in its portfolio to be responsive to changes in policy, technology, and customer and consumer preferences. Chevron aims to grow its oil and gas business, lower the carbon intensity of its operations and grow new businesses in renewable fuels, carbon capture and offsets, hydrogen, power generation for data centers, and emerging technologies. To grow its new businesses, Chevron plans to target sectors of the economy where emissions are harder to abate or that cannot be easily electrified, while leveraging the company’s capabilities, assets, partnerships and customer relationships. The company’s oil and gas business may increase or decrease depending upon market, economic, legislative and regulatory forces, among other factors.</w:t>
      </w:r>
    </w:p>
    <w:p>
      <w:pPr>
        <w:spacing w:after="0" w:line="55" w:lineRule="exact"/>
        <w:rPr>
          <w:sz w:val="20"/>
          <w:szCs w:val="20"/>
          <w:color w:val="auto"/>
        </w:rPr>
      </w:pPr>
    </w:p>
    <w:p>
      <w:pPr>
        <w:jc w:val="both"/>
        <w:ind w:left="20"/>
        <w:spacing w:after="0" w:line="271" w:lineRule="auto"/>
        <w:rPr>
          <w:sz w:val="20"/>
          <w:szCs w:val="20"/>
          <w:color w:val="auto"/>
        </w:rPr>
      </w:pPr>
      <w:r>
        <w:rPr>
          <w:rFonts w:ascii="Times New Roman" w:cs="Times New Roman" w:eastAsia="Times New Roman" w:hAnsi="Times New Roman"/>
          <w:sz w:val="18"/>
          <w:szCs w:val="18"/>
          <w:color w:val="auto"/>
        </w:rPr>
        <w:t>In 2021, Chevron announced aspirations and targets that align with its strategy, as noted below. Chevron uses emissions intensity targets, which enable the company to assess, quantify and transparently communicate its own carbon performance in a standardized way. Chevron regularly evaluates its aspirations, targets and goals and expects to change or eliminate some of its aspirations, targets and goals for various reasons, including market conditions; its strategy or portfolio; and financial, operational, policy, reputational, legal and other factors.</w:t>
      </w:r>
    </w:p>
    <w:p>
      <w:pPr>
        <w:spacing w:after="0" w:line="64"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The company’s ability to achieve any aspiration, target or goal is subject to numerous risks and contingencies, many of which are outside of Chevron’s control. Examples of such risks and contingencies include: (1) sufficient and substantial advances in technology, including the continuing progress of commercially viable technologies and low- or non-carbon-based energy sources; (2) laws, governmental regulation, policies, and other enabling actions, including those regarding subsidies, tax and other incentives as well as the granting of necessary permits by governing authorities; (3) the availability and acceptability of cost-effective, verifiable carbon credits; (4) the availability of suppliers that can meet our</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414" w:right="339" w:bottom="1440" w:gutter="0" w:footer="0" w:header="0"/>
        </w:sectPr>
      </w:pPr>
    </w:p>
    <w:bookmarkStart w:id="37" w:name="page38"/>
    <w:bookmarkEnd w:id="37"/>
    <w:p>
      <w:pPr>
        <w:spacing w:after="0"/>
        <w:tabs>
          <w:tab w:leader="none" w:pos="9400" w:val="left"/>
        </w:tabs>
        <w:rPr>
          <w:sz w:val="20"/>
          <w:szCs w:val="20"/>
          <w:color w:val="auto"/>
        </w:rPr>
      </w:pPr>
      <w:r>
        <w:rPr>
          <w:rFonts w:ascii="Arial" w:cs="Arial" w:eastAsia="Arial" w:hAnsi="Arial"/>
          <w:sz w:val="14"/>
          <w:szCs w:val="14"/>
          <w:color w:val="0077C0"/>
        </w:rPr>
        <w:t>Management’s Discussion and Analysis of Financial Condition and Results of Operations</w:t>
      </w:r>
      <w:r>
        <w:rPr>
          <w:sz w:val="20"/>
          <w:szCs w:val="20"/>
          <w:color w:val="auto"/>
        </w:rPr>
        <w:tab/>
      </w:r>
      <w:r>
        <w:rPr>
          <w:rFonts w:ascii="Arial" w:cs="Arial" w:eastAsia="Arial" w:hAnsi="Arial"/>
          <w:sz w:val="14"/>
          <w:szCs w:val="14"/>
          <w:color w:val="0077C0"/>
        </w:rPr>
        <w:t>Financial Table of Contents</w:t>
      </w:r>
    </w:p>
    <w:p>
      <w:pPr>
        <w:spacing w:after="0" w:line="200" w:lineRule="exact"/>
        <w:rPr>
          <w:sz w:val="20"/>
          <w:szCs w:val="20"/>
          <w:color w:val="auto"/>
        </w:rPr>
      </w:pPr>
    </w:p>
    <w:p>
      <w:pPr>
        <w:spacing w:after="0" w:line="318"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sustainability-related standards; (5) evolving regulatory requirements, including changes to IPCC’s Global Warming Potentials and the U.S. EPA Greenhouse Gas Reporting Program, affecting ESG standards or disclosures; (6) evolving standards for tracking and reporting on emissions and emission reductions and removals; (7) customers’ and consumers’ preferences and use of the company’s products or substitute products; (8) actions taken by the company’s competitors in response to legislation and regulations; and (9) successful negotiations for carbon capture and storage and nature-based solutions with customers, suppliers, partners and governments. Please refer to “Risk Factors” in Part I, Item 1A, on pages 23 through 27 for further discussion of GHG regulation and climate change and the associated risks to Chevron’s business, including the risks impacting Chevron’s strategy, aspirations, targets and disclosures related to environmental, social, and governance matters.</w:t>
      </w:r>
    </w:p>
    <w:p>
      <w:pPr>
        <w:spacing w:after="0" w:line="51" w:lineRule="exact"/>
        <w:rPr>
          <w:sz w:val="20"/>
          <w:szCs w:val="20"/>
          <w:color w:val="auto"/>
        </w:rPr>
      </w:pPr>
    </w:p>
    <w:p>
      <w:pPr>
        <w:jc w:val="both"/>
        <w:ind w:left="20"/>
        <w:spacing w:after="0" w:line="270"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2050 Net Zero Upstream Aspiration </w:t>
      </w:r>
      <w:r>
        <w:rPr>
          <w:rFonts w:ascii="Times New Roman" w:cs="Times New Roman" w:eastAsia="Times New Roman" w:hAnsi="Times New Roman"/>
          <w:sz w:val="18"/>
          <w:szCs w:val="18"/>
          <w:color w:val="000000"/>
        </w:rPr>
        <w:t>Chevron aspires to achieve net zero for upstream production Scope 1 and 2 GHG emissions on an equity basis by</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2050. The company believes accomplishing this aspiration depends on, among other things, sufficient and substantial advances in technology, including the continuing progress of commercially viable technologies and low- or non-carbon-based energy sources; enabling policies and other actions by governing authorities, including those regarding subsidies, tax and other incentives as well as the granting of necessary permits; successful negotiations for carbon capture and storage and nature-based solutions with customers, suppliers, partners and governments; market conditions; and the availability and acceptability of cost-effective, verifiable carbon credits.</w:t>
      </w:r>
    </w:p>
    <w:p>
      <w:pPr>
        <w:spacing w:after="0" w:line="47" w:lineRule="exact"/>
        <w:rPr>
          <w:sz w:val="20"/>
          <w:szCs w:val="20"/>
          <w:color w:val="auto"/>
        </w:rPr>
      </w:pPr>
    </w:p>
    <w:p>
      <w:pPr>
        <w:jc w:val="both"/>
        <w:ind w:left="20"/>
        <w:spacing w:after="0" w:line="268"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2028 Upstream Production GHG Intensity Targets </w:t>
      </w:r>
      <w:r>
        <w:rPr>
          <w:rFonts w:ascii="Times New Roman" w:cs="Times New Roman" w:eastAsia="Times New Roman" w:hAnsi="Times New Roman"/>
          <w:sz w:val="18"/>
          <w:szCs w:val="18"/>
          <w:color w:val="000000"/>
        </w:rPr>
        <w:t>These metrics include Scope 1 (direct emissions) and Scope 2 (indirect emissions associated with</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imported electricity and steam) and are net of emissions from exported electricity and steam. The 2028 GHG emissions intensity targets on an equity ownership basis include:</w:t>
      </w:r>
    </w:p>
    <w:p>
      <w:pPr>
        <w:spacing w:after="0" w:line="2" w:lineRule="exact"/>
        <w:rPr>
          <w:sz w:val="20"/>
          <w:szCs w:val="20"/>
          <w:color w:val="auto"/>
        </w:rPr>
      </w:pPr>
    </w:p>
    <w:p>
      <w:pPr>
        <w:ind w:left="680" w:hanging="328"/>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production GHG intensity of 24 kilograms (kg) carbon dioxide equivalent per barrel of oil-equivalent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e/boe),</w:t>
      </w:r>
    </w:p>
    <w:p>
      <w:pPr>
        <w:spacing w:after="0" w:line="59"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 production GHG intensity of 24 kg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e/boe,</w:t>
      </w:r>
    </w:p>
    <w:p>
      <w:pPr>
        <w:spacing w:after="0" w:line="46"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Methane intensity of 2 kg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e/boe, and</w:t>
      </w:r>
    </w:p>
    <w:p>
      <w:pPr>
        <w:spacing w:after="0" w:line="46"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Flaring GHG intensity of 3 kg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e/boe.</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company also targets zero routine flaring by 2030 as outlined in the World Bank’s “Zero Routine Flaring by 2030” initiative.</w:t>
      </w:r>
    </w:p>
    <w:p>
      <w:pPr>
        <w:spacing w:after="0" w:line="100" w:lineRule="exact"/>
        <w:rPr>
          <w:sz w:val="20"/>
          <w:szCs w:val="20"/>
          <w:color w:val="auto"/>
        </w:rPr>
      </w:pPr>
    </w:p>
    <w:p>
      <w:pPr>
        <w:jc w:val="both"/>
        <w:ind w:left="20"/>
        <w:spacing w:after="0" w:line="252"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2028 Portfolio Carbon Intensity Target </w:t>
      </w:r>
      <w:r>
        <w:rPr>
          <w:rFonts w:ascii="Times New Roman" w:cs="Times New Roman" w:eastAsia="Times New Roman" w:hAnsi="Times New Roman"/>
          <w:sz w:val="18"/>
          <w:szCs w:val="18"/>
          <w:color w:val="000000"/>
        </w:rPr>
        <w:t>The company also introduced a portfolio carbon intensity (PCI) metric, which is a measure of the carbon intensity</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across the full value chain of Chevron’s entire business. This metric encompasses the company’s upstream and downstream business and includes Scope 1 (direct emissions), Scope 2 (indirect emissions from imported electricity and steam), and certain Scope 3 (primarily emissions from use of sold products) emissions. The company’s PCI target is 71 grams (g) carbon dioxide equivalent (CO</w:t>
      </w:r>
      <w:r>
        <w:rPr>
          <w:rFonts w:ascii="Times New Roman" w:cs="Times New Roman" w:eastAsia="Times New Roman" w:hAnsi="Times New Roman"/>
          <w:sz w:val="23"/>
          <w:szCs w:val="23"/>
          <w:color w:val="000000"/>
          <w:vertAlign w:val="subscript"/>
        </w:rPr>
        <w:t>2</w:t>
      </w:r>
      <w:r>
        <w:rPr>
          <w:rFonts w:ascii="Times New Roman" w:cs="Times New Roman" w:eastAsia="Times New Roman" w:hAnsi="Times New Roman"/>
          <w:sz w:val="18"/>
          <w:szCs w:val="18"/>
          <w:color w:val="000000"/>
        </w:rPr>
        <w:t>e) per megajoule (MJ) by 2028.</w:t>
      </w:r>
    </w:p>
    <w:p>
      <w:pPr>
        <w:spacing w:after="0" w:line="56" w:lineRule="exact"/>
        <w:rPr>
          <w:sz w:val="20"/>
          <w:szCs w:val="20"/>
          <w:color w:val="auto"/>
        </w:rPr>
      </w:pPr>
    </w:p>
    <w:p>
      <w:pPr>
        <w:jc w:val="both"/>
        <w:ind w:left="20"/>
        <w:spacing w:after="0" w:line="271"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Planned Lower-Carbon Capital Spend through 2028 </w:t>
      </w:r>
      <w:r>
        <w:rPr>
          <w:rFonts w:ascii="Times New Roman" w:cs="Times New Roman" w:eastAsia="Times New Roman" w:hAnsi="Times New Roman"/>
          <w:sz w:val="18"/>
          <w:szCs w:val="18"/>
          <w:color w:val="000000"/>
        </w:rPr>
        <w:t>In 2021, the company guided to capital spend of approximately $10 billion through 2028 to advance</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its lower carbon ambitions, which includes approximately $2 billion to lower the carbon intensity of its oil and gas operations, and approximately $8 billion for lower carbon investments including in renewable fuels, hydrogen and carbon capture and offsets. Beyond 2028, the company anticipates capital spending will be necessary to progress the company’s 2050 upstream production Scope 1 and 2 net zero aspiration and building of its lower carbon business lines.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Since 2021, the company has spent $7.7 billion in lower carbon investments, including $2.9 billion associated with the acquisition of REG in 2022.</w:t>
      </w:r>
    </w:p>
    <w:p>
      <w:pPr>
        <w:spacing w:after="0" w:line="113" w:lineRule="exact"/>
        <w:rPr>
          <w:sz w:val="20"/>
          <w:szCs w:val="20"/>
          <w:color w:val="auto"/>
        </w:rPr>
      </w:pPr>
    </w:p>
    <w:p>
      <w:pPr>
        <w:jc w:val="both"/>
        <w:ind w:left="20"/>
        <w:spacing w:after="0" w:line="273"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Income Taxes </w:t>
      </w:r>
      <w:r>
        <w:rPr>
          <w:rFonts w:ascii="Times New Roman" w:cs="Times New Roman" w:eastAsia="Times New Roman" w:hAnsi="Times New Roman"/>
          <w:sz w:val="18"/>
          <w:szCs w:val="18"/>
          <w:color w:val="000000"/>
        </w:rPr>
        <w:t>The effective tax rate for the company can change substantially during periods of significant earnings volatility. This is due to the mix</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 xml:space="preserve">effects that are impacted by both the absolute level of earnings or losses and whether they arise in higher or lower tax rate jurisdictions. As a result, a decline or increase in the effective income tax rate in one period may not be indicative of expected results in future periods. Additional information related to the company’s effective income tax rate is included in </w:t>
      </w:r>
      <w:r>
        <w:rPr>
          <w:rFonts w:ascii="Times New Roman" w:cs="Times New Roman" w:eastAsia="Times New Roman" w:hAnsi="Times New Roman"/>
          <w:sz w:val="18"/>
          <w:szCs w:val="18"/>
          <w:u w:val="single" w:color="auto"/>
          <w:color w:val="0000FF"/>
        </w:rPr>
        <w:t>Note 17 Taxes</w:t>
      </w:r>
      <w:r>
        <w:rPr>
          <w:rFonts w:ascii="Times New Roman" w:cs="Times New Roman" w:eastAsia="Times New Roman" w:hAnsi="Times New Roman"/>
          <w:sz w:val="18"/>
          <w:szCs w:val="18"/>
          <w:color w:val="000000"/>
        </w:rPr>
        <w:t xml:space="preserve"> to the Consolidated Financial Statements.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414" w:right="339" w:bottom="1440" w:gutter="0" w:footer="0" w:header="0"/>
        </w:sectPr>
      </w:pPr>
    </w:p>
    <w:bookmarkStart w:id="38" w:name="page39"/>
    <w:bookmarkEnd w:id="38"/>
    <w:p>
      <w:pPr>
        <w:spacing w:after="0"/>
        <w:tabs>
          <w:tab w:leader="none" w:pos="9400" w:val="left"/>
        </w:tabs>
        <w:rPr>
          <w:sz w:val="20"/>
          <w:szCs w:val="20"/>
          <w:color w:val="auto"/>
        </w:rPr>
      </w:pPr>
      <w:r>
        <w:rPr>
          <w:rFonts w:ascii="Arial" w:cs="Arial" w:eastAsia="Arial" w:hAnsi="Arial"/>
          <w:sz w:val="14"/>
          <w:szCs w:val="14"/>
          <w:color w:val="0077C0"/>
        </w:rPr>
        <w:t>Management’s Discussion and Analysis of Financial Condition and Results of Operations</w:t>
      </w:r>
      <w:r>
        <w:rPr>
          <w:sz w:val="20"/>
          <w:szCs w:val="20"/>
          <w:color w:val="auto"/>
        </w:rPr>
        <w:tab/>
      </w:r>
      <w:r>
        <w:rPr>
          <w:rFonts w:ascii="Arial" w:cs="Arial" w:eastAsia="Arial" w:hAnsi="Arial"/>
          <w:sz w:val="14"/>
          <w:szCs w:val="14"/>
          <w:color w:val="0077C0"/>
        </w:rPr>
        <w:t>Financial Table of Contents</w:t>
      </w:r>
    </w:p>
    <w:p>
      <w:pPr>
        <w:spacing w:after="0" w:line="200" w:lineRule="exact"/>
        <w:rPr>
          <w:sz w:val="20"/>
          <w:szCs w:val="20"/>
          <w:color w:val="auto"/>
        </w:rPr>
      </w:pPr>
    </w:p>
    <w:p>
      <w:pPr>
        <w:spacing w:after="0" w:line="318" w:lineRule="exact"/>
        <w:rPr>
          <w:sz w:val="20"/>
          <w:szCs w:val="20"/>
          <w:color w:val="auto"/>
        </w:rPr>
      </w:pPr>
    </w:p>
    <w:p>
      <w:pPr>
        <w:jc w:val="both"/>
        <w:ind w:left="20"/>
        <w:spacing w:after="0" w:line="270" w:lineRule="auto"/>
        <w:rPr>
          <w:sz w:val="20"/>
          <w:szCs w:val="20"/>
          <w:color w:val="auto"/>
        </w:rPr>
      </w:pPr>
      <w:r>
        <w:rPr>
          <w:rFonts w:ascii="Times New Roman" w:cs="Times New Roman" w:eastAsia="Times New Roman" w:hAnsi="Times New Roman"/>
          <w:sz w:val="18"/>
          <w:szCs w:val="18"/>
          <w:color w:val="auto"/>
        </w:rPr>
        <w:t>In December 2021, the Organization for Economic Co-operation and Development (OECD) issued model rules for a new 15 percent global minimum tax (Pillar Two), and various jurisdictions in which the company operates enacted or are in the process of enacting Pillar Two legislation. Certain aspects of the tax under the Pillar Two framework became effective in 2024 in some jurisdictions and will be effective in 2025 (or later) in others. Pillar Two did not have a material impact on the company’s results of operations in 2024. Although we do not currently expect that Pillar Two will have a material impact on our future results of operations, we are continuing to evaluate the impact of pending legislative adoption by individual countries.</w:t>
      </w:r>
    </w:p>
    <w:p>
      <w:pPr>
        <w:spacing w:after="0" w:line="47" w:lineRule="exact"/>
        <w:rPr>
          <w:sz w:val="20"/>
          <w:szCs w:val="20"/>
          <w:color w:val="auto"/>
        </w:rPr>
      </w:pPr>
    </w:p>
    <w:p>
      <w:pPr>
        <w:jc w:val="both"/>
        <w:ind w:left="20"/>
        <w:spacing w:after="0" w:line="267"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Supply Chain and Inflation Impacts </w:t>
      </w:r>
      <w:r>
        <w:rPr>
          <w:rFonts w:ascii="Times New Roman" w:cs="Times New Roman" w:eastAsia="Times New Roman" w:hAnsi="Times New Roman"/>
          <w:sz w:val="18"/>
          <w:szCs w:val="18"/>
          <w:color w:val="000000"/>
        </w:rPr>
        <w:t>The company is actively managing its contracting, procurement and supply chain activities to effectively manage</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costs and facilitate supply chain resiliency and continuity in support of the company’s operational goals. Third party costs for capital and operating expenses can be subject to external factors beyond the company’s control including, but not limited to: severe weather or civil unrest, delays in construction, global and local supply chain distribution issues, inflation, tariffs or other taxes imposed on goods or services, and market-based prices charged by the industry’s material and service providers. Chevron utilizes contracts with various pricing mechanisms, which may result in a lag before the company’s costs reflect changes in market trends.</w:t>
      </w:r>
    </w:p>
    <w:p>
      <w:pPr>
        <w:spacing w:after="0" w:line="67"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Trends in the costs of goods and services vary by spend category. The labor market remains tight, and suppliers are passing along wage rate increases for labor intensive operations. Chevron has applied inflation mitigation strategies in an effort to temper these cost increases, including fixed price and index-based contracts. Lead times for key capital equipment remain long and availability of offshore and specialized equipment is under pressure, with some experiencing upward pricing movements. In the United States, cost pressures for materials and standard onshore drilling and completion equipment continue to ease. Chevron has addressed equipment cost increases and long lead times by partnering with suppliers on demand planning, volume commitments, standardization and scope optimization.</w:t>
      </w:r>
    </w:p>
    <w:p>
      <w:pPr>
        <w:spacing w:after="0" w:line="55" w:lineRule="exact"/>
        <w:rPr>
          <w:sz w:val="20"/>
          <w:szCs w:val="20"/>
          <w:color w:val="auto"/>
        </w:rPr>
      </w:pPr>
    </w:p>
    <w:p>
      <w:pPr>
        <w:jc w:val="both"/>
        <w:ind w:left="20"/>
        <w:spacing w:after="0" w:line="271" w:lineRule="auto"/>
        <w:rPr>
          <w:sz w:val="20"/>
          <w:szCs w:val="20"/>
          <w:color w:val="auto"/>
        </w:rPr>
      </w:pPr>
      <w:r>
        <w:rPr>
          <w:rFonts w:ascii="Times New Roman" w:cs="Times New Roman" w:eastAsia="Times New Roman" w:hAnsi="Times New Roman"/>
          <w:sz w:val="18"/>
          <w:szCs w:val="18"/>
          <w:color w:val="auto"/>
        </w:rPr>
        <w:t>In February 2025, the U.S. announced the imposition of tariffs on imports from several U.S. trade partners and could announce additional tariffs in future periods. There is significant uncertainty as to the duration of these and any further tariffs, and the impacts these tariffs and any corresponding retaliatory tariffs will have on the company and its suppliers. The financial impacts of the tariffs are currently not expected to be material; however, the ultimate impact on the company’s results of operations and financial condition remains uncertain.</w:t>
      </w:r>
    </w:p>
    <w:p>
      <w:pPr>
        <w:spacing w:after="0" w:line="51" w:lineRule="exact"/>
        <w:rPr>
          <w:sz w:val="20"/>
          <w:szCs w:val="20"/>
          <w:color w:val="auto"/>
        </w:rPr>
      </w:pPr>
    </w:p>
    <w:p>
      <w:pPr>
        <w:jc w:val="both"/>
        <w:ind w:left="20"/>
        <w:spacing w:after="0" w:line="297" w:lineRule="auto"/>
        <w:rPr>
          <w:sz w:val="20"/>
          <w:szCs w:val="20"/>
          <w:color w:val="auto"/>
        </w:rPr>
      </w:pPr>
      <w:r>
        <w:rPr>
          <w:rFonts w:ascii="Times New Roman" w:cs="Times New Roman" w:eastAsia="Times New Roman" w:hAnsi="Times New Roman"/>
          <w:sz w:val="18"/>
          <w:szCs w:val="18"/>
          <w:color w:val="auto"/>
        </w:rPr>
        <w:t xml:space="preserve">Refer to the </w:t>
      </w:r>
      <w:r>
        <w:rPr>
          <w:rFonts w:ascii="Times New Roman" w:cs="Times New Roman" w:eastAsia="Times New Roman" w:hAnsi="Times New Roman"/>
          <w:sz w:val="18"/>
          <w:szCs w:val="18"/>
          <w:u w:val="single" w:color="auto"/>
          <w:color w:val="0000FF"/>
        </w:rPr>
        <w:t>Cautionary Statement Relevant to Forward-Looking Information</w:t>
      </w:r>
      <w:r>
        <w:rPr>
          <w:rFonts w:ascii="Times New Roman" w:cs="Times New Roman" w:eastAsia="Times New Roman" w:hAnsi="Times New Roman"/>
          <w:sz w:val="18"/>
          <w:szCs w:val="18"/>
          <w:color w:val="auto"/>
        </w:rPr>
        <w:t xml:space="preserve"> on page 2 and to </w:t>
      </w:r>
      <w:r>
        <w:rPr>
          <w:rFonts w:ascii="Times New Roman" w:cs="Times New Roman" w:eastAsia="Times New Roman" w:hAnsi="Times New Roman"/>
          <w:sz w:val="18"/>
          <w:szCs w:val="18"/>
          <w:u w:val="single" w:color="auto"/>
          <w:color w:val="0000FF"/>
        </w:rPr>
        <w:t>Item 1A. Risk Factors</w:t>
      </w:r>
      <w:r>
        <w:rPr>
          <w:rFonts w:ascii="Times New Roman" w:cs="Times New Roman" w:eastAsia="Times New Roman" w:hAnsi="Times New Roman"/>
          <w:sz w:val="18"/>
          <w:szCs w:val="18"/>
          <w:color w:val="auto"/>
        </w:rPr>
        <w:t xml:space="preserve"> for a discussion of some of the inherent risks that could materially impact the company’s results of operations or financial condition.</w:t>
      </w:r>
    </w:p>
    <w:p>
      <w:pPr>
        <w:spacing w:after="0" w:line="24" w:lineRule="exact"/>
        <w:rPr>
          <w:sz w:val="20"/>
          <w:szCs w:val="20"/>
          <w:color w:val="auto"/>
        </w:rPr>
      </w:pPr>
    </w:p>
    <w:p>
      <w:pPr>
        <w:jc w:val="both"/>
        <w:ind w:left="20"/>
        <w:spacing w:after="0" w:line="271"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Acquisition and Disposition of Assets </w:t>
      </w:r>
      <w:r>
        <w:rPr>
          <w:rFonts w:ascii="Times New Roman" w:cs="Times New Roman" w:eastAsia="Times New Roman" w:hAnsi="Times New Roman"/>
          <w:sz w:val="18"/>
          <w:szCs w:val="18"/>
          <w:color w:val="000000"/>
        </w:rPr>
        <w:t>The company continually evaluates opportunities to dispose of assets that are not expected to provide sufficient</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long-term value and to acquire assets or operations complementary to its asset base to help augment the company’s financial performance and value growth. The company is targeting $10-15 billion of asset sales over the five-year period ending in 2028. From 2024 through January 2025, the company has generated approximately $8 billion of asset sales proceeds. Asset dispositions and restructurings may result in significant gains or losses in future periods.</w:t>
      </w:r>
    </w:p>
    <w:p>
      <w:pPr>
        <w:spacing w:after="0" w:line="50"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 xml:space="preserve">In addition, some assets are divested along with their related liabilities, such as decommissioning obligations. In certain instances, such transferred obligations have returned and may continue to return to the company and result in losses that could be significant. For example, in fourth quarter 2023, the company recognized charges for decommissioning obligations from certain previously divested assets in the Gulf of America. In 2024, the company spent $235 million related to these obligations and anticipates spending an additional $200-300 million annually through 2033. To the extent the current owners of the company’s previously divested assets default on their decommissioning obligations, regulators may require that Chevron assume such obligations. The company could have additional significant obligations revert, primarily in the United States. The company is not currently aware of any such obligations that are reasonably possible to be material. Refer to </w:t>
      </w:r>
      <w:r>
        <w:rPr>
          <w:rFonts w:ascii="Times New Roman" w:cs="Times New Roman" w:eastAsia="Times New Roman" w:hAnsi="Times New Roman"/>
          <w:sz w:val="18"/>
          <w:szCs w:val="18"/>
          <w:u w:val="single" w:color="auto"/>
          <w:color w:val="0000FF"/>
        </w:rPr>
        <w:t>Note 24. Other Contingencies and Commitments</w:t>
      </w:r>
      <w:r>
        <w:rPr>
          <w:rFonts w:ascii="Times New Roman" w:cs="Times New Roman" w:eastAsia="Times New Roman" w:hAnsi="Times New Roman"/>
          <w:sz w:val="18"/>
          <w:szCs w:val="18"/>
          <w:color w:val="auto"/>
        </w:rPr>
        <w:t xml:space="preserve"> for additional information.</w:t>
      </w:r>
    </w:p>
    <w:p>
      <w:pPr>
        <w:spacing w:after="0" w:line="68" w:lineRule="exact"/>
        <w:rPr>
          <w:sz w:val="20"/>
          <w:szCs w:val="20"/>
          <w:color w:val="auto"/>
        </w:rPr>
      </w:pPr>
    </w:p>
    <w:p>
      <w:pPr>
        <w:jc w:val="both"/>
        <w:ind w:left="20"/>
        <w:spacing w:after="0" w:line="271" w:lineRule="auto"/>
        <w:rPr>
          <w:sz w:val="20"/>
          <w:szCs w:val="20"/>
          <w:color w:val="auto"/>
        </w:rPr>
      </w:pPr>
      <w:r>
        <w:rPr>
          <w:rFonts w:ascii="Times New Roman" w:cs="Times New Roman" w:eastAsia="Times New Roman" w:hAnsi="Times New Roman"/>
          <w:sz w:val="18"/>
          <w:szCs w:val="18"/>
          <w:color w:val="auto"/>
        </w:rPr>
        <w:t>In December 2024, the company sold its 20 percent non-operated interest in the Athabasca Oil Sands Project and 70 percent operated interest in the Duvernay shale in Alberta, Canada, to Canadian Natural Resources Limited for $6.5 billion before taxes, and expects to make tax payments totaling $1.5 billion in first quarter 2025. In 2024, these assets produced 86 thousand barrels of oil-equivalent per day and generated over $2.2 billion of sales and approximately $590 million of operational net income. As part of the sale, the buyer assumed decommissioning obligations for the transferred assets.</w:t>
      </w:r>
    </w:p>
    <w:p>
      <w:pPr>
        <w:spacing w:after="0" w:line="51" w:lineRule="exact"/>
        <w:rPr>
          <w:sz w:val="20"/>
          <w:szCs w:val="20"/>
          <w:color w:val="auto"/>
        </w:rPr>
      </w:pPr>
    </w:p>
    <w:p>
      <w:pPr>
        <w:jc w:val="both"/>
        <w:ind w:left="20"/>
        <w:spacing w:after="0" w:line="297" w:lineRule="auto"/>
        <w:rPr>
          <w:sz w:val="20"/>
          <w:szCs w:val="20"/>
          <w:color w:val="auto"/>
        </w:rPr>
      </w:pPr>
      <w:r>
        <w:rPr>
          <w:rFonts w:ascii="Times New Roman" w:cs="Times New Roman" w:eastAsia="Times New Roman" w:hAnsi="Times New Roman"/>
          <w:sz w:val="18"/>
          <w:szCs w:val="18"/>
          <w:color w:val="auto"/>
        </w:rPr>
        <w:t xml:space="preserve">In October 2023, the company announced that it had entered into a definitive merger agreement with Hess Corporation. Refer to </w:t>
      </w:r>
      <w:r>
        <w:rPr>
          <w:rFonts w:ascii="Times New Roman" w:cs="Times New Roman" w:eastAsia="Times New Roman" w:hAnsi="Times New Roman"/>
          <w:sz w:val="18"/>
          <w:szCs w:val="18"/>
          <w:u w:val="single" w:color="auto"/>
          <w:color w:val="0000FF"/>
        </w:rPr>
        <w:t>Note 30. Agreement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Acquire Hess Corporation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additional information.</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414" w:right="339" w:bottom="1440" w:gutter="0" w:footer="0" w:header="0"/>
        </w:sectPr>
      </w:pPr>
    </w:p>
    <w:bookmarkStart w:id="39" w:name="page40"/>
    <w:bookmarkEnd w:id="39"/>
    <w:p>
      <w:pPr>
        <w:spacing w:after="0"/>
        <w:tabs>
          <w:tab w:leader="none" w:pos="9400" w:val="left"/>
        </w:tabs>
        <w:rPr>
          <w:sz w:val="20"/>
          <w:szCs w:val="20"/>
          <w:color w:val="auto"/>
        </w:rPr>
      </w:pPr>
      <w:r>
        <w:rPr>
          <w:rFonts w:ascii="Arial" w:cs="Arial" w:eastAsia="Arial" w:hAnsi="Arial"/>
          <w:sz w:val="14"/>
          <w:szCs w:val="14"/>
          <w:color w:val="0077C0"/>
        </w:rPr>
        <w:t>Management’s Discussion and Analysis of Financial Condition and Results of Operations</w:t>
      </w:r>
      <w:r>
        <w:rPr>
          <w:sz w:val="20"/>
          <w:szCs w:val="20"/>
          <w:color w:val="auto"/>
        </w:rPr>
        <w:tab/>
      </w:r>
      <w:r>
        <w:rPr>
          <w:rFonts w:ascii="Arial" w:cs="Arial" w:eastAsia="Arial" w:hAnsi="Arial"/>
          <w:sz w:val="14"/>
          <w:szCs w:val="14"/>
          <w:color w:val="0077C0"/>
        </w:rPr>
        <w:t>Financial 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left="20"/>
        <w:spacing w:after="0" w:line="276"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Other Impacts </w:t>
      </w:r>
      <w:r>
        <w:rPr>
          <w:rFonts w:ascii="Times New Roman" w:cs="Times New Roman" w:eastAsia="Times New Roman" w:hAnsi="Times New Roman"/>
          <w:sz w:val="18"/>
          <w:szCs w:val="18"/>
          <w:color w:val="000000"/>
        </w:rPr>
        <w:t>The company closely monitors developments in the financial and credit markets, the level of worldwide economic activity, and the</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implications for the company of movements in prices for crude oil, natural gas and natural gas liquids (NGLs). Management takes these developments into account in the conduct of daily operations and for business planning.</w:t>
      </w:r>
    </w:p>
    <w:p>
      <w:pPr>
        <w:spacing w:after="0" w:line="46" w:lineRule="exact"/>
        <w:rPr>
          <w:sz w:val="20"/>
          <w:szCs w:val="20"/>
          <w:color w:val="auto"/>
        </w:rPr>
      </w:pPr>
    </w:p>
    <w:p>
      <w:pPr>
        <w:jc w:val="both"/>
        <w:ind w:left="20"/>
        <w:spacing w:after="0" w:line="269" w:lineRule="auto"/>
        <w:rPr>
          <w:sz w:val="20"/>
          <w:szCs w:val="20"/>
          <w:color w:val="auto"/>
        </w:rPr>
      </w:pPr>
      <w:r>
        <w:rPr>
          <w:rFonts w:ascii="Times New Roman" w:cs="Times New Roman" w:eastAsia="Times New Roman" w:hAnsi="Times New Roman"/>
          <w:sz w:val="18"/>
          <w:szCs w:val="18"/>
          <w:color w:val="auto"/>
        </w:rPr>
        <w:t>In fourth quarter 2024, the company announced plans to achieve $2-3 billion in structural cost reductions by the end of 2026. These cost savings will largely come from optimizing the portfolio, leveraging technology to enhance productivity, and changing how and where work is performed, including expanded use of global capability centers. In relation to these efforts, the company recognized a restructuring charge of $715 million after tax in fourth quarter 2024, with associated cash outflows anticipated over the next two years. The company continues to evaluate incremental cost reduction opportunities and could incur additional restructuring and reorganization charges in future periods. This will have an impact on the company’s pension and Other Post-Employment Benefit (OPEB) plans; however, the impact is not yet estimable and any impacts will be recognized in future periods.</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Earnings trends for the company’s major business areas are described as follows:</w:t>
      </w:r>
    </w:p>
    <w:p>
      <w:pPr>
        <w:spacing w:after="0" w:line="100"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Upstream </w:t>
      </w:r>
      <w:r>
        <w:rPr>
          <w:rFonts w:ascii="Times New Roman" w:cs="Times New Roman" w:eastAsia="Times New Roman" w:hAnsi="Times New Roman"/>
          <w:sz w:val="18"/>
          <w:szCs w:val="18"/>
          <w:color w:val="000000"/>
        </w:rPr>
        <w:t>Earnings for the upstream segment are closely aligned with industry prices for crude oil, natural gas and NGLs. These prices are subject to</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external factors over which the company has no control, including product demand connected with global economic conditions, industry production and inventory levels, technology advancements, production quotas or other actions imposed by OPEC+ countries, actions of regulators, weather-related damage and disruptions, competing fuel prices, natural and human causes beyond the company’s control, and regional supply interruptions or fears thereof that may be caused by military conflicts, civil unrest or political uncertainty. Any of these factors could also inhibit the company’s production capacity in an affected region. The company closely monitors developments in the countries in which it operates and holds investments and seeks to manage risks in operating its facilities and businesses.</w:t>
      </w:r>
    </w:p>
    <w:p>
      <w:pPr>
        <w:spacing w:after="0" w:line="59" w:lineRule="exact"/>
        <w:rPr>
          <w:sz w:val="20"/>
          <w:szCs w:val="20"/>
          <w:color w:val="auto"/>
        </w:rPr>
      </w:pPr>
    </w:p>
    <w:p>
      <w:pPr>
        <w:jc w:val="both"/>
        <w:ind w:left="20" w:right="20"/>
        <w:spacing w:after="0" w:line="281" w:lineRule="auto"/>
        <w:rPr>
          <w:sz w:val="20"/>
          <w:szCs w:val="20"/>
          <w:color w:val="auto"/>
        </w:rPr>
      </w:pPr>
      <w:r>
        <w:rPr>
          <w:rFonts w:ascii="Times New Roman" w:cs="Times New Roman" w:eastAsia="Times New Roman" w:hAnsi="Times New Roman"/>
          <w:sz w:val="18"/>
          <w:szCs w:val="18"/>
          <w:color w:val="auto"/>
        </w:rPr>
        <w:t>The longer-term trend in earnings for the upstream segment is also a function of other factors, including the company’s ability to efficiently find, acquire and produce crude oil, natural gas and NGLs, changes in fiscal terms of contracts, the pace of energy transition, and changes in tax, environmental and other applicable laws and regulations.</w:t>
      </w:r>
    </w:p>
    <w:p>
      <w:pPr>
        <w:spacing w:after="0" w:line="42" w:lineRule="exact"/>
        <w:rPr>
          <w:sz w:val="20"/>
          <w:szCs w:val="20"/>
          <w:color w:val="auto"/>
        </w:rPr>
      </w:pPr>
    </w:p>
    <w:p>
      <w:pPr>
        <w:jc w:val="both"/>
        <w:ind w:left="20"/>
        <w:spacing w:after="0" w:line="274" w:lineRule="auto"/>
        <w:rPr>
          <w:sz w:val="20"/>
          <w:szCs w:val="20"/>
          <w:color w:val="auto"/>
        </w:rPr>
      </w:pPr>
      <w:r>
        <w:rPr>
          <w:rFonts w:ascii="Times New Roman" w:cs="Times New Roman" w:eastAsia="Times New Roman" w:hAnsi="Times New Roman"/>
          <w:sz w:val="18"/>
          <w:szCs w:val="18"/>
          <w:color w:val="auto"/>
        </w:rPr>
        <w:t>In April 2024, Tengizchevroil LLP (TCO) achieved start-up of the Wellhead Pressure Management Project (WPMP) and at year-end 2024, all four pressure boost facility compressors are online and all metering stations have been converted to low pressure. In January 2025, TCO started oil production at its Future Growth Project, which is expected to contribute to higher free cash flow.</w:t>
      </w:r>
    </w:p>
    <w:p>
      <w:pPr>
        <w:spacing w:after="0" w:line="61"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Chevron has interests in Venezuelan assets operated by independent affiliates. Chevron has been conducting limited activities in Venezuela consistent with the authorization provided pursuant to licenses issued by the United States government. In fourth quarter 2022, Chevron received General License 41 from the United States government, enabling the company to resume activity in Venezuela subject to certain limitations, and the company continues such activities under this General License. The financial results for Chevron’s business in Venezuela are being recorded as non-equity investments since 2020, where income is only recognized when cash is received and production and reserves are not included in the company’s results. Crude oil liftings in Venezuela started in first quarter 2023, which have positively impacted the company’s results. The company’s independent affiliates have continued to maintain safe and reliable operations; however, future impact on results of operations and financial condition remain uncertain.</w:t>
      </w:r>
    </w:p>
    <w:p>
      <w:pPr>
        <w:spacing w:after="0" w:line="55" w:lineRule="exact"/>
        <w:rPr>
          <w:sz w:val="20"/>
          <w:szCs w:val="20"/>
          <w:color w:val="auto"/>
        </w:rPr>
      </w:pPr>
    </w:p>
    <w:p>
      <w:pPr>
        <w:jc w:val="both"/>
        <w:ind w:left="20"/>
        <w:spacing w:after="0" w:line="271" w:lineRule="auto"/>
        <w:rPr>
          <w:sz w:val="20"/>
          <w:szCs w:val="20"/>
          <w:color w:val="auto"/>
        </w:rPr>
      </w:pPr>
      <w:r>
        <w:rPr>
          <w:rFonts w:ascii="Times New Roman" w:cs="Times New Roman" w:eastAsia="Times New Roman" w:hAnsi="Times New Roman"/>
          <w:sz w:val="18"/>
          <w:szCs w:val="18"/>
          <w:color w:val="auto"/>
        </w:rPr>
        <w:t>Chevron maintains an equity interest in the Caspian Pipeline Consortium (CPC) which provides a primary export route for Tengiz field production in Kazakhstan. An adverse event or incident affecting CPC operations, which CPC has experienced from time to time, could have a negative impact on the Tengiz field and the company’s results of operations and financial position. The financial impacts of such risks, including presently imposed sanctions and the February 2025 drone attack on the CPC pumping station, remain uncertain.</w:t>
      </w:r>
    </w:p>
    <w:p>
      <w:pPr>
        <w:spacing w:after="0" w:line="51" w:lineRule="exact"/>
        <w:rPr>
          <w:sz w:val="20"/>
          <w:szCs w:val="20"/>
          <w:color w:val="auto"/>
        </w:rPr>
      </w:pPr>
    </w:p>
    <w:p>
      <w:pPr>
        <w:jc w:val="both"/>
        <w:ind w:left="20" w:right="20"/>
        <w:spacing w:after="0" w:line="297" w:lineRule="auto"/>
        <w:rPr>
          <w:sz w:val="20"/>
          <w:szCs w:val="20"/>
          <w:color w:val="auto"/>
        </w:rPr>
      </w:pPr>
      <w:r>
        <w:rPr>
          <w:rFonts w:ascii="Times New Roman" w:cs="Times New Roman" w:eastAsia="Times New Roman" w:hAnsi="Times New Roman"/>
          <w:sz w:val="18"/>
          <w:szCs w:val="18"/>
          <w:color w:val="auto"/>
        </w:rPr>
        <w:t>Other governments (including Russia) have imposed and may impose additional sanctions and other trade laws, restrictions and regulations that could lead to disruption in our ability to produce, transport and/or export crude in the region around Russia.</w:t>
      </w:r>
    </w:p>
    <w:p>
      <w:pPr>
        <w:spacing w:after="0" w:line="28" w:lineRule="exact"/>
        <w:rPr>
          <w:sz w:val="20"/>
          <w:szCs w:val="20"/>
          <w:color w:val="auto"/>
        </w:rPr>
      </w:pPr>
    </w:p>
    <w:p>
      <w:pPr>
        <w:jc w:val="both"/>
        <w:ind w:left="20"/>
        <w:spacing w:after="0" w:line="271" w:lineRule="auto"/>
        <w:rPr>
          <w:sz w:val="20"/>
          <w:szCs w:val="20"/>
          <w:color w:val="auto"/>
        </w:rPr>
      </w:pPr>
      <w:r>
        <w:rPr>
          <w:rFonts w:ascii="Times New Roman" w:cs="Times New Roman" w:eastAsia="Times New Roman" w:hAnsi="Times New Roman"/>
          <w:sz w:val="18"/>
          <w:szCs w:val="18"/>
          <w:color w:val="auto"/>
        </w:rPr>
        <w:t>Chevron holds a 39.7 percent interest in the Leviathan field and a 25 percent interest in the Tamar field in Israel. Despite the ongoing conflict between Israel and various regional adversaries, the company continues to maintain safe and reliable operations while meeting its contractual commitments. The company continues to monitor the ongoing conflict in the region and any future impacts on the company’s results of operations and financial condition remain uncertain.</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414" w:right="339" w:bottom="1440" w:gutter="0" w:footer="0" w:header="0"/>
        </w:sectPr>
      </w:pPr>
    </w:p>
    <w:bookmarkStart w:id="40" w:name="page41"/>
    <w:bookmarkEnd w:id="40"/>
    <w:p>
      <w:pPr>
        <w:spacing w:after="0"/>
        <w:tabs>
          <w:tab w:leader="none" w:pos="9400" w:val="left"/>
        </w:tabs>
        <w:rPr>
          <w:sz w:val="20"/>
          <w:szCs w:val="20"/>
          <w:color w:val="auto"/>
        </w:rPr>
      </w:pPr>
      <w:r>
        <w:rPr>
          <w:rFonts w:ascii="Arial" w:cs="Arial" w:eastAsia="Arial" w:hAnsi="Arial"/>
          <w:sz w:val="14"/>
          <w:szCs w:val="14"/>
          <w:color w:val="0077C0"/>
        </w:rPr>
        <w:t>Management’s Discussion and Analysis of Financial Condition and Results of Operations</w:t>
      </w:r>
      <w:r>
        <w:rPr>
          <w:sz w:val="20"/>
          <w:szCs w:val="20"/>
          <w:color w:val="auto"/>
        </w:rPr>
        <w:tab/>
      </w:r>
      <w:r>
        <w:rPr>
          <w:rFonts w:ascii="Arial" w:cs="Arial" w:eastAsia="Arial" w:hAnsi="Arial"/>
          <w:sz w:val="14"/>
          <w:szCs w:val="14"/>
          <w:color w:val="0077C0"/>
        </w:rPr>
        <w:t>Financial Table of Contents</w:t>
      </w:r>
    </w:p>
    <w:p>
      <w:pPr>
        <w:spacing w:after="0" w:line="200" w:lineRule="exact"/>
        <w:rPr>
          <w:sz w:val="20"/>
          <w:szCs w:val="20"/>
          <w:color w:val="auto"/>
        </w:rPr>
      </w:pPr>
    </w:p>
    <w:p>
      <w:pPr>
        <w:spacing w:after="0" w:line="318" w:lineRule="exact"/>
        <w:rPr>
          <w:sz w:val="20"/>
          <w:szCs w:val="20"/>
          <w:color w:val="auto"/>
        </w:rPr>
      </w:pPr>
    </w:p>
    <w:p>
      <w:pPr>
        <w:jc w:val="both"/>
        <w:ind w:left="20" w:right="20"/>
        <w:spacing w:after="0" w:line="274" w:lineRule="auto"/>
        <w:rPr>
          <w:sz w:val="20"/>
          <w:szCs w:val="20"/>
          <w:color w:val="auto"/>
        </w:rPr>
      </w:pPr>
      <w:r>
        <w:rPr>
          <w:rFonts w:ascii="Times New Roman" w:cs="Times New Roman" w:eastAsia="Times New Roman" w:hAnsi="Times New Roman"/>
          <w:sz w:val="18"/>
          <w:szCs w:val="18"/>
          <w:color w:val="auto"/>
        </w:rPr>
        <w:t>Chevron operates and holds interests in the Bibiyana, Jalalabad and Moulavi Bazar fields in Bangladesh. Recent political unrest in the country has not impacted the company’s operations to date; however, the future impacts, if any, on the company’s results of operations and financial condition remain uncertain.</w:t>
      </w:r>
    </w:p>
    <w:p>
      <w:pPr>
        <w:spacing w:after="0" w:line="57" w:lineRule="exact"/>
        <w:rPr>
          <w:sz w:val="20"/>
          <w:szCs w:val="20"/>
          <w:color w:val="auto"/>
        </w:rPr>
      </w:pPr>
    </w:p>
    <w:p>
      <w:pPr>
        <w:jc w:val="both"/>
        <w:ind w:left="20"/>
        <w:spacing w:after="0" w:line="267"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Commodity Prices </w:t>
      </w:r>
      <w:r>
        <w:rPr>
          <w:rFonts w:ascii="Times New Roman" w:cs="Times New Roman" w:eastAsia="Times New Roman" w:hAnsi="Times New Roman"/>
          <w:sz w:val="18"/>
          <w:szCs w:val="18"/>
          <w:color w:val="000000"/>
        </w:rPr>
        <w:t>The following chart shows the trend in benchmark prices for Brent crude oil, West Texas Intermediate (WTI) crude oil and U.S. Henry</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Hub natural gas. The Brent price averaged $81 per barrel for the full-year 2024, compared to $83 in 2023. As of mid-February 2025, the Brent price was $75 per barrel. The WTI price averaged $76 per barrel for the full-year 2024, compared to $78 in 2023. As of mid-February 2025, the WTI price was $71 per barrel. The majority of the company’s equity crude production is priced based on the Brent benchmark. The U.S. Henry Hub natural gas price averaged $2.25 per thousand cubic feet (MCF) for the full-year 2024, compared to $2.56 in 2023. As of mid-February 2025, the Henry Hub price was $4.42 per MCF. See page 47 for the company’s U.S. and international average realizations for each of the past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789305</wp:posOffset>
            </wp:positionH>
            <wp:positionV relativeFrom="paragraph">
              <wp:posOffset>45720</wp:posOffset>
            </wp:positionV>
            <wp:extent cx="5589270" cy="23488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89270"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Crude prices in 2024 were influenced by geopolitical conflict and OPEC+ supply restraint, which was offset by factors such as non-OPEC supply growth and slowing demand growth.</w:t>
      </w:r>
    </w:p>
    <w:p>
      <w:pPr>
        <w:spacing w:after="0" w:line="54" w:lineRule="exact"/>
        <w:rPr>
          <w:sz w:val="20"/>
          <w:szCs w:val="20"/>
          <w:color w:val="auto"/>
        </w:rPr>
      </w:pPr>
    </w:p>
    <w:p>
      <w:pPr>
        <w:jc w:val="both"/>
        <w:ind w:left="20"/>
        <w:spacing w:after="0" w:line="274" w:lineRule="auto"/>
        <w:rPr>
          <w:sz w:val="20"/>
          <w:szCs w:val="20"/>
          <w:color w:val="auto"/>
        </w:rPr>
      </w:pPr>
      <w:r>
        <w:rPr>
          <w:rFonts w:ascii="Times New Roman" w:cs="Times New Roman" w:eastAsia="Times New Roman" w:hAnsi="Times New Roman"/>
          <w:sz w:val="18"/>
          <w:szCs w:val="18"/>
          <w:color w:val="auto"/>
        </w:rPr>
        <w:t>In contrast to price movements in the global market for crude oil, prices for natural gas are also impacted by regional supply and demand and infrastructure conditions in local markets. In the United States, lower Henry Hub prices were driven by high storage levels, strong production, and delayed starts to liquefied natural gas (LNG) export projects.</w:t>
      </w:r>
    </w:p>
    <w:p>
      <w:pPr>
        <w:spacing w:after="0" w:line="47" w:lineRule="exact"/>
        <w:rPr>
          <w:sz w:val="20"/>
          <w:szCs w:val="20"/>
          <w:color w:val="auto"/>
        </w:rPr>
      </w:pPr>
    </w:p>
    <w:p>
      <w:pPr>
        <w:jc w:val="both"/>
        <w:ind w:left="20"/>
        <w:spacing w:after="0" w:line="274" w:lineRule="auto"/>
        <w:rPr>
          <w:sz w:val="20"/>
          <w:szCs w:val="20"/>
          <w:color w:val="auto"/>
        </w:rPr>
      </w:pPr>
      <w:r>
        <w:rPr>
          <w:rFonts w:ascii="Times New Roman" w:cs="Times New Roman" w:eastAsia="Times New Roman" w:hAnsi="Times New Roman"/>
          <w:sz w:val="18"/>
          <w:szCs w:val="18"/>
          <w:color w:val="auto"/>
        </w:rPr>
        <w:t>Outside the United States, prices for natural gas also depend on a wide range of supply, demand and regulatory circumstances. The company’s long-term contract prices for LNG are typically linked to crude oil prices. Most of the equity LNG offtake from the operated Australian LNG projects is committed under binding long-term contracts, with some sold in the Asian spot LNG market.</w:t>
      </w:r>
    </w:p>
    <w:p>
      <w:pPr>
        <w:spacing w:after="0" w:line="57" w:lineRule="exact"/>
        <w:rPr>
          <w:sz w:val="20"/>
          <w:szCs w:val="20"/>
          <w:color w:val="auto"/>
        </w:rPr>
      </w:pPr>
    </w:p>
    <w:p>
      <w:pPr>
        <w:jc w:val="both"/>
        <w:ind w:left="20"/>
        <w:spacing w:after="0" w:line="273"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Production </w:t>
      </w:r>
      <w:r>
        <w:rPr>
          <w:rFonts w:ascii="Times New Roman" w:cs="Times New Roman" w:eastAsia="Times New Roman" w:hAnsi="Times New Roman"/>
          <w:sz w:val="18"/>
          <w:szCs w:val="18"/>
          <w:color w:val="000000"/>
        </w:rPr>
        <w:t>The company’s worldwide net oil-equivalent production in 2024 was 3.3 million barrels per day, 7 percent higher than in 2023 primarily due to</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the full-year of legacy PDC Energy, Inc. (PDC) production and growth in the Permian Basin. About 20 percent of the company’s net oil-equivalent production in 2024 occurred in OPEC+ member countries of Equatorial Guinea, Kazakhstan, Nigeria, the Partitioned Zone between Saudi Arabia and Kuwait and the Republic of Congo.</w:t>
      </w:r>
    </w:p>
    <w:p>
      <w:pPr>
        <w:spacing w:after="0" w:line="48"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The company estimates its net oil-equivalent production in 2025 to increase six to eight percent over 2024, assuming a Brent crude oil price of $70 per barrel and excluding expected asset sales. This estimate is subject to many factors and uncertainties, including quotas or other actions that may be imposed by OPEC+; price effects on entitlement volumes; changes in fiscal terms or restrictions on the scope of company operations; delays in construction; reservoir performance; greater-than-expected declines in production from mature fields; start-up or ramp-up of projects; acquisition and divestment of assets; fluctuations in demand for crude oil and natural gas in various markets; weather conditions that may shut in production; civil unrest; changing geopolitics; delays in completion of maintenance turnarounds; storage constraints or economic conditions that could lead to shut-in production; or other disruptions to operations. The outlook for future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414" w:right="339" w:bottom="1440" w:gutter="0" w:footer="0" w:header="0"/>
        </w:sectPr>
      </w:pPr>
    </w:p>
    <w:bookmarkStart w:id="41" w:name="page42"/>
    <w:bookmarkEnd w:id="41"/>
    <w:p>
      <w:pPr>
        <w:spacing w:after="0"/>
        <w:tabs>
          <w:tab w:leader="none" w:pos="9400" w:val="left"/>
        </w:tabs>
        <w:rPr>
          <w:sz w:val="20"/>
          <w:szCs w:val="20"/>
          <w:color w:val="auto"/>
        </w:rPr>
      </w:pPr>
      <w:r>
        <w:rPr>
          <w:rFonts w:ascii="Arial" w:cs="Arial" w:eastAsia="Arial" w:hAnsi="Arial"/>
          <w:sz w:val="14"/>
          <w:szCs w:val="14"/>
          <w:color w:val="0077C0"/>
        </w:rPr>
        <w:t>Management’s Discussion and Analysis of Financial Condition and Results of Operations</w:t>
      </w:r>
      <w:r>
        <w:rPr>
          <w:sz w:val="20"/>
          <w:szCs w:val="20"/>
          <w:color w:val="auto"/>
        </w:rPr>
        <w:tab/>
      </w:r>
      <w:r>
        <w:rPr>
          <w:rFonts w:ascii="Arial" w:cs="Arial" w:eastAsia="Arial" w:hAnsi="Arial"/>
          <w:sz w:val="14"/>
          <w:szCs w:val="14"/>
          <w:color w:val="0077C0"/>
        </w:rPr>
        <w:t>Financial Table of Contents</w:t>
      </w:r>
    </w:p>
    <w:p>
      <w:pPr>
        <w:spacing w:after="0" w:line="200" w:lineRule="exact"/>
        <w:rPr>
          <w:sz w:val="20"/>
          <w:szCs w:val="20"/>
          <w:color w:val="auto"/>
        </w:rPr>
      </w:pPr>
    </w:p>
    <w:p>
      <w:pPr>
        <w:spacing w:after="0" w:line="318" w:lineRule="exact"/>
        <w:rPr>
          <w:sz w:val="20"/>
          <w:szCs w:val="20"/>
          <w:color w:val="auto"/>
        </w:rPr>
      </w:pPr>
    </w:p>
    <w:p>
      <w:pPr>
        <w:ind w:left="20"/>
        <w:spacing w:after="0" w:line="297" w:lineRule="auto"/>
        <w:rPr>
          <w:sz w:val="20"/>
          <w:szCs w:val="20"/>
          <w:color w:val="auto"/>
        </w:rPr>
      </w:pPr>
      <w:r>
        <w:rPr>
          <w:rFonts w:ascii="Times New Roman" w:cs="Times New Roman" w:eastAsia="Times New Roman" w:hAnsi="Times New Roman"/>
          <w:sz w:val="18"/>
          <w:szCs w:val="18"/>
          <w:color w:val="auto"/>
        </w:rPr>
        <w:t>production levels is also affected by the size and number of economic investment opportunities and the time lag between initial exploration and the beginning of production.</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1020" w:type="dxa"/>
            <w:vAlign w:val="bottom"/>
          </w:tcPr>
          <w:p>
            <w:pPr>
              <w:ind w:left="20"/>
              <w:spacing w:after="0"/>
              <w:rPr>
                <w:sz w:val="20"/>
                <w:szCs w:val="20"/>
                <w:color w:val="auto"/>
              </w:rPr>
            </w:pPr>
            <w:r>
              <w:rPr>
                <w:rFonts w:ascii="Arial" w:cs="Arial" w:eastAsia="Arial" w:hAnsi="Arial"/>
                <w:sz w:val="11"/>
                <w:szCs w:val="11"/>
                <w:color w:val="auto"/>
              </w:rPr>
              <w:t>Net crude oil</w:t>
            </w:r>
          </w:p>
        </w:tc>
        <w:tc>
          <w:tcPr>
            <w:tcW w:w="1200" w:type="dxa"/>
            <w:vAlign w:val="bottom"/>
          </w:tcPr>
          <w:p>
            <w:pPr>
              <w:spacing w:after="0"/>
              <w:rPr>
                <w:sz w:val="10"/>
                <w:szCs w:val="10"/>
                <w:color w:val="auto"/>
              </w:rPr>
            </w:pPr>
          </w:p>
        </w:tc>
        <w:tc>
          <w:tcPr>
            <w:tcW w:w="1020" w:type="dxa"/>
            <w:vAlign w:val="bottom"/>
          </w:tcPr>
          <w:p>
            <w:pPr>
              <w:ind w:left="20"/>
              <w:spacing w:after="0"/>
              <w:rPr>
                <w:sz w:val="20"/>
                <w:szCs w:val="20"/>
                <w:color w:val="auto"/>
              </w:rPr>
            </w:pPr>
            <w:r>
              <w:rPr>
                <w:rFonts w:ascii="Arial" w:cs="Arial" w:eastAsia="Arial" w:hAnsi="Arial"/>
                <w:sz w:val="11"/>
                <w:szCs w:val="11"/>
                <w:color w:val="auto"/>
              </w:rPr>
              <w:t>Net natural gas</w:t>
            </w:r>
          </w:p>
        </w:tc>
        <w:tc>
          <w:tcPr>
            <w:tcW w:w="1180" w:type="dxa"/>
            <w:vAlign w:val="bottom"/>
          </w:tcPr>
          <w:p>
            <w:pPr>
              <w:spacing w:after="0"/>
              <w:rPr>
                <w:sz w:val="10"/>
                <w:szCs w:val="10"/>
                <w:color w:val="auto"/>
              </w:rPr>
            </w:pPr>
          </w:p>
        </w:tc>
        <w:tc>
          <w:tcPr>
            <w:tcW w:w="1020" w:type="dxa"/>
            <w:vAlign w:val="bottom"/>
          </w:tcPr>
          <w:p>
            <w:pPr>
              <w:ind w:left="20"/>
              <w:spacing w:after="0"/>
              <w:rPr>
                <w:sz w:val="20"/>
                <w:szCs w:val="20"/>
                <w:color w:val="auto"/>
              </w:rPr>
            </w:pPr>
            <w:r>
              <w:rPr>
                <w:rFonts w:ascii="Arial" w:cs="Arial" w:eastAsia="Arial" w:hAnsi="Arial"/>
                <w:sz w:val="11"/>
                <w:szCs w:val="11"/>
                <w:color w:val="auto"/>
              </w:rPr>
              <w:t>Net natural gas</w:t>
            </w:r>
          </w:p>
        </w:tc>
        <w:tc>
          <w:tcPr>
            <w:tcW w:w="1200" w:type="dxa"/>
            <w:vAlign w:val="bottom"/>
          </w:tcPr>
          <w:p>
            <w:pPr>
              <w:spacing w:after="0"/>
              <w:rPr>
                <w:sz w:val="10"/>
                <w:szCs w:val="10"/>
                <w:color w:val="auto"/>
              </w:rPr>
            </w:pPr>
          </w:p>
        </w:tc>
        <w:tc>
          <w:tcPr>
            <w:tcW w:w="1000" w:type="dxa"/>
            <w:vAlign w:val="bottom"/>
          </w:tcPr>
          <w:p>
            <w:pPr>
              <w:spacing w:after="0"/>
              <w:rPr>
                <w:sz w:val="20"/>
                <w:szCs w:val="20"/>
                <w:color w:val="auto"/>
              </w:rPr>
            </w:pPr>
            <w:r>
              <w:rPr>
                <w:rFonts w:ascii="Arial" w:cs="Arial" w:eastAsia="Arial" w:hAnsi="Arial"/>
                <w:sz w:val="11"/>
                <w:szCs w:val="11"/>
                <w:color w:val="auto"/>
                <w:w w:val="98"/>
              </w:rPr>
              <w:t>Net proved reserves</w:t>
            </w:r>
          </w:p>
        </w:tc>
        <w:tc>
          <w:tcPr>
            <w:tcW w:w="1200" w:type="dxa"/>
            <w:vAlign w:val="bottom"/>
          </w:tcPr>
          <w:p>
            <w:pPr>
              <w:spacing w:after="0"/>
              <w:rPr>
                <w:sz w:val="10"/>
                <w:szCs w:val="10"/>
                <w:color w:val="auto"/>
              </w:rPr>
            </w:pPr>
          </w:p>
        </w:tc>
        <w:tc>
          <w:tcPr>
            <w:tcW w:w="1580" w:type="dxa"/>
            <w:vAlign w:val="bottom"/>
          </w:tcPr>
          <w:p>
            <w:pPr>
              <w:ind w:left="20"/>
              <w:spacing w:after="0"/>
              <w:rPr>
                <w:sz w:val="20"/>
                <w:szCs w:val="20"/>
                <w:color w:val="auto"/>
              </w:rPr>
            </w:pPr>
            <w:r>
              <w:rPr>
                <w:rFonts w:ascii="Arial" w:cs="Arial" w:eastAsia="Arial" w:hAnsi="Arial"/>
                <w:sz w:val="11"/>
                <w:szCs w:val="11"/>
                <w:color w:val="auto"/>
              </w:rPr>
              <w:t>Net proved reserves by product</w:t>
            </w:r>
          </w:p>
        </w:tc>
      </w:tr>
      <w:tr>
        <w:trPr>
          <w:trHeight w:val="140"/>
        </w:trPr>
        <w:tc>
          <w:tcPr>
            <w:tcW w:w="1020" w:type="dxa"/>
            <w:vAlign w:val="bottom"/>
          </w:tcPr>
          <w:p>
            <w:pPr>
              <w:ind w:left="20"/>
              <w:spacing w:after="0"/>
              <w:rPr>
                <w:sz w:val="20"/>
                <w:szCs w:val="20"/>
                <w:color w:val="auto"/>
              </w:rPr>
            </w:pPr>
            <w:r>
              <w:rPr>
                <w:rFonts w:ascii="Arial" w:cs="Arial" w:eastAsia="Arial" w:hAnsi="Arial"/>
                <w:sz w:val="11"/>
                <w:szCs w:val="11"/>
                <w:color w:val="auto"/>
              </w:rPr>
              <w:t>production</w:t>
            </w:r>
          </w:p>
        </w:tc>
        <w:tc>
          <w:tcPr>
            <w:tcW w:w="1200" w:type="dxa"/>
            <w:vAlign w:val="bottom"/>
          </w:tcPr>
          <w:p>
            <w:pPr>
              <w:spacing w:after="0"/>
              <w:rPr>
                <w:sz w:val="12"/>
                <w:szCs w:val="12"/>
                <w:color w:val="auto"/>
              </w:rPr>
            </w:pPr>
          </w:p>
        </w:tc>
        <w:tc>
          <w:tcPr>
            <w:tcW w:w="1020" w:type="dxa"/>
            <w:vAlign w:val="bottom"/>
          </w:tcPr>
          <w:p>
            <w:pPr>
              <w:ind w:left="20"/>
              <w:spacing w:after="0"/>
              <w:rPr>
                <w:sz w:val="20"/>
                <w:szCs w:val="20"/>
                <w:color w:val="auto"/>
              </w:rPr>
            </w:pPr>
            <w:r>
              <w:rPr>
                <w:rFonts w:ascii="Arial" w:cs="Arial" w:eastAsia="Arial" w:hAnsi="Arial"/>
                <w:sz w:val="11"/>
                <w:szCs w:val="11"/>
                <w:color w:val="auto"/>
              </w:rPr>
              <w:t>liquids production</w:t>
            </w:r>
          </w:p>
        </w:tc>
        <w:tc>
          <w:tcPr>
            <w:tcW w:w="1180" w:type="dxa"/>
            <w:vAlign w:val="bottom"/>
          </w:tcPr>
          <w:p>
            <w:pPr>
              <w:spacing w:after="0"/>
              <w:rPr>
                <w:sz w:val="12"/>
                <w:szCs w:val="12"/>
                <w:color w:val="auto"/>
              </w:rPr>
            </w:pPr>
          </w:p>
        </w:tc>
        <w:tc>
          <w:tcPr>
            <w:tcW w:w="1020" w:type="dxa"/>
            <w:vAlign w:val="bottom"/>
          </w:tcPr>
          <w:p>
            <w:pPr>
              <w:ind w:left="20"/>
              <w:spacing w:after="0"/>
              <w:rPr>
                <w:sz w:val="20"/>
                <w:szCs w:val="20"/>
                <w:color w:val="auto"/>
              </w:rPr>
            </w:pPr>
            <w:r>
              <w:rPr>
                <w:rFonts w:ascii="Arial" w:cs="Arial" w:eastAsia="Arial" w:hAnsi="Arial"/>
                <w:sz w:val="11"/>
                <w:szCs w:val="11"/>
                <w:color w:val="auto"/>
              </w:rPr>
              <w:t>production</w:t>
            </w:r>
          </w:p>
        </w:tc>
        <w:tc>
          <w:tcPr>
            <w:tcW w:w="1200" w:type="dxa"/>
            <w:vAlign w:val="bottom"/>
          </w:tcPr>
          <w:p>
            <w:pPr>
              <w:spacing w:after="0"/>
              <w:rPr>
                <w:sz w:val="12"/>
                <w:szCs w:val="12"/>
                <w:color w:val="auto"/>
              </w:rPr>
            </w:pPr>
          </w:p>
        </w:tc>
        <w:tc>
          <w:tcPr>
            <w:tcW w:w="1000" w:type="dxa"/>
            <w:vAlign w:val="bottom"/>
          </w:tcPr>
          <w:p>
            <w:pPr>
              <w:spacing w:after="0"/>
              <w:rPr>
                <w:sz w:val="20"/>
                <w:szCs w:val="20"/>
                <w:color w:val="auto"/>
              </w:rPr>
            </w:pPr>
            <w:r>
              <w:rPr>
                <w:rFonts w:ascii="Arial" w:cs="Arial" w:eastAsia="Arial" w:hAnsi="Arial"/>
                <w:sz w:val="11"/>
                <w:szCs w:val="11"/>
                <w:color w:val="auto"/>
              </w:rPr>
              <w:t>by geographic area</w:t>
            </w:r>
          </w:p>
        </w:tc>
        <w:tc>
          <w:tcPr>
            <w:tcW w:w="1200" w:type="dxa"/>
            <w:vAlign w:val="bottom"/>
          </w:tcPr>
          <w:p>
            <w:pPr>
              <w:spacing w:after="0"/>
              <w:rPr>
                <w:sz w:val="12"/>
                <w:szCs w:val="12"/>
                <w:color w:val="auto"/>
              </w:rPr>
            </w:pPr>
          </w:p>
        </w:tc>
        <w:tc>
          <w:tcPr>
            <w:tcW w:w="1580" w:type="dxa"/>
            <w:vAlign w:val="bottom"/>
          </w:tcPr>
          <w:p>
            <w:pPr>
              <w:ind w:left="20"/>
              <w:spacing w:after="0"/>
              <w:rPr>
                <w:sz w:val="20"/>
                <w:szCs w:val="20"/>
                <w:color w:val="auto"/>
              </w:rPr>
            </w:pPr>
            <w:r>
              <w:rPr>
                <w:rFonts w:ascii="Arial" w:cs="Arial" w:eastAsia="Arial" w:hAnsi="Arial"/>
                <w:sz w:val="9"/>
                <w:szCs w:val="9"/>
                <w:color w:val="auto"/>
              </w:rPr>
              <w:t>Billions of BOE*</w:t>
            </w:r>
          </w:p>
        </w:tc>
      </w:tr>
      <w:tr>
        <w:trPr>
          <w:trHeight w:val="94"/>
        </w:trPr>
        <w:tc>
          <w:tcPr>
            <w:tcW w:w="1020" w:type="dxa"/>
            <w:vAlign w:val="bottom"/>
          </w:tcPr>
          <w:p>
            <w:pPr>
              <w:ind w:left="20"/>
              <w:spacing w:after="0" w:line="95" w:lineRule="exact"/>
              <w:rPr>
                <w:sz w:val="20"/>
                <w:szCs w:val="20"/>
                <w:color w:val="auto"/>
              </w:rPr>
            </w:pPr>
            <w:r>
              <w:rPr>
                <w:rFonts w:ascii="Arial" w:cs="Arial" w:eastAsia="Arial" w:hAnsi="Arial"/>
                <w:sz w:val="9"/>
                <w:szCs w:val="9"/>
                <w:color w:val="auto"/>
              </w:rPr>
              <w:t>Thousands of barrels</w:t>
            </w:r>
          </w:p>
        </w:tc>
        <w:tc>
          <w:tcPr>
            <w:tcW w:w="1200" w:type="dxa"/>
            <w:vAlign w:val="bottom"/>
          </w:tcPr>
          <w:p>
            <w:pPr>
              <w:spacing w:after="0"/>
              <w:rPr>
                <w:sz w:val="8"/>
                <w:szCs w:val="8"/>
                <w:color w:val="auto"/>
              </w:rPr>
            </w:pPr>
          </w:p>
        </w:tc>
        <w:tc>
          <w:tcPr>
            <w:tcW w:w="1020" w:type="dxa"/>
            <w:vAlign w:val="bottom"/>
          </w:tcPr>
          <w:p>
            <w:pPr>
              <w:ind w:left="20"/>
              <w:spacing w:after="0" w:line="95" w:lineRule="exact"/>
              <w:rPr>
                <w:sz w:val="20"/>
                <w:szCs w:val="20"/>
                <w:color w:val="auto"/>
              </w:rPr>
            </w:pPr>
            <w:r>
              <w:rPr>
                <w:rFonts w:ascii="Arial" w:cs="Arial" w:eastAsia="Arial" w:hAnsi="Arial"/>
                <w:sz w:val="9"/>
                <w:szCs w:val="9"/>
                <w:color w:val="auto"/>
              </w:rPr>
              <w:t>Thousands of barrels</w:t>
            </w:r>
          </w:p>
        </w:tc>
        <w:tc>
          <w:tcPr>
            <w:tcW w:w="1180" w:type="dxa"/>
            <w:vAlign w:val="bottom"/>
          </w:tcPr>
          <w:p>
            <w:pPr>
              <w:spacing w:after="0"/>
              <w:rPr>
                <w:sz w:val="8"/>
                <w:szCs w:val="8"/>
                <w:color w:val="auto"/>
              </w:rPr>
            </w:pPr>
          </w:p>
        </w:tc>
        <w:tc>
          <w:tcPr>
            <w:tcW w:w="1020" w:type="dxa"/>
            <w:vAlign w:val="bottom"/>
          </w:tcPr>
          <w:p>
            <w:pPr>
              <w:ind w:left="20"/>
              <w:spacing w:after="0" w:line="95" w:lineRule="exact"/>
              <w:rPr>
                <w:sz w:val="20"/>
                <w:szCs w:val="20"/>
                <w:color w:val="auto"/>
              </w:rPr>
            </w:pPr>
            <w:r>
              <w:rPr>
                <w:rFonts w:ascii="Arial" w:cs="Arial" w:eastAsia="Arial" w:hAnsi="Arial"/>
                <w:sz w:val="9"/>
                <w:szCs w:val="9"/>
                <w:color w:val="auto"/>
              </w:rPr>
              <w:t>Millions of cubic feet per</w:t>
            </w:r>
          </w:p>
        </w:tc>
        <w:tc>
          <w:tcPr>
            <w:tcW w:w="1200" w:type="dxa"/>
            <w:vAlign w:val="bottom"/>
          </w:tcPr>
          <w:p>
            <w:pPr>
              <w:spacing w:after="0"/>
              <w:rPr>
                <w:sz w:val="8"/>
                <w:szCs w:val="8"/>
                <w:color w:val="auto"/>
              </w:rPr>
            </w:pPr>
          </w:p>
        </w:tc>
        <w:tc>
          <w:tcPr>
            <w:tcW w:w="1000" w:type="dxa"/>
            <w:vAlign w:val="bottom"/>
          </w:tcPr>
          <w:p>
            <w:pPr>
              <w:spacing w:after="0" w:line="95" w:lineRule="exact"/>
              <w:rPr>
                <w:sz w:val="20"/>
                <w:szCs w:val="20"/>
                <w:color w:val="auto"/>
              </w:rPr>
            </w:pPr>
            <w:r>
              <w:rPr>
                <w:rFonts w:ascii="Arial" w:cs="Arial" w:eastAsia="Arial" w:hAnsi="Arial"/>
                <w:sz w:val="9"/>
                <w:szCs w:val="9"/>
                <w:color w:val="auto"/>
              </w:rPr>
              <w:t>Billions of BOE*</w:t>
            </w:r>
          </w:p>
        </w:tc>
        <w:tc>
          <w:tcPr>
            <w:tcW w:w="1200" w:type="dxa"/>
            <w:vAlign w:val="bottom"/>
          </w:tcPr>
          <w:p>
            <w:pPr>
              <w:spacing w:after="0"/>
              <w:rPr>
                <w:sz w:val="8"/>
                <w:szCs w:val="8"/>
                <w:color w:val="auto"/>
              </w:rPr>
            </w:pPr>
          </w:p>
        </w:tc>
        <w:tc>
          <w:tcPr>
            <w:tcW w:w="1580" w:type="dxa"/>
            <w:vAlign w:val="bottom"/>
          </w:tcPr>
          <w:p>
            <w:pPr>
              <w:spacing w:after="0"/>
              <w:rPr>
                <w:sz w:val="8"/>
                <w:szCs w:val="8"/>
                <w:color w:val="auto"/>
              </w:rPr>
            </w:pPr>
          </w:p>
        </w:tc>
      </w:tr>
      <w:tr>
        <w:trPr>
          <w:trHeight w:val="117"/>
        </w:trPr>
        <w:tc>
          <w:tcPr>
            <w:tcW w:w="1020" w:type="dxa"/>
            <w:vAlign w:val="bottom"/>
          </w:tcPr>
          <w:p>
            <w:pPr>
              <w:ind w:left="20"/>
              <w:spacing w:after="0"/>
              <w:rPr>
                <w:sz w:val="20"/>
                <w:szCs w:val="20"/>
                <w:color w:val="auto"/>
              </w:rPr>
            </w:pPr>
            <w:r>
              <w:rPr>
                <w:rFonts w:ascii="Arial" w:cs="Arial" w:eastAsia="Arial" w:hAnsi="Arial"/>
                <w:sz w:val="9"/>
                <w:szCs w:val="9"/>
                <w:color w:val="auto"/>
              </w:rPr>
              <w:t>per day</w:t>
            </w:r>
          </w:p>
        </w:tc>
        <w:tc>
          <w:tcPr>
            <w:tcW w:w="1200" w:type="dxa"/>
            <w:vAlign w:val="bottom"/>
          </w:tcPr>
          <w:p>
            <w:pPr>
              <w:spacing w:after="0"/>
              <w:rPr>
                <w:sz w:val="10"/>
                <w:szCs w:val="10"/>
                <w:color w:val="auto"/>
              </w:rPr>
            </w:pPr>
          </w:p>
        </w:tc>
        <w:tc>
          <w:tcPr>
            <w:tcW w:w="1020" w:type="dxa"/>
            <w:vAlign w:val="bottom"/>
          </w:tcPr>
          <w:p>
            <w:pPr>
              <w:ind w:left="20"/>
              <w:spacing w:after="0"/>
              <w:rPr>
                <w:sz w:val="20"/>
                <w:szCs w:val="20"/>
                <w:color w:val="auto"/>
              </w:rPr>
            </w:pPr>
            <w:r>
              <w:rPr>
                <w:rFonts w:ascii="Arial" w:cs="Arial" w:eastAsia="Arial" w:hAnsi="Arial"/>
                <w:sz w:val="9"/>
                <w:szCs w:val="9"/>
                <w:color w:val="auto"/>
              </w:rPr>
              <w:t>per day</w:t>
            </w:r>
          </w:p>
        </w:tc>
        <w:tc>
          <w:tcPr>
            <w:tcW w:w="1180" w:type="dxa"/>
            <w:vAlign w:val="bottom"/>
          </w:tcPr>
          <w:p>
            <w:pPr>
              <w:spacing w:after="0"/>
              <w:rPr>
                <w:sz w:val="10"/>
                <w:szCs w:val="10"/>
                <w:color w:val="auto"/>
              </w:rPr>
            </w:pPr>
          </w:p>
        </w:tc>
        <w:tc>
          <w:tcPr>
            <w:tcW w:w="1020" w:type="dxa"/>
            <w:vAlign w:val="bottom"/>
          </w:tcPr>
          <w:p>
            <w:pPr>
              <w:ind w:left="20"/>
              <w:spacing w:after="0"/>
              <w:rPr>
                <w:sz w:val="20"/>
                <w:szCs w:val="20"/>
                <w:color w:val="auto"/>
              </w:rPr>
            </w:pPr>
            <w:r>
              <w:rPr>
                <w:rFonts w:ascii="Arial" w:cs="Arial" w:eastAsia="Arial" w:hAnsi="Arial"/>
                <w:sz w:val="9"/>
                <w:szCs w:val="9"/>
                <w:color w:val="auto"/>
              </w:rPr>
              <w:t>day</w:t>
            </w:r>
          </w:p>
        </w:tc>
        <w:tc>
          <w:tcPr>
            <w:tcW w:w="1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580" w:type="dxa"/>
            <w:vAlign w:val="bottom"/>
          </w:tcPr>
          <w:p>
            <w:pPr>
              <w:spacing w:after="0"/>
              <w:rPr>
                <w:sz w:val="10"/>
                <w:szCs w:val="10"/>
                <w:color w:val="auto"/>
              </w:rPr>
            </w:pPr>
          </w:p>
        </w:tc>
      </w:tr>
      <w:tr>
        <w:trPr>
          <w:trHeight w:val="67"/>
        </w:trPr>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580" w:type="dxa"/>
            <w:vAlign w:val="bottom"/>
            <w:tcBorders>
              <w:bottom w:val="single" w:sz="8" w:color="DBDCDD"/>
            </w:tcBorders>
          </w:tcPr>
          <w:p>
            <w:pPr>
              <w:spacing w:after="0"/>
              <w:rPr>
                <w:sz w:val="5"/>
                <w:szCs w:val="5"/>
                <w:color w:val="auto"/>
              </w:rPr>
            </w:pPr>
          </w:p>
        </w:tc>
      </w:tr>
      <w:tr>
        <w:trPr>
          <w:trHeight w:val="88"/>
        </w:trPr>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0" w:type="dxa"/>
            <w:vAlign w:val="bottom"/>
            <w:tcBorders>
              <w:bottom w:val="single" w:sz="8" w:color="DBDCDD"/>
            </w:tcBorders>
          </w:tcPr>
          <w:p>
            <w:pPr>
              <w:spacing w:after="0"/>
              <w:rPr>
                <w:sz w:val="7"/>
                <w:szCs w:val="7"/>
                <w:color w:val="auto"/>
              </w:rPr>
            </w:pPr>
          </w:p>
        </w:tc>
        <w:tc>
          <w:tcPr>
            <w:tcW w:w="1200" w:type="dxa"/>
            <w:vAlign w:val="bottom"/>
          </w:tcPr>
          <w:p>
            <w:pPr>
              <w:spacing w:after="0"/>
              <w:rPr>
                <w:sz w:val="7"/>
                <w:szCs w:val="7"/>
                <w:color w:val="auto"/>
              </w:rPr>
            </w:pPr>
          </w:p>
        </w:tc>
        <w:tc>
          <w:tcPr>
            <w:tcW w:w="1580" w:type="dxa"/>
            <w:vAlign w:val="bottom"/>
          </w:tcPr>
          <w:p>
            <w:pPr>
              <w:spacing w:after="0"/>
              <w:rPr>
                <w:sz w:val="7"/>
                <w:szCs w:val="7"/>
                <w:color w:val="auto"/>
              </w:rPr>
            </w:pPr>
          </w:p>
        </w:tc>
      </w:tr>
      <w:tr>
        <w:trPr>
          <w:trHeight w:val="61"/>
        </w:trPr>
        <w:tc>
          <w:tcPr>
            <w:tcW w:w="1020" w:type="dxa"/>
            <w:vAlign w:val="bottom"/>
            <w:tcBorders>
              <w:bottom w:val="single" w:sz="8" w:color="DBDCDD"/>
            </w:tcBorders>
          </w:tcPr>
          <w:p>
            <w:pPr>
              <w:spacing w:after="0"/>
              <w:rPr>
                <w:sz w:val="5"/>
                <w:szCs w:val="5"/>
                <w:color w:val="auto"/>
              </w:rPr>
            </w:pPr>
          </w:p>
        </w:tc>
        <w:tc>
          <w:tcPr>
            <w:tcW w:w="1200" w:type="dxa"/>
            <w:vAlign w:val="bottom"/>
          </w:tcPr>
          <w:p>
            <w:pPr>
              <w:spacing w:after="0"/>
              <w:rPr>
                <w:sz w:val="5"/>
                <w:szCs w:val="5"/>
                <w:color w:val="auto"/>
              </w:rPr>
            </w:pPr>
          </w:p>
        </w:tc>
        <w:tc>
          <w:tcPr>
            <w:tcW w:w="1020" w:type="dxa"/>
            <w:vAlign w:val="bottom"/>
            <w:tcBorders>
              <w:bottom w:val="single" w:sz="8" w:color="DBDCDD"/>
            </w:tcBorders>
          </w:tcPr>
          <w:p>
            <w:pPr>
              <w:spacing w:after="0"/>
              <w:rPr>
                <w:sz w:val="5"/>
                <w:szCs w:val="5"/>
                <w:color w:val="auto"/>
              </w:rPr>
            </w:pPr>
          </w:p>
        </w:tc>
        <w:tc>
          <w:tcPr>
            <w:tcW w:w="1180" w:type="dxa"/>
            <w:vAlign w:val="bottom"/>
          </w:tcPr>
          <w:p>
            <w:pPr>
              <w:spacing w:after="0"/>
              <w:rPr>
                <w:sz w:val="5"/>
                <w:szCs w:val="5"/>
                <w:color w:val="auto"/>
              </w:rPr>
            </w:pPr>
          </w:p>
        </w:tc>
        <w:tc>
          <w:tcPr>
            <w:tcW w:w="1020" w:type="dxa"/>
            <w:vAlign w:val="bottom"/>
            <w:tcBorders>
              <w:bottom w:val="single" w:sz="8" w:color="DBDCDD"/>
            </w:tcBorders>
          </w:tcPr>
          <w:p>
            <w:pPr>
              <w:spacing w:after="0"/>
              <w:rPr>
                <w:sz w:val="5"/>
                <w:szCs w:val="5"/>
                <w:color w:val="auto"/>
              </w:rPr>
            </w:pPr>
          </w:p>
        </w:tc>
        <w:tc>
          <w:tcPr>
            <w:tcW w:w="1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58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111125</wp:posOffset>
            </wp:positionV>
            <wp:extent cx="822960" cy="131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2960" cy="1311275"/>
                    </a:xfrm>
                    <a:prstGeom prst="rect">
                      <a:avLst/>
                    </a:prstGeom>
                    <a:noFill/>
                  </pic:spPr>
                </pic:pic>
              </a:graphicData>
            </a:graphic>
          </wp:anchor>
        </w:drawing>
        <w:drawing>
          <wp:anchor simplePos="0" relativeHeight="251657728" behindDoc="1" locked="0" layoutInCell="0" allowOverlap="1">
            <wp:simplePos x="0" y="0"/>
            <wp:positionH relativeFrom="column">
              <wp:posOffset>1423670</wp:posOffset>
            </wp:positionH>
            <wp:positionV relativeFrom="paragraph">
              <wp:posOffset>-8255</wp:posOffset>
            </wp:positionV>
            <wp:extent cx="5023485" cy="1431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023485" cy="143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Borders>
              <w:bottom w:val="single" w:sz="8" w:color="DBDCDD"/>
            </w:tcBorders>
          </w:tcPr>
          <w:p>
            <w:pPr>
              <w:spacing w:after="0"/>
              <w:rPr>
                <w:sz w:val="12"/>
                <w:szCs w:val="12"/>
                <w:color w:val="auto"/>
              </w:rPr>
            </w:pPr>
          </w:p>
        </w:tc>
        <w:tc>
          <w:tcPr>
            <w:tcW w:w="100" w:type="dxa"/>
            <w:vAlign w:val="bottom"/>
            <w:tcBorders>
              <w:bottom w:val="single" w:sz="8" w:color="DBDCDD"/>
            </w:tcBorders>
          </w:tcPr>
          <w:p>
            <w:pPr>
              <w:spacing w:after="0"/>
              <w:rPr>
                <w:sz w:val="12"/>
                <w:szCs w:val="12"/>
                <w:color w:val="auto"/>
              </w:rPr>
            </w:pPr>
          </w:p>
        </w:tc>
        <w:tc>
          <w:tcPr>
            <w:tcW w:w="820" w:type="dxa"/>
            <w:vAlign w:val="bottom"/>
            <w:tcBorders>
              <w:bottom w:val="single" w:sz="8" w:color="DBDCDD"/>
            </w:tcBorders>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Borders>
              <w:top w:val="single" w:sz="8" w:color="DBDCDD"/>
            </w:tcBorders>
          </w:tcPr>
          <w:p>
            <w:pPr>
              <w:spacing w:after="0"/>
              <w:rPr>
                <w:sz w:val="12"/>
                <w:szCs w:val="12"/>
                <w:color w:val="auto"/>
              </w:rPr>
            </w:pPr>
          </w:p>
        </w:tc>
        <w:tc>
          <w:tcPr>
            <w:tcW w:w="100" w:type="dxa"/>
            <w:vAlign w:val="bottom"/>
            <w:tcBorders>
              <w:top w:val="single" w:sz="8" w:color="DBDCDD"/>
              <w:bottom w:val="single" w:sz="8" w:color="E21836"/>
            </w:tcBorders>
          </w:tcPr>
          <w:p>
            <w:pPr>
              <w:spacing w:after="0"/>
              <w:rPr>
                <w:sz w:val="12"/>
                <w:szCs w:val="12"/>
                <w:color w:val="auto"/>
              </w:rPr>
            </w:pPr>
          </w:p>
        </w:tc>
        <w:tc>
          <w:tcPr>
            <w:tcW w:w="1320" w:type="dxa"/>
            <w:vAlign w:val="bottom"/>
            <w:tcBorders>
              <w:top w:val="single" w:sz="8" w:color="DBDCDD"/>
              <w:bottom w:val="single" w:sz="8" w:color="DBDCDD"/>
            </w:tcBorders>
          </w:tcPr>
          <w:p>
            <w:pPr>
              <w:ind w:left="180"/>
              <w:spacing w:after="0" w:line="95" w:lineRule="exact"/>
              <w:rPr>
                <w:sz w:val="20"/>
                <w:szCs w:val="20"/>
                <w:color w:val="auto"/>
              </w:rPr>
            </w:pPr>
            <w:r>
              <w:rPr>
                <w:rFonts w:ascii="Arial" w:cs="Arial" w:eastAsia="Arial" w:hAnsi="Arial"/>
                <w:sz w:val="9"/>
                <w:szCs w:val="9"/>
                <w:color w:val="auto"/>
              </w:rPr>
              <w:t>Natural gas</w:t>
            </w:r>
          </w:p>
        </w:tc>
        <w:tc>
          <w:tcPr>
            <w:tcW w:w="0" w:type="dxa"/>
            <w:vAlign w:val="bottom"/>
          </w:tcPr>
          <w:p>
            <w:pPr>
              <w:spacing w:after="0"/>
              <w:rPr>
                <w:sz w:val="1"/>
                <w:szCs w:val="1"/>
                <w:color w:val="auto"/>
              </w:rPr>
            </w:pPr>
          </w:p>
        </w:tc>
      </w:tr>
      <w:tr>
        <w:trPr>
          <w:trHeight w:val="88"/>
        </w:trPr>
        <w:tc>
          <w:tcPr>
            <w:tcW w:w="80" w:type="dxa"/>
            <w:vAlign w:val="bottom"/>
            <w:tcBorders>
              <w:bottom w:val="single" w:sz="8" w:color="DBDCDD"/>
            </w:tcBorders>
          </w:tcPr>
          <w:p>
            <w:pPr>
              <w:spacing w:after="0"/>
              <w:rPr>
                <w:sz w:val="7"/>
                <w:szCs w:val="7"/>
                <w:color w:val="auto"/>
              </w:rPr>
            </w:pPr>
          </w:p>
        </w:tc>
        <w:tc>
          <w:tcPr>
            <w:tcW w:w="100" w:type="dxa"/>
            <w:vAlign w:val="bottom"/>
            <w:tcBorders>
              <w:bottom w:val="single" w:sz="8" w:color="DBDCDD"/>
            </w:tcBorders>
          </w:tcPr>
          <w:p>
            <w:pPr>
              <w:spacing w:after="0"/>
              <w:rPr>
                <w:sz w:val="7"/>
                <w:szCs w:val="7"/>
                <w:color w:val="auto"/>
              </w:rPr>
            </w:pPr>
          </w:p>
        </w:tc>
        <w:tc>
          <w:tcPr>
            <w:tcW w:w="860" w:type="dxa"/>
            <w:vAlign w:val="bottom"/>
            <w:tcBorders>
              <w:bottom w:val="single" w:sz="8" w:color="DBDCDD"/>
            </w:tcBorders>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Borders>
              <w:bottom w:val="single" w:sz="8" w:color="DBDCDD"/>
            </w:tcBorders>
          </w:tcPr>
          <w:p>
            <w:pPr>
              <w:spacing w:after="0"/>
              <w:rPr>
                <w:sz w:val="7"/>
                <w:szCs w:val="7"/>
                <w:color w:val="auto"/>
              </w:rPr>
            </w:pPr>
          </w:p>
        </w:tc>
        <w:tc>
          <w:tcPr>
            <w:tcW w:w="100" w:type="dxa"/>
            <w:vAlign w:val="bottom"/>
            <w:tcBorders>
              <w:bottom w:val="single" w:sz="8" w:color="DBDCDD"/>
            </w:tcBorders>
          </w:tcPr>
          <w:p>
            <w:pPr>
              <w:spacing w:after="0"/>
              <w:rPr>
                <w:sz w:val="7"/>
                <w:szCs w:val="7"/>
                <w:color w:val="auto"/>
              </w:rPr>
            </w:pPr>
          </w:p>
        </w:tc>
        <w:tc>
          <w:tcPr>
            <w:tcW w:w="820" w:type="dxa"/>
            <w:vAlign w:val="bottom"/>
            <w:tcBorders>
              <w:bottom w:val="single" w:sz="8" w:color="DBDCDD"/>
            </w:tcBorders>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Borders>
              <w:bottom w:val="single" w:sz="8" w:color="DBDCDD"/>
            </w:tcBorders>
          </w:tcPr>
          <w:p>
            <w:pPr>
              <w:spacing w:after="0"/>
              <w:rPr>
                <w:sz w:val="7"/>
                <w:szCs w:val="7"/>
                <w:color w:val="auto"/>
              </w:rPr>
            </w:pPr>
          </w:p>
        </w:tc>
        <w:tc>
          <w:tcPr>
            <w:tcW w:w="100" w:type="dxa"/>
            <w:vAlign w:val="bottom"/>
            <w:tcBorders>
              <w:bottom w:val="single" w:sz="8" w:color="DBDCDD"/>
            </w:tcBorders>
          </w:tcPr>
          <w:p>
            <w:pPr>
              <w:spacing w:after="0"/>
              <w:rPr>
                <w:sz w:val="7"/>
                <w:szCs w:val="7"/>
                <w:color w:val="auto"/>
              </w:rPr>
            </w:pPr>
          </w:p>
        </w:tc>
        <w:tc>
          <w:tcPr>
            <w:tcW w:w="820" w:type="dxa"/>
            <w:vAlign w:val="bottom"/>
            <w:tcBorders>
              <w:bottom w:val="single" w:sz="8" w:color="DBDCDD"/>
            </w:tcBorders>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bottom w:val="single" w:sz="8" w:color="FAAB18"/>
            </w:tcBorders>
          </w:tcPr>
          <w:p>
            <w:pPr>
              <w:spacing w:after="0"/>
              <w:rPr>
                <w:sz w:val="7"/>
                <w:szCs w:val="7"/>
                <w:color w:val="auto"/>
              </w:rPr>
            </w:pPr>
          </w:p>
        </w:tc>
        <w:tc>
          <w:tcPr>
            <w:tcW w:w="820" w:type="dxa"/>
            <w:vAlign w:val="bottom"/>
          </w:tcPr>
          <w:p>
            <w:pPr>
              <w:ind w:left="120"/>
              <w:spacing w:after="0" w:line="68" w:lineRule="exact"/>
              <w:rPr>
                <w:sz w:val="20"/>
                <w:szCs w:val="20"/>
                <w:color w:val="auto"/>
              </w:rPr>
            </w:pPr>
            <w:r>
              <w:rPr>
                <w:rFonts w:ascii="Arial" w:cs="Arial" w:eastAsia="Arial" w:hAnsi="Arial"/>
                <w:sz w:val="7"/>
                <w:szCs w:val="7"/>
                <w:color w:val="auto"/>
              </w:rPr>
              <w:t>Affiliates</w:t>
            </w: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Pr>
          <w:p>
            <w:pPr>
              <w:ind w:left="180"/>
              <w:spacing w:after="0" w:line="88" w:lineRule="exact"/>
              <w:rPr>
                <w:sz w:val="20"/>
                <w:szCs w:val="20"/>
                <w:color w:val="auto"/>
              </w:rPr>
            </w:pPr>
            <w:r>
              <w:rPr>
                <w:rFonts w:ascii="Arial" w:cs="Arial" w:eastAsia="Arial" w:hAnsi="Arial"/>
                <w:sz w:val="9"/>
                <w:szCs w:val="9"/>
                <w:color w:val="auto"/>
              </w:rPr>
              <w:t>Natural gas liquids</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00" w:type="dxa"/>
            <w:vAlign w:val="bottom"/>
            <w:tcBorders>
              <w:bottom w:val="single" w:sz="8" w:color="FAAB18"/>
            </w:tcBorders>
            <w:shd w:val="clear" w:color="auto" w:fill="FAAB18"/>
          </w:tcPr>
          <w:p>
            <w:pPr>
              <w:spacing w:after="0"/>
              <w:rPr>
                <w:sz w:val="3"/>
                <w:szCs w:val="3"/>
                <w:color w:val="auto"/>
              </w:rPr>
            </w:pPr>
          </w:p>
        </w:tc>
        <w:tc>
          <w:tcPr>
            <w:tcW w:w="860" w:type="dxa"/>
            <w:vAlign w:val="bottom"/>
          </w:tcPr>
          <w:p>
            <w:pPr>
              <w:ind w:left="120"/>
              <w:spacing w:after="0" w:line="41" w:lineRule="exact"/>
              <w:rPr>
                <w:sz w:val="20"/>
                <w:szCs w:val="20"/>
                <w:color w:val="auto"/>
              </w:rPr>
            </w:pPr>
            <w:r>
              <w:rPr>
                <w:rFonts w:ascii="Arial" w:cs="Arial" w:eastAsia="Arial" w:hAnsi="Arial"/>
                <w:sz w:val="4"/>
                <w:szCs w:val="4"/>
                <w:color w:val="auto"/>
              </w:rPr>
              <w:t>Affiliates</w:t>
            </w: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FAAB18"/>
            </w:tcBorders>
            <w:shd w:val="clear" w:color="auto" w:fill="FAAB18"/>
          </w:tcPr>
          <w:p>
            <w:pPr>
              <w:spacing w:after="0"/>
              <w:rPr>
                <w:sz w:val="3"/>
                <w:szCs w:val="3"/>
                <w:color w:val="auto"/>
              </w:rPr>
            </w:pPr>
          </w:p>
        </w:tc>
        <w:tc>
          <w:tcPr>
            <w:tcW w:w="820" w:type="dxa"/>
            <w:vAlign w:val="bottom"/>
          </w:tcPr>
          <w:p>
            <w:pPr>
              <w:ind w:left="120"/>
              <w:spacing w:after="0" w:line="41" w:lineRule="exact"/>
              <w:rPr>
                <w:sz w:val="20"/>
                <w:szCs w:val="20"/>
                <w:color w:val="auto"/>
              </w:rPr>
            </w:pPr>
            <w:r>
              <w:rPr>
                <w:rFonts w:ascii="Arial" w:cs="Arial" w:eastAsia="Arial" w:hAnsi="Arial"/>
                <w:sz w:val="4"/>
                <w:szCs w:val="4"/>
                <w:color w:val="auto"/>
              </w:rPr>
              <w:t>Affiliates</w:t>
            </w: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FAAB18"/>
            </w:tcBorders>
            <w:shd w:val="clear" w:color="auto" w:fill="FAAB18"/>
          </w:tcPr>
          <w:p>
            <w:pPr>
              <w:spacing w:after="0"/>
              <w:rPr>
                <w:sz w:val="3"/>
                <w:szCs w:val="3"/>
                <w:color w:val="auto"/>
              </w:rPr>
            </w:pPr>
          </w:p>
        </w:tc>
        <w:tc>
          <w:tcPr>
            <w:tcW w:w="820" w:type="dxa"/>
            <w:vAlign w:val="bottom"/>
          </w:tcPr>
          <w:p>
            <w:pPr>
              <w:ind w:left="120"/>
              <w:spacing w:after="0" w:line="41" w:lineRule="exact"/>
              <w:rPr>
                <w:sz w:val="20"/>
                <w:szCs w:val="20"/>
                <w:color w:val="auto"/>
              </w:rPr>
            </w:pPr>
            <w:r>
              <w:rPr>
                <w:rFonts w:ascii="Arial" w:cs="Arial" w:eastAsia="Arial" w:hAnsi="Arial"/>
                <w:sz w:val="4"/>
                <w:szCs w:val="4"/>
                <w:color w:val="auto"/>
              </w:rPr>
              <w:t>Affiliates</w:t>
            </w: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top w:val="single" w:sz="8" w:color="FAAB18"/>
            </w:tcBorders>
          </w:tcPr>
          <w:p>
            <w:pPr>
              <w:spacing w:after="0"/>
              <w:rPr>
                <w:sz w:val="3"/>
                <w:szCs w:val="3"/>
                <w:color w:val="auto"/>
              </w:rPr>
            </w:pPr>
          </w:p>
        </w:tc>
        <w:tc>
          <w:tcPr>
            <w:tcW w:w="820" w:type="dxa"/>
            <w:vAlign w:val="bottom"/>
            <w:vMerge w:val="restart"/>
          </w:tcPr>
          <w:p>
            <w:pPr>
              <w:ind w:left="120"/>
              <w:spacing w:after="0"/>
              <w:rPr>
                <w:sz w:val="20"/>
                <w:szCs w:val="20"/>
                <w:color w:val="auto"/>
              </w:rPr>
            </w:pPr>
            <w:r>
              <w:rPr>
                <w:rFonts w:ascii="Arial" w:cs="Arial" w:eastAsia="Arial" w:hAnsi="Arial"/>
                <w:sz w:val="9"/>
                <w:szCs w:val="9"/>
                <w:color w:val="auto"/>
              </w:rPr>
              <w:t>Europe</w:t>
            </w: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top w:val="single" w:sz="8" w:color="B2CC34"/>
              <w:bottom w:val="single" w:sz="8" w:color="B2CC34"/>
            </w:tcBorders>
            <w:shd w:val="clear" w:color="auto" w:fill="B2CC34"/>
          </w:tcPr>
          <w:p>
            <w:pPr>
              <w:spacing w:after="0"/>
              <w:rPr>
                <w:sz w:val="3"/>
                <w:szCs w:val="3"/>
                <w:color w:val="auto"/>
              </w:rPr>
            </w:pPr>
          </w:p>
        </w:tc>
        <w:tc>
          <w:tcPr>
            <w:tcW w:w="1320" w:type="dxa"/>
            <w:vAlign w:val="bottom"/>
            <w:vMerge w:val="restart"/>
          </w:tcPr>
          <w:p>
            <w:pPr>
              <w:ind w:left="180"/>
              <w:spacing w:after="0"/>
              <w:rPr>
                <w:sz w:val="20"/>
                <w:szCs w:val="20"/>
                <w:color w:val="auto"/>
              </w:rPr>
            </w:pPr>
            <w:r>
              <w:rPr>
                <w:rFonts w:ascii="Arial" w:cs="Arial" w:eastAsia="Arial" w:hAnsi="Arial"/>
                <w:sz w:val="9"/>
                <w:szCs w:val="9"/>
                <w:color w:val="auto"/>
              </w:rPr>
              <w:t>Crude oil</w:t>
            </w: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100" w:type="dxa"/>
            <w:vAlign w:val="bottom"/>
            <w:tcBorders>
              <w:bottom w:val="single" w:sz="8" w:color="FAAB18"/>
            </w:tcBorders>
            <w:shd w:val="clear" w:color="auto" w:fill="FAAB18"/>
          </w:tcPr>
          <w:p>
            <w:pPr>
              <w:spacing w:after="0"/>
              <w:rPr>
                <w:sz w:val="9"/>
                <w:szCs w:val="9"/>
                <w:color w:val="auto"/>
              </w:rPr>
            </w:pPr>
          </w:p>
        </w:tc>
        <w:tc>
          <w:tcPr>
            <w:tcW w:w="860" w:type="dxa"/>
            <w:vAlign w:val="bottom"/>
          </w:tcPr>
          <w:p>
            <w:pPr>
              <w:ind w:left="120"/>
              <w:spacing w:after="0"/>
              <w:rPr>
                <w:sz w:val="20"/>
                <w:szCs w:val="20"/>
                <w:color w:val="auto"/>
              </w:rPr>
            </w:pPr>
            <w:r>
              <w:rPr>
                <w:rFonts w:ascii="Arial" w:cs="Arial" w:eastAsia="Arial" w:hAnsi="Arial"/>
                <w:sz w:val="9"/>
                <w:szCs w:val="9"/>
                <w:color w:val="auto"/>
              </w:rPr>
              <w:t>Europe</w:t>
            </w: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FAAB18"/>
            </w:tcBorders>
            <w:shd w:val="clear" w:color="auto" w:fill="FAAB18"/>
          </w:tcPr>
          <w:p>
            <w:pPr>
              <w:spacing w:after="0"/>
              <w:rPr>
                <w:sz w:val="9"/>
                <w:szCs w:val="9"/>
                <w:color w:val="auto"/>
              </w:rPr>
            </w:pPr>
          </w:p>
        </w:tc>
        <w:tc>
          <w:tcPr>
            <w:tcW w:w="820" w:type="dxa"/>
            <w:vAlign w:val="bottom"/>
          </w:tcPr>
          <w:p>
            <w:pPr>
              <w:ind w:left="120"/>
              <w:spacing w:after="0"/>
              <w:rPr>
                <w:sz w:val="20"/>
                <w:szCs w:val="20"/>
                <w:color w:val="auto"/>
              </w:rPr>
            </w:pPr>
            <w:r>
              <w:rPr>
                <w:rFonts w:ascii="Arial" w:cs="Arial" w:eastAsia="Arial" w:hAnsi="Arial"/>
                <w:sz w:val="9"/>
                <w:szCs w:val="9"/>
                <w:color w:val="auto"/>
              </w:rPr>
              <w:t>Europe</w:t>
            </w: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FAAB18"/>
            </w:tcBorders>
            <w:shd w:val="clear" w:color="auto" w:fill="FAAB18"/>
          </w:tcPr>
          <w:p>
            <w:pPr>
              <w:spacing w:after="0"/>
              <w:rPr>
                <w:sz w:val="9"/>
                <w:szCs w:val="9"/>
                <w:color w:val="auto"/>
              </w:rPr>
            </w:pPr>
          </w:p>
        </w:tc>
        <w:tc>
          <w:tcPr>
            <w:tcW w:w="820" w:type="dxa"/>
            <w:vAlign w:val="bottom"/>
          </w:tcPr>
          <w:p>
            <w:pPr>
              <w:ind w:left="120"/>
              <w:spacing w:after="0"/>
              <w:rPr>
                <w:sz w:val="20"/>
                <w:szCs w:val="20"/>
                <w:color w:val="auto"/>
              </w:rPr>
            </w:pPr>
            <w:r>
              <w:rPr>
                <w:rFonts w:ascii="Arial" w:cs="Arial" w:eastAsia="Arial" w:hAnsi="Arial"/>
                <w:sz w:val="9"/>
                <w:szCs w:val="9"/>
                <w:color w:val="auto"/>
              </w:rPr>
              <w:t>Europe</w:t>
            </w: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444B0D"/>
            </w:tcBorders>
          </w:tcPr>
          <w:p>
            <w:pPr>
              <w:spacing w:after="0"/>
              <w:rPr>
                <w:sz w:val="9"/>
                <w:szCs w:val="9"/>
                <w:color w:val="auto"/>
              </w:rPr>
            </w:pPr>
          </w:p>
        </w:tc>
        <w:tc>
          <w:tcPr>
            <w:tcW w:w="82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769231"/>
            </w:tcBorders>
          </w:tcPr>
          <w:p>
            <w:pPr>
              <w:spacing w:after="0"/>
              <w:rPr>
                <w:sz w:val="9"/>
                <w:szCs w:val="9"/>
                <w:color w:val="auto"/>
              </w:rPr>
            </w:pP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0" w:type="dxa"/>
            <w:vAlign w:val="bottom"/>
            <w:tcBorders>
              <w:top w:val="single" w:sz="8" w:color="444B0D"/>
            </w:tcBorders>
            <w:shd w:val="clear" w:color="auto" w:fill="444B0D"/>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444B0D"/>
            </w:tcBorders>
            <w:shd w:val="clear" w:color="auto" w:fill="444B0D"/>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444B0D"/>
            </w:tcBorders>
            <w:shd w:val="clear" w:color="auto" w:fill="444B0D"/>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vMerge w:val="restart"/>
          </w:tcPr>
          <w:p>
            <w:pPr>
              <w:ind w:left="120"/>
              <w:spacing w:after="0" w:line="82" w:lineRule="exact"/>
              <w:rPr>
                <w:sz w:val="20"/>
                <w:szCs w:val="20"/>
                <w:color w:val="auto"/>
              </w:rPr>
            </w:pPr>
            <w:r>
              <w:rPr>
                <w:rFonts w:ascii="Arial" w:cs="Arial" w:eastAsia="Arial" w:hAnsi="Arial"/>
                <w:sz w:val="9"/>
                <w:szCs w:val="9"/>
                <w:color w:val="auto"/>
              </w:rPr>
              <w:t>Australia</w:t>
            </w: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769231"/>
            </w:tcBorders>
            <w:shd w:val="clear" w:color="auto" w:fill="769231"/>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0" w:type="dxa"/>
            <w:vAlign w:val="bottom"/>
          </w:tcPr>
          <w:p>
            <w:pPr>
              <w:spacing w:after="0"/>
              <w:rPr>
                <w:sz w:val="12"/>
                <w:szCs w:val="12"/>
                <w:color w:val="auto"/>
              </w:rPr>
            </w:pPr>
          </w:p>
        </w:tc>
        <w:tc>
          <w:tcPr>
            <w:tcW w:w="100" w:type="dxa"/>
            <w:vAlign w:val="bottom"/>
            <w:tcBorders>
              <w:bottom w:val="single" w:sz="8" w:color="444B0D"/>
            </w:tcBorders>
            <w:shd w:val="clear" w:color="auto" w:fill="444B0D"/>
          </w:tcPr>
          <w:p>
            <w:pPr>
              <w:spacing w:after="0"/>
              <w:rPr>
                <w:sz w:val="12"/>
                <w:szCs w:val="12"/>
                <w:color w:val="auto"/>
              </w:rPr>
            </w:pPr>
          </w:p>
        </w:tc>
        <w:tc>
          <w:tcPr>
            <w:tcW w:w="860" w:type="dxa"/>
            <w:vAlign w:val="bottom"/>
          </w:tcPr>
          <w:p>
            <w:pPr>
              <w:ind w:left="120"/>
              <w:spacing w:after="0"/>
              <w:rPr>
                <w:sz w:val="20"/>
                <w:szCs w:val="20"/>
                <w:color w:val="auto"/>
              </w:rPr>
            </w:pPr>
            <w:r>
              <w:rPr>
                <w:rFonts w:ascii="Arial" w:cs="Arial" w:eastAsia="Arial" w:hAnsi="Arial"/>
                <w:sz w:val="9"/>
                <w:szCs w:val="9"/>
                <w:color w:val="auto"/>
              </w:rPr>
              <w:t>Australia</w:t>
            </w: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444B0D"/>
            </w:tcBorders>
            <w:shd w:val="clear" w:color="auto" w:fill="444B0D"/>
          </w:tcPr>
          <w:p>
            <w:pPr>
              <w:spacing w:after="0"/>
              <w:rPr>
                <w:sz w:val="12"/>
                <w:szCs w:val="12"/>
                <w:color w:val="auto"/>
              </w:rPr>
            </w:pPr>
          </w:p>
        </w:tc>
        <w:tc>
          <w:tcPr>
            <w:tcW w:w="820" w:type="dxa"/>
            <w:vAlign w:val="bottom"/>
          </w:tcPr>
          <w:p>
            <w:pPr>
              <w:ind w:left="120"/>
              <w:spacing w:after="0"/>
              <w:rPr>
                <w:sz w:val="20"/>
                <w:szCs w:val="20"/>
                <w:color w:val="auto"/>
              </w:rPr>
            </w:pPr>
            <w:r>
              <w:rPr>
                <w:rFonts w:ascii="Arial" w:cs="Arial" w:eastAsia="Arial" w:hAnsi="Arial"/>
                <w:sz w:val="9"/>
                <w:szCs w:val="9"/>
                <w:color w:val="auto"/>
              </w:rPr>
              <w:t>Australia</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444B0D"/>
            </w:tcBorders>
            <w:shd w:val="clear" w:color="auto" w:fill="444B0D"/>
          </w:tcPr>
          <w:p>
            <w:pPr>
              <w:spacing w:after="0"/>
              <w:rPr>
                <w:sz w:val="12"/>
                <w:szCs w:val="12"/>
                <w:color w:val="auto"/>
              </w:rPr>
            </w:pPr>
          </w:p>
        </w:tc>
        <w:tc>
          <w:tcPr>
            <w:tcW w:w="820" w:type="dxa"/>
            <w:vAlign w:val="bottom"/>
          </w:tcPr>
          <w:p>
            <w:pPr>
              <w:ind w:left="120"/>
              <w:spacing w:after="0"/>
              <w:rPr>
                <w:sz w:val="20"/>
                <w:szCs w:val="20"/>
                <w:color w:val="auto"/>
              </w:rPr>
            </w:pPr>
            <w:r>
              <w:rPr>
                <w:rFonts w:ascii="Arial" w:cs="Arial" w:eastAsia="Arial" w:hAnsi="Arial"/>
                <w:sz w:val="9"/>
                <w:szCs w:val="9"/>
                <w:color w:val="auto"/>
              </w:rPr>
              <w:t>Australia</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00B2BD"/>
            </w:tcBorders>
          </w:tcPr>
          <w:p>
            <w:pPr>
              <w:spacing w:after="0"/>
              <w:rPr>
                <w:sz w:val="12"/>
                <w:szCs w:val="12"/>
                <w:color w:val="auto"/>
              </w:rPr>
            </w:pPr>
          </w:p>
        </w:tc>
        <w:tc>
          <w:tcPr>
            <w:tcW w:w="82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1540" w:type="dxa"/>
            <w:vAlign w:val="bottom"/>
            <w:gridSpan w:val="3"/>
          </w:tcPr>
          <w:p>
            <w:pPr>
              <w:ind w:left="20"/>
              <w:spacing w:after="0"/>
              <w:rPr>
                <w:sz w:val="20"/>
                <w:szCs w:val="20"/>
                <w:color w:val="auto"/>
              </w:rPr>
            </w:pPr>
            <w:r>
              <w:rPr>
                <w:rFonts w:ascii="Arial" w:cs="Arial" w:eastAsia="Arial" w:hAnsi="Arial"/>
                <w:sz w:val="9"/>
                <w:szCs w:val="9"/>
                <w:color w:val="auto"/>
              </w:rPr>
              <w:t>*barrels of oil-equivalent</w:t>
            </w:r>
          </w:p>
        </w:tc>
        <w:tc>
          <w:tcPr>
            <w:tcW w:w="0" w:type="dxa"/>
            <w:vAlign w:val="bottom"/>
          </w:tcPr>
          <w:p>
            <w:pPr>
              <w:spacing w:after="0"/>
              <w:rPr>
                <w:sz w:val="1"/>
                <w:szCs w:val="1"/>
                <w:color w:val="auto"/>
              </w:rPr>
            </w:pPr>
          </w:p>
        </w:tc>
      </w:tr>
      <w:tr>
        <w:trPr>
          <w:trHeight w:val="133"/>
        </w:trPr>
        <w:tc>
          <w:tcPr>
            <w:tcW w:w="80" w:type="dxa"/>
            <w:vAlign w:val="bottom"/>
          </w:tcPr>
          <w:p>
            <w:pPr>
              <w:spacing w:after="0"/>
              <w:rPr>
                <w:sz w:val="11"/>
                <w:szCs w:val="11"/>
                <w:color w:val="auto"/>
              </w:rPr>
            </w:pPr>
          </w:p>
        </w:tc>
        <w:tc>
          <w:tcPr>
            <w:tcW w:w="100" w:type="dxa"/>
            <w:vAlign w:val="bottom"/>
            <w:tcBorders>
              <w:top w:val="single" w:sz="8" w:color="00B2BD"/>
              <w:bottom w:val="single" w:sz="8" w:color="769231"/>
            </w:tcBorders>
          </w:tcPr>
          <w:p>
            <w:pPr>
              <w:spacing w:after="0"/>
              <w:rPr>
                <w:sz w:val="11"/>
                <w:szCs w:val="11"/>
                <w:color w:val="auto"/>
              </w:rPr>
            </w:pPr>
          </w:p>
        </w:tc>
        <w:tc>
          <w:tcPr>
            <w:tcW w:w="860" w:type="dxa"/>
            <w:vAlign w:val="bottom"/>
          </w:tcPr>
          <w:p>
            <w:pPr>
              <w:ind w:left="120"/>
              <w:spacing w:after="0"/>
              <w:rPr>
                <w:sz w:val="20"/>
                <w:szCs w:val="20"/>
                <w:color w:val="auto"/>
              </w:rPr>
            </w:pPr>
            <w:r>
              <w:rPr>
                <w:rFonts w:ascii="Arial" w:cs="Arial" w:eastAsia="Arial" w:hAnsi="Arial"/>
                <w:sz w:val="9"/>
                <w:szCs w:val="9"/>
                <w:color w:val="auto"/>
              </w:rPr>
              <w:t>Asia</w:t>
            </w: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00B2BD"/>
              <w:bottom w:val="single" w:sz="8" w:color="769231"/>
            </w:tcBorders>
          </w:tcPr>
          <w:p>
            <w:pPr>
              <w:spacing w:after="0"/>
              <w:rPr>
                <w:sz w:val="11"/>
                <w:szCs w:val="11"/>
                <w:color w:val="auto"/>
              </w:rPr>
            </w:pPr>
          </w:p>
        </w:tc>
        <w:tc>
          <w:tcPr>
            <w:tcW w:w="820" w:type="dxa"/>
            <w:vAlign w:val="bottom"/>
          </w:tcPr>
          <w:p>
            <w:pPr>
              <w:ind w:left="120"/>
              <w:spacing w:after="0"/>
              <w:rPr>
                <w:sz w:val="20"/>
                <w:szCs w:val="20"/>
                <w:color w:val="auto"/>
              </w:rPr>
            </w:pPr>
            <w:r>
              <w:rPr>
                <w:rFonts w:ascii="Arial" w:cs="Arial" w:eastAsia="Arial" w:hAnsi="Arial"/>
                <w:sz w:val="9"/>
                <w:szCs w:val="9"/>
                <w:color w:val="auto"/>
              </w:rPr>
              <w:t>Asia</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00B2BD"/>
              <w:bottom w:val="single" w:sz="8" w:color="769231"/>
            </w:tcBorders>
          </w:tcPr>
          <w:p>
            <w:pPr>
              <w:spacing w:after="0"/>
              <w:rPr>
                <w:sz w:val="11"/>
                <w:szCs w:val="11"/>
                <w:color w:val="auto"/>
              </w:rPr>
            </w:pPr>
          </w:p>
        </w:tc>
        <w:tc>
          <w:tcPr>
            <w:tcW w:w="820" w:type="dxa"/>
            <w:vAlign w:val="bottom"/>
          </w:tcPr>
          <w:p>
            <w:pPr>
              <w:ind w:left="120"/>
              <w:spacing w:after="0"/>
              <w:rPr>
                <w:sz w:val="20"/>
                <w:szCs w:val="20"/>
                <w:color w:val="auto"/>
              </w:rPr>
            </w:pPr>
            <w:r>
              <w:rPr>
                <w:rFonts w:ascii="Arial" w:cs="Arial" w:eastAsia="Arial" w:hAnsi="Arial"/>
                <w:sz w:val="9"/>
                <w:szCs w:val="9"/>
                <w:color w:val="auto"/>
              </w:rPr>
              <w:t>Asia</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769231"/>
              <w:bottom w:val="single" w:sz="8" w:color="769231"/>
            </w:tcBorders>
            <w:shd w:val="clear" w:color="auto" w:fill="769231"/>
          </w:tcPr>
          <w:p>
            <w:pPr>
              <w:spacing w:after="0"/>
              <w:rPr>
                <w:sz w:val="11"/>
                <w:szCs w:val="11"/>
                <w:color w:val="auto"/>
              </w:rPr>
            </w:pPr>
          </w:p>
        </w:tc>
        <w:tc>
          <w:tcPr>
            <w:tcW w:w="820" w:type="dxa"/>
            <w:vAlign w:val="bottom"/>
          </w:tcPr>
          <w:p>
            <w:pPr>
              <w:ind w:left="120"/>
              <w:spacing w:after="0" w:line="42" w:lineRule="exact"/>
              <w:rPr>
                <w:sz w:val="20"/>
                <w:szCs w:val="20"/>
                <w:color w:val="auto"/>
              </w:rPr>
            </w:pPr>
            <w:r>
              <w:rPr>
                <w:rFonts w:ascii="Arial" w:cs="Arial" w:eastAsia="Arial" w:hAnsi="Arial"/>
                <w:sz w:val="4"/>
                <w:szCs w:val="4"/>
                <w:color w:val="auto"/>
              </w:rPr>
              <w:t>Asia</w:t>
            </w: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0" w:type="dxa"/>
            <w:vAlign w:val="bottom"/>
          </w:tcPr>
          <w:p>
            <w:pPr>
              <w:spacing w:after="0"/>
              <w:rPr>
                <w:sz w:val="11"/>
                <w:szCs w:val="11"/>
                <w:color w:val="auto"/>
              </w:rPr>
            </w:pPr>
          </w:p>
        </w:tc>
        <w:tc>
          <w:tcPr>
            <w:tcW w:w="100" w:type="dxa"/>
            <w:vAlign w:val="bottom"/>
            <w:tcBorders>
              <w:top w:val="single" w:sz="8" w:color="769231"/>
              <w:bottom w:val="single" w:sz="8" w:color="B2CC34"/>
            </w:tcBorders>
          </w:tcPr>
          <w:p>
            <w:pPr>
              <w:spacing w:after="0"/>
              <w:rPr>
                <w:sz w:val="11"/>
                <w:szCs w:val="11"/>
                <w:color w:val="auto"/>
              </w:rPr>
            </w:pPr>
          </w:p>
        </w:tc>
        <w:tc>
          <w:tcPr>
            <w:tcW w:w="860" w:type="dxa"/>
            <w:vAlign w:val="bottom"/>
          </w:tcPr>
          <w:p>
            <w:pPr>
              <w:ind w:left="120"/>
              <w:spacing w:after="0"/>
              <w:rPr>
                <w:sz w:val="20"/>
                <w:szCs w:val="20"/>
                <w:color w:val="auto"/>
              </w:rPr>
            </w:pPr>
            <w:r>
              <w:rPr>
                <w:rFonts w:ascii="Arial" w:cs="Arial" w:eastAsia="Arial" w:hAnsi="Arial"/>
                <w:sz w:val="9"/>
                <w:szCs w:val="9"/>
                <w:color w:val="auto"/>
              </w:rPr>
              <w:t>Africa</w:t>
            </w: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769231"/>
              <w:bottom w:val="single" w:sz="8" w:color="B2CC34"/>
            </w:tcBorders>
          </w:tcPr>
          <w:p>
            <w:pPr>
              <w:spacing w:after="0"/>
              <w:rPr>
                <w:sz w:val="11"/>
                <w:szCs w:val="11"/>
                <w:color w:val="auto"/>
              </w:rPr>
            </w:pPr>
          </w:p>
        </w:tc>
        <w:tc>
          <w:tcPr>
            <w:tcW w:w="820" w:type="dxa"/>
            <w:vAlign w:val="bottom"/>
          </w:tcPr>
          <w:p>
            <w:pPr>
              <w:ind w:left="120"/>
              <w:spacing w:after="0"/>
              <w:rPr>
                <w:sz w:val="20"/>
                <w:szCs w:val="20"/>
                <w:color w:val="auto"/>
              </w:rPr>
            </w:pPr>
            <w:r>
              <w:rPr>
                <w:rFonts w:ascii="Arial" w:cs="Arial" w:eastAsia="Arial" w:hAnsi="Arial"/>
                <w:sz w:val="9"/>
                <w:szCs w:val="9"/>
                <w:color w:val="auto"/>
              </w:rPr>
              <w:t>Africa</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769231"/>
              <w:bottom w:val="single" w:sz="8" w:color="B2CC34"/>
            </w:tcBorders>
          </w:tcPr>
          <w:p>
            <w:pPr>
              <w:spacing w:after="0"/>
              <w:rPr>
                <w:sz w:val="11"/>
                <w:szCs w:val="11"/>
                <w:color w:val="auto"/>
              </w:rPr>
            </w:pPr>
          </w:p>
        </w:tc>
        <w:tc>
          <w:tcPr>
            <w:tcW w:w="820" w:type="dxa"/>
            <w:vAlign w:val="bottom"/>
          </w:tcPr>
          <w:p>
            <w:pPr>
              <w:ind w:left="120"/>
              <w:spacing w:after="0"/>
              <w:rPr>
                <w:sz w:val="20"/>
                <w:szCs w:val="20"/>
                <w:color w:val="auto"/>
              </w:rPr>
            </w:pPr>
            <w:r>
              <w:rPr>
                <w:rFonts w:ascii="Arial" w:cs="Arial" w:eastAsia="Arial" w:hAnsi="Arial"/>
                <w:sz w:val="9"/>
                <w:szCs w:val="9"/>
                <w:color w:val="auto"/>
              </w:rPr>
              <w:t>Africa</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B2CC34"/>
              <w:bottom w:val="single" w:sz="8" w:color="B2CC34"/>
            </w:tcBorders>
            <w:shd w:val="clear" w:color="auto" w:fill="B2CC34"/>
          </w:tcPr>
          <w:p>
            <w:pPr>
              <w:spacing w:after="0"/>
              <w:rPr>
                <w:sz w:val="11"/>
                <w:szCs w:val="11"/>
                <w:color w:val="auto"/>
              </w:rPr>
            </w:pPr>
          </w:p>
        </w:tc>
        <w:tc>
          <w:tcPr>
            <w:tcW w:w="820" w:type="dxa"/>
            <w:vAlign w:val="bottom"/>
          </w:tcPr>
          <w:p>
            <w:pPr>
              <w:ind w:left="120"/>
              <w:spacing w:after="0" w:line="42" w:lineRule="exact"/>
              <w:rPr>
                <w:sz w:val="20"/>
                <w:szCs w:val="20"/>
                <w:color w:val="auto"/>
              </w:rPr>
            </w:pPr>
            <w:r>
              <w:rPr>
                <w:rFonts w:ascii="Arial" w:cs="Arial" w:eastAsia="Arial" w:hAnsi="Arial"/>
                <w:sz w:val="4"/>
                <w:szCs w:val="4"/>
                <w:color w:val="auto"/>
              </w:rPr>
              <w:t>Africa</w:t>
            </w: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0" w:type="dxa"/>
            <w:vAlign w:val="bottom"/>
          </w:tcPr>
          <w:p>
            <w:pPr>
              <w:spacing w:after="0"/>
              <w:rPr>
                <w:sz w:val="11"/>
                <w:szCs w:val="11"/>
                <w:color w:val="auto"/>
              </w:rPr>
            </w:pPr>
          </w:p>
        </w:tc>
        <w:tc>
          <w:tcPr>
            <w:tcW w:w="100" w:type="dxa"/>
            <w:vAlign w:val="bottom"/>
            <w:tcBorders>
              <w:top w:val="single" w:sz="8" w:color="B2CC34"/>
              <w:bottom w:val="single" w:sz="8" w:color="0B2D71"/>
            </w:tcBorders>
          </w:tcPr>
          <w:p>
            <w:pPr>
              <w:spacing w:after="0"/>
              <w:rPr>
                <w:sz w:val="11"/>
                <w:szCs w:val="11"/>
                <w:color w:val="auto"/>
              </w:rPr>
            </w:pPr>
          </w:p>
        </w:tc>
        <w:tc>
          <w:tcPr>
            <w:tcW w:w="860" w:type="dxa"/>
            <w:vAlign w:val="bottom"/>
          </w:tcPr>
          <w:p>
            <w:pPr>
              <w:ind w:left="120"/>
              <w:spacing w:after="0"/>
              <w:rPr>
                <w:sz w:val="20"/>
                <w:szCs w:val="20"/>
                <w:color w:val="auto"/>
              </w:rPr>
            </w:pPr>
            <w:r>
              <w:rPr>
                <w:rFonts w:ascii="Arial" w:cs="Arial" w:eastAsia="Arial" w:hAnsi="Arial"/>
                <w:sz w:val="9"/>
                <w:szCs w:val="9"/>
                <w:color w:val="auto"/>
              </w:rPr>
              <w:t>Other Americas</w:t>
            </w: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B2CC34"/>
              <w:bottom w:val="single" w:sz="8" w:color="0B2D71"/>
            </w:tcBorders>
          </w:tcPr>
          <w:p>
            <w:pPr>
              <w:spacing w:after="0"/>
              <w:rPr>
                <w:sz w:val="11"/>
                <w:szCs w:val="11"/>
                <w:color w:val="auto"/>
              </w:rPr>
            </w:pPr>
          </w:p>
        </w:tc>
        <w:tc>
          <w:tcPr>
            <w:tcW w:w="820" w:type="dxa"/>
            <w:vAlign w:val="bottom"/>
          </w:tcPr>
          <w:p>
            <w:pPr>
              <w:ind w:left="120"/>
              <w:spacing w:after="0"/>
              <w:rPr>
                <w:sz w:val="20"/>
                <w:szCs w:val="20"/>
                <w:color w:val="auto"/>
              </w:rPr>
            </w:pPr>
            <w:r>
              <w:rPr>
                <w:rFonts w:ascii="Arial" w:cs="Arial" w:eastAsia="Arial" w:hAnsi="Arial"/>
                <w:sz w:val="9"/>
                <w:szCs w:val="9"/>
                <w:color w:val="auto"/>
              </w:rPr>
              <w:t>Other Americas</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B2CC34"/>
              <w:bottom w:val="single" w:sz="8" w:color="0B2D71"/>
            </w:tcBorders>
          </w:tcPr>
          <w:p>
            <w:pPr>
              <w:spacing w:after="0"/>
              <w:rPr>
                <w:sz w:val="11"/>
                <w:szCs w:val="11"/>
                <w:color w:val="auto"/>
              </w:rPr>
            </w:pPr>
          </w:p>
        </w:tc>
        <w:tc>
          <w:tcPr>
            <w:tcW w:w="820" w:type="dxa"/>
            <w:vAlign w:val="bottom"/>
          </w:tcPr>
          <w:p>
            <w:pPr>
              <w:ind w:left="120"/>
              <w:spacing w:after="0"/>
              <w:rPr>
                <w:sz w:val="20"/>
                <w:szCs w:val="20"/>
                <w:color w:val="auto"/>
              </w:rPr>
            </w:pPr>
            <w:r>
              <w:rPr>
                <w:rFonts w:ascii="Arial" w:cs="Arial" w:eastAsia="Arial" w:hAnsi="Arial"/>
                <w:sz w:val="9"/>
                <w:szCs w:val="9"/>
                <w:color w:val="auto"/>
              </w:rPr>
              <w:t>Other Americas</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0B2D71"/>
              <w:bottom w:val="single" w:sz="8" w:color="0B2D71"/>
            </w:tcBorders>
            <w:shd w:val="clear" w:color="auto" w:fill="0B2D71"/>
          </w:tcPr>
          <w:p>
            <w:pPr>
              <w:spacing w:after="0"/>
              <w:rPr>
                <w:sz w:val="11"/>
                <w:szCs w:val="11"/>
                <w:color w:val="auto"/>
              </w:rPr>
            </w:pPr>
          </w:p>
        </w:tc>
        <w:tc>
          <w:tcPr>
            <w:tcW w:w="820" w:type="dxa"/>
            <w:vAlign w:val="bottom"/>
          </w:tcPr>
          <w:p>
            <w:pPr>
              <w:ind w:left="120"/>
              <w:spacing w:after="0" w:line="42" w:lineRule="exact"/>
              <w:rPr>
                <w:sz w:val="20"/>
                <w:szCs w:val="20"/>
                <w:color w:val="auto"/>
              </w:rPr>
            </w:pPr>
            <w:r>
              <w:rPr>
                <w:rFonts w:ascii="Arial" w:cs="Arial" w:eastAsia="Arial" w:hAnsi="Arial"/>
                <w:sz w:val="4"/>
                <w:szCs w:val="4"/>
                <w:color w:val="auto"/>
              </w:rPr>
              <w:t>Other Americas</w:t>
            </w: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80" w:type="dxa"/>
            <w:vAlign w:val="bottom"/>
          </w:tcPr>
          <w:p>
            <w:pPr>
              <w:spacing w:after="0"/>
              <w:rPr>
                <w:sz w:val="8"/>
                <w:szCs w:val="8"/>
                <w:color w:val="auto"/>
              </w:rPr>
            </w:pPr>
          </w:p>
        </w:tc>
        <w:tc>
          <w:tcPr>
            <w:tcW w:w="100" w:type="dxa"/>
            <w:vAlign w:val="bottom"/>
            <w:tcBorders>
              <w:top w:val="single" w:sz="8" w:color="0B2D71"/>
            </w:tcBorders>
          </w:tcPr>
          <w:p>
            <w:pPr>
              <w:spacing w:after="0"/>
              <w:rPr>
                <w:sz w:val="8"/>
                <w:szCs w:val="8"/>
                <w:color w:val="auto"/>
              </w:rPr>
            </w:pPr>
          </w:p>
        </w:tc>
        <w:tc>
          <w:tcPr>
            <w:tcW w:w="860" w:type="dxa"/>
            <w:vAlign w:val="bottom"/>
          </w:tcPr>
          <w:p>
            <w:pPr>
              <w:ind w:left="120"/>
              <w:spacing w:after="0"/>
              <w:rPr>
                <w:sz w:val="20"/>
                <w:szCs w:val="20"/>
                <w:color w:val="auto"/>
              </w:rPr>
            </w:pPr>
            <w:r>
              <w:rPr>
                <w:rFonts w:ascii="Arial" w:cs="Arial" w:eastAsia="Arial" w:hAnsi="Arial"/>
                <w:sz w:val="9"/>
                <w:szCs w:val="9"/>
                <w:color w:val="auto"/>
              </w:rPr>
              <w:t>United States</w:t>
            </w: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0B2D71"/>
            </w:tcBorders>
          </w:tcPr>
          <w:p>
            <w:pPr>
              <w:spacing w:after="0"/>
              <w:rPr>
                <w:sz w:val="8"/>
                <w:szCs w:val="8"/>
                <w:color w:val="auto"/>
              </w:rPr>
            </w:pPr>
          </w:p>
        </w:tc>
        <w:tc>
          <w:tcPr>
            <w:tcW w:w="820" w:type="dxa"/>
            <w:vAlign w:val="bottom"/>
          </w:tcPr>
          <w:p>
            <w:pPr>
              <w:ind w:left="120"/>
              <w:spacing w:after="0"/>
              <w:rPr>
                <w:sz w:val="20"/>
                <w:szCs w:val="20"/>
                <w:color w:val="auto"/>
              </w:rPr>
            </w:pPr>
            <w:r>
              <w:rPr>
                <w:rFonts w:ascii="Arial" w:cs="Arial" w:eastAsia="Arial" w:hAnsi="Arial"/>
                <w:sz w:val="9"/>
                <w:szCs w:val="9"/>
                <w:color w:val="auto"/>
              </w:rPr>
              <w:t>United States</w:t>
            </w: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0B2D71"/>
            </w:tcBorders>
          </w:tcPr>
          <w:p>
            <w:pPr>
              <w:spacing w:after="0"/>
              <w:rPr>
                <w:sz w:val="8"/>
                <w:szCs w:val="8"/>
                <w:color w:val="auto"/>
              </w:rPr>
            </w:pPr>
          </w:p>
        </w:tc>
        <w:tc>
          <w:tcPr>
            <w:tcW w:w="820" w:type="dxa"/>
            <w:vAlign w:val="bottom"/>
          </w:tcPr>
          <w:p>
            <w:pPr>
              <w:ind w:left="120"/>
              <w:spacing w:after="0"/>
              <w:rPr>
                <w:sz w:val="20"/>
                <w:szCs w:val="20"/>
                <w:color w:val="auto"/>
              </w:rPr>
            </w:pPr>
            <w:r>
              <w:rPr>
                <w:rFonts w:ascii="Arial" w:cs="Arial" w:eastAsia="Arial" w:hAnsi="Arial"/>
                <w:sz w:val="9"/>
                <w:szCs w:val="9"/>
                <w:color w:val="auto"/>
              </w:rPr>
              <w:t>United States</w:t>
            </w: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009DD9"/>
              <w:bottom w:val="single" w:sz="8" w:color="009DD9"/>
            </w:tcBorders>
            <w:shd w:val="clear" w:color="auto" w:fill="009DD9"/>
          </w:tcPr>
          <w:p>
            <w:pPr>
              <w:spacing w:after="0"/>
              <w:rPr>
                <w:sz w:val="8"/>
                <w:szCs w:val="8"/>
                <w:color w:val="auto"/>
              </w:rPr>
            </w:pPr>
          </w:p>
        </w:tc>
        <w:tc>
          <w:tcPr>
            <w:tcW w:w="820" w:type="dxa"/>
            <w:vAlign w:val="bottom"/>
          </w:tcPr>
          <w:p>
            <w:pPr>
              <w:ind w:left="120"/>
              <w:spacing w:after="0" w:line="42" w:lineRule="exact"/>
              <w:rPr>
                <w:sz w:val="20"/>
                <w:szCs w:val="20"/>
                <w:color w:val="auto"/>
              </w:rPr>
            </w:pPr>
            <w:r>
              <w:rPr>
                <w:rFonts w:ascii="Arial" w:cs="Arial" w:eastAsia="Arial" w:hAnsi="Arial"/>
                <w:sz w:val="4"/>
                <w:szCs w:val="4"/>
                <w:color w:val="auto"/>
              </w:rPr>
              <w:t>United States</w:t>
            </w: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
        </w:trPr>
        <w:tc>
          <w:tcPr>
            <w:tcW w:w="80" w:type="dxa"/>
            <w:vAlign w:val="bottom"/>
          </w:tcPr>
          <w:p>
            <w:pPr>
              <w:spacing w:after="0"/>
              <w:rPr>
                <w:sz w:val="3"/>
                <w:szCs w:val="3"/>
                <w:color w:val="auto"/>
              </w:rPr>
            </w:pPr>
          </w:p>
        </w:tc>
        <w:tc>
          <w:tcPr>
            <w:tcW w:w="100" w:type="dxa"/>
            <w:vAlign w:val="bottom"/>
            <w:tcBorders>
              <w:top w:val="single" w:sz="8" w:color="009DD9"/>
            </w:tcBorders>
            <w:shd w:val="clear" w:color="auto" w:fill="009DD9"/>
          </w:tcPr>
          <w:p>
            <w:pPr>
              <w:spacing w:after="0"/>
              <w:rPr>
                <w:sz w:val="3"/>
                <w:szCs w:val="3"/>
                <w:color w:val="auto"/>
              </w:rPr>
            </w:pPr>
          </w:p>
        </w:tc>
        <w:tc>
          <w:tcPr>
            <w:tcW w:w="8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top w:val="single" w:sz="8" w:color="009DD9"/>
            </w:tcBorders>
            <w:shd w:val="clear" w:color="auto" w:fill="009DD9"/>
          </w:tcPr>
          <w:p>
            <w:pPr>
              <w:spacing w:after="0"/>
              <w:rPr>
                <w:sz w:val="3"/>
                <w:szCs w:val="3"/>
                <w:color w:val="auto"/>
              </w:rPr>
            </w:pPr>
          </w:p>
        </w:tc>
        <w:tc>
          <w:tcPr>
            <w:tcW w:w="8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top w:val="single" w:sz="8" w:color="009DD9"/>
            </w:tcBorders>
            <w:shd w:val="clear" w:color="auto" w:fill="009DD9"/>
          </w:tcPr>
          <w:p>
            <w:pPr>
              <w:spacing w:after="0"/>
              <w:rPr>
                <w:sz w:val="3"/>
                <w:szCs w:val="3"/>
                <w:color w:val="auto"/>
              </w:rPr>
            </w:pPr>
          </w:p>
        </w:tc>
        <w:tc>
          <w:tcPr>
            <w:tcW w:w="8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0" w:type="dxa"/>
            <w:vAlign w:val="bottom"/>
            <w:gridSpan w:val="3"/>
          </w:tcPr>
          <w:p>
            <w:pPr>
              <w:spacing w:after="0" w:line="40" w:lineRule="exact"/>
              <w:rPr>
                <w:sz w:val="20"/>
                <w:szCs w:val="20"/>
                <w:color w:val="auto"/>
              </w:rPr>
            </w:pPr>
            <w:r>
              <w:rPr>
                <w:rFonts w:ascii="Arial" w:cs="Arial" w:eastAsia="Arial" w:hAnsi="Arial"/>
                <w:sz w:val="4"/>
                <w:szCs w:val="4"/>
                <w:color w:val="auto"/>
              </w:rPr>
              <w:t>*barrels of oil-</w:t>
            </w: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7"/>
        </w:trPr>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0" w:type="dxa"/>
            <w:vAlign w:val="bottom"/>
            <w:gridSpan w:val="3"/>
          </w:tcPr>
          <w:p>
            <w:pPr>
              <w:spacing w:after="0"/>
              <w:rPr>
                <w:sz w:val="20"/>
                <w:szCs w:val="20"/>
                <w:color w:val="auto"/>
              </w:rPr>
            </w:pPr>
            <w:r>
              <w:rPr>
                <w:rFonts w:ascii="Arial" w:cs="Arial" w:eastAsia="Arial" w:hAnsi="Arial"/>
                <w:sz w:val="9"/>
                <w:szCs w:val="9"/>
                <w:color w:val="auto"/>
              </w:rPr>
              <w:t>equivalent</w:t>
            </w: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20" w:right="120"/>
        <w:spacing w:after="0" w:line="267"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Proved Reserves </w:t>
      </w:r>
      <w:r>
        <w:rPr>
          <w:rFonts w:ascii="Times New Roman" w:cs="Times New Roman" w:eastAsia="Times New Roman" w:hAnsi="Times New Roman"/>
          <w:sz w:val="18"/>
          <w:szCs w:val="18"/>
          <w:color w:val="000000"/>
        </w:rPr>
        <w:t>Net proved reserves for consolidated companies and affiliated companies totaled 9.8 billion barrels of oil-equivalent at year-end 2024, a</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 xml:space="preserve">decrease from year-end 2023. The reserve replacement ratio in 2024 was negative 4 percent. The 5 and 10 year reserve replacement ratios were 72 percent and 88 percent, respectively. Refer to </w:t>
      </w:r>
      <w:r>
        <w:rPr>
          <w:rFonts w:ascii="Times New Roman" w:cs="Times New Roman" w:eastAsia="Times New Roman" w:hAnsi="Times New Roman"/>
          <w:sz w:val="18"/>
          <w:szCs w:val="18"/>
          <w:u w:val="single" w:color="auto"/>
          <w:color w:val="0000FF"/>
        </w:rPr>
        <w:t>Table V</w:t>
      </w:r>
      <w:r>
        <w:rPr>
          <w:rFonts w:ascii="Times New Roman" w:cs="Times New Roman" w:eastAsia="Times New Roman" w:hAnsi="Times New Roman"/>
          <w:sz w:val="18"/>
          <w:szCs w:val="18"/>
          <w:color w:val="000000"/>
        </w:rPr>
        <w:t xml:space="preserve"> for a tabulation of the company’s proved net oil and gas reserves by geographic area, at the beginning of 2022 and each year-end from 2022 through 2024, and an accompanying discussion of major changes to proved reserves by geographic area for the three-year period ending December 31, 2024.</w:t>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Refer to the “Results of Operations” section on pages 43 for additional discussion of the company’s upstream business.</w:t>
      </w:r>
    </w:p>
    <w:p>
      <w:pPr>
        <w:spacing w:after="0" w:line="100" w:lineRule="exact"/>
        <w:rPr>
          <w:sz w:val="20"/>
          <w:szCs w:val="20"/>
          <w:color w:val="auto"/>
        </w:rPr>
      </w:pPr>
    </w:p>
    <w:p>
      <w:pPr>
        <w:jc w:val="both"/>
        <w:ind w:left="20"/>
        <w:spacing w:after="0" w:line="267"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Downstream </w:t>
      </w:r>
      <w:r>
        <w:rPr>
          <w:rFonts w:ascii="Times New Roman" w:cs="Times New Roman" w:eastAsia="Times New Roman" w:hAnsi="Times New Roman"/>
          <w:sz w:val="18"/>
          <w:szCs w:val="18"/>
          <w:color w:val="000000"/>
        </w:rPr>
        <w:t>Earnings for the downstream segment are closely tied to margins on the refining, manufacturing and marketing of products that include</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gasoline, diesel, jet fuel, lubricants, fuel oil, fuel and lubricant additives, petrochemicals and renewable fuels. Industry margins are sometimes volatile and can be affected by the global and regional supply-and-demand balance for refined products and petrochemicals, and by changes in the price of crude oil, other refinery and petrochemical feedstocks, and natural gas. Industry margins can also be influenced by inventory levels, geopolitical events, costs of materials and services, refinery or chemical plant capacity utilization, maintenance programs, and disruptions at refineries or chemical plants resulting from unplanned outages due to severe weather, fires or other operational events.</w:t>
      </w:r>
    </w:p>
    <w:p>
      <w:pPr>
        <w:spacing w:after="0" w:line="53" w:lineRule="exact"/>
        <w:rPr>
          <w:sz w:val="20"/>
          <w:szCs w:val="20"/>
          <w:color w:val="auto"/>
        </w:rPr>
      </w:pPr>
    </w:p>
    <w:p>
      <w:pPr>
        <w:jc w:val="both"/>
        <w:ind w:left="20"/>
        <w:spacing w:after="0" w:line="270" w:lineRule="auto"/>
        <w:rPr>
          <w:sz w:val="20"/>
          <w:szCs w:val="20"/>
          <w:color w:val="auto"/>
        </w:rPr>
      </w:pPr>
      <w:r>
        <w:rPr>
          <w:rFonts w:ascii="Times New Roman" w:cs="Times New Roman" w:eastAsia="Times New Roman" w:hAnsi="Times New Roman"/>
          <w:sz w:val="18"/>
          <w:szCs w:val="18"/>
          <w:color w:val="auto"/>
        </w:rPr>
        <w:t>Other factors affecting profitability for downstream operations include the reliability and efficiency of the company’s refining, marketing and petrochemical assets, the effectiveness of its crude oil and product supply functions, and the volatility of tanker-charter rates for the company’s shipping operations, which are driven by the industry’s demand for crude oil and product tankers. Other factors beyond the company’s control include the general level of inflation and energy costs to operate the company’s refining, marketing and petrochemical assets, and changes in tax, environmental, and other applicable laws and regulations.</w:t>
      </w:r>
    </w:p>
    <w:p>
      <w:pPr>
        <w:spacing w:after="0" w:line="51" w:lineRule="exact"/>
        <w:rPr>
          <w:sz w:val="20"/>
          <w:szCs w:val="20"/>
          <w:color w:val="auto"/>
        </w:rPr>
      </w:pPr>
    </w:p>
    <w:p>
      <w:pPr>
        <w:jc w:val="both"/>
        <w:ind w:left="20"/>
        <w:spacing w:after="0" w:line="297" w:lineRule="auto"/>
        <w:rPr>
          <w:sz w:val="20"/>
          <w:szCs w:val="20"/>
          <w:color w:val="auto"/>
        </w:rPr>
      </w:pPr>
      <w:r>
        <w:rPr>
          <w:rFonts w:ascii="Times New Roman" w:cs="Times New Roman" w:eastAsia="Times New Roman" w:hAnsi="Times New Roman"/>
          <w:sz w:val="18"/>
          <w:szCs w:val="18"/>
          <w:color w:val="auto"/>
        </w:rPr>
        <w:t>The company’s most significant marketing areas are the West Coast and Gulf Coast of the United States and Asia Pacific. Chevron operates or has significant ownership interests in refineries in each of these areas. The company is also one of the largest renewable fuels producers in the United States.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Refer to the “Results of Operations” section on page 44 for additional discussion of the company’s downstream operations.</w:t>
      </w:r>
    </w:p>
    <w:p>
      <w:pPr>
        <w:spacing w:after="0" w:line="113" w:lineRule="exact"/>
        <w:rPr>
          <w:sz w:val="20"/>
          <w:szCs w:val="20"/>
          <w:color w:val="auto"/>
        </w:rPr>
      </w:pPr>
    </w:p>
    <w:p>
      <w:pPr>
        <w:jc w:val="both"/>
        <w:ind w:left="20"/>
        <w:spacing w:after="0" w:line="286"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All Other </w:t>
      </w:r>
      <w:r>
        <w:rPr>
          <w:rFonts w:ascii="Times New Roman" w:cs="Times New Roman" w:eastAsia="Times New Roman" w:hAnsi="Times New Roman"/>
          <w:sz w:val="18"/>
          <w:szCs w:val="18"/>
          <w:color w:val="000000"/>
        </w:rPr>
        <w:t>consists of worldwide cash management and debt financing activities, corporate administrative functions, insurance operations, real estate</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activities and technology companies.</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414" w:right="339" w:bottom="1440" w:gutter="0" w:footer="0" w:header="0"/>
        </w:sectPr>
      </w:pPr>
    </w:p>
    <w:bookmarkStart w:id="42" w:name="page43"/>
    <w:bookmarkEnd w:id="42"/>
    <w:p>
      <w:pPr>
        <w:spacing w:after="0"/>
        <w:tabs>
          <w:tab w:leader="none" w:pos="9400" w:val="left"/>
        </w:tabs>
        <w:rPr>
          <w:sz w:val="20"/>
          <w:szCs w:val="20"/>
          <w:color w:val="auto"/>
        </w:rPr>
      </w:pPr>
      <w:r>
        <w:rPr>
          <w:rFonts w:ascii="Arial" w:cs="Arial" w:eastAsia="Arial" w:hAnsi="Arial"/>
          <w:sz w:val="14"/>
          <w:szCs w:val="14"/>
          <w:color w:val="0077C0"/>
        </w:rPr>
        <w:t>Management’s Discussion and Analysis of Financial Condition and Results of Operations</w:t>
      </w:r>
      <w:r>
        <w:rPr>
          <w:sz w:val="20"/>
          <w:szCs w:val="20"/>
          <w:color w:val="auto"/>
        </w:rPr>
        <w:tab/>
      </w:r>
      <w:r>
        <w:rPr>
          <w:rFonts w:ascii="Arial" w:cs="Arial" w:eastAsia="Arial" w:hAnsi="Arial"/>
          <w:sz w:val="14"/>
          <w:szCs w:val="14"/>
          <w:color w:val="0077C0"/>
        </w:rPr>
        <w:t>Financial 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77C0"/>
        </w:rPr>
        <w:t>Noteworthy Developments</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Key noteworthy developments and other events during 2024 and early 2025 included the following:</w:t>
      </w:r>
    </w:p>
    <w:p>
      <w:pPr>
        <w:spacing w:after="0" w:line="1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FF0000"/>
        </w:rPr>
        <w:t xml:space="preserve">Angola </w:t>
      </w:r>
      <w:r>
        <w:rPr>
          <w:rFonts w:ascii="Times New Roman" w:cs="Times New Roman" w:eastAsia="Times New Roman" w:hAnsi="Times New Roman"/>
          <w:sz w:val="18"/>
          <w:szCs w:val="18"/>
          <w:color w:val="000000"/>
        </w:rPr>
        <w:t>Added frontier exploration acreage positions in the deepwater lower Congo Basin.</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FF0000"/>
        </w:rPr>
        <w:t xml:space="preserve">Angola </w:t>
      </w:r>
      <w:r>
        <w:rPr>
          <w:rFonts w:ascii="Times New Roman" w:cs="Times New Roman" w:eastAsia="Times New Roman" w:hAnsi="Times New Roman"/>
          <w:sz w:val="17"/>
          <w:szCs w:val="17"/>
          <w:color w:val="000000"/>
        </w:rPr>
        <w:t>Achieved first gas on the Sanha Lean Gas Connection project, securing incremental natural gas supply to the Angola Liquefied Natural Gas facility.</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FF0000"/>
        </w:rPr>
        <w:t xml:space="preserve">Australia </w:t>
      </w:r>
      <w:r>
        <w:rPr>
          <w:rFonts w:ascii="Times New Roman" w:cs="Times New Roman" w:eastAsia="Times New Roman" w:hAnsi="Times New Roman"/>
          <w:sz w:val="18"/>
          <w:szCs w:val="18"/>
          <w:color w:val="000000"/>
        </w:rPr>
        <w:t>Announced asset exchange of North West Shelf Assets for Wheatstone Assets and Julimar/Brunello fields.</w:t>
      </w:r>
    </w:p>
    <w:p>
      <w:pPr>
        <w:spacing w:after="0" w:line="131" w:lineRule="exact"/>
        <w:rPr>
          <w:sz w:val="20"/>
          <w:szCs w:val="20"/>
          <w:color w:val="auto"/>
        </w:rPr>
      </w:pPr>
    </w:p>
    <w:p>
      <w:pPr>
        <w:jc w:val="both"/>
        <w:ind w:left="20"/>
        <w:spacing w:after="0" w:line="231"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Australia </w:t>
      </w:r>
      <w:r>
        <w:rPr>
          <w:rFonts w:ascii="Times New Roman" w:cs="Times New Roman" w:eastAsia="Times New Roman" w:hAnsi="Times New Roman"/>
          <w:sz w:val="18"/>
          <w:szCs w:val="18"/>
          <w:color w:val="000000"/>
        </w:rPr>
        <w:t>Received two offshore greenhouse gas assessment permits, covering an area of approximately 10,700 km</w:t>
      </w:r>
      <w:r>
        <w:rPr>
          <w:rFonts w:ascii="Times New Roman" w:cs="Times New Roman" w:eastAsia="Times New Roman" w:hAnsi="Times New Roman"/>
          <w:sz w:val="23"/>
          <w:szCs w:val="23"/>
          <w:color w:val="000000"/>
          <w:vertAlign w:val="superscript"/>
        </w:rPr>
        <w:t>2</w:t>
      </w:r>
      <w:r>
        <w:rPr>
          <w:rFonts w:ascii="Times New Roman" w:cs="Times New Roman" w:eastAsia="Times New Roman" w:hAnsi="Times New Roman"/>
          <w:sz w:val="18"/>
          <w:szCs w:val="18"/>
          <w:color w:val="000000"/>
        </w:rPr>
        <w:t>, to assess future carbon dioxide</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storage.</w:t>
      </w:r>
    </w:p>
    <w:p>
      <w:pPr>
        <w:spacing w:after="0" w:line="1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FF0000"/>
        </w:rPr>
        <w:t xml:space="preserve">Brazil </w:t>
      </w:r>
      <w:r>
        <w:rPr>
          <w:rFonts w:ascii="Times New Roman" w:cs="Times New Roman" w:eastAsia="Times New Roman" w:hAnsi="Times New Roman"/>
          <w:sz w:val="18"/>
          <w:szCs w:val="18"/>
          <w:color w:val="000000"/>
        </w:rPr>
        <w:t>Secured 15 exploration blocks in the South Santos and Pelotas Basins</w:t>
      </w:r>
      <w:r>
        <w:rPr>
          <w:rFonts w:ascii="Arial" w:cs="Arial" w:eastAsia="Arial" w:hAnsi="Arial"/>
          <w:sz w:val="19"/>
          <w:szCs w:val="19"/>
          <w:color w:val="000000"/>
        </w:rPr>
        <w:t>.</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FF0000"/>
        </w:rPr>
        <w:t xml:space="preserve">Canada </w:t>
      </w:r>
      <w:r>
        <w:rPr>
          <w:rFonts w:ascii="Times New Roman" w:cs="Times New Roman" w:eastAsia="Times New Roman" w:hAnsi="Times New Roman"/>
          <w:sz w:val="18"/>
          <w:szCs w:val="18"/>
          <w:color w:val="000000"/>
        </w:rPr>
        <w:t>Sold the company’s interest in the Athabasca Oil Sands Project and Duvernay shale for $6.5 billion.</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FF0000"/>
        </w:rPr>
        <w:t xml:space="preserve">Equatorial Guinea </w:t>
      </w:r>
      <w:r>
        <w:rPr>
          <w:rFonts w:ascii="Times New Roman" w:cs="Times New Roman" w:eastAsia="Times New Roman" w:hAnsi="Times New Roman"/>
          <w:sz w:val="18"/>
          <w:szCs w:val="18"/>
          <w:color w:val="000000"/>
        </w:rPr>
        <w:t>Signed agreements to acquire two exploration blocks offshore Bioko Island.</w:t>
      </w:r>
    </w:p>
    <w:p>
      <w:pPr>
        <w:spacing w:after="0" w:line="131" w:lineRule="exact"/>
        <w:rPr>
          <w:sz w:val="20"/>
          <w:szCs w:val="20"/>
          <w:color w:val="auto"/>
        </w:rPr>
      </w:pPr>
    </w:p>
    <w:p>
      <w:pPr>
        <w:jc w:val="both"/>
        <w:ind w:left="20"/>
        <w:spacing w:after="0" w:line="302"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Israel </w:t>
      </w:r>
      <w:r>
        <w:rPr>
          <w:rFonts w:ascii="Times New Roman" w:cs="Times New Roman" w:eastAsia="Times New Roman" w:hAnsi="Times New Roman"/>
          <w:sz w:val="18"/>
          <w:szCs w:val="18"/>
          <w:color w:val="000000"/>
        </w:rPr>
        <w:t>Reached final investment decision to add midstream infrastructure that is expected to increase production capacity at the Tamar gas field in Israel to</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1.6 billion cubic feet per day.</w:t>
      </w:r>
    </w:p>
    <w:p>
      <w:pPr>
        <w:spacing w:after="0" w:line="33" w:lineRule="exact"/>
        <w:rPr>
          <w:sz w:val="20"/>
          <w:szCs w:val="20"/>
          <w:color w:val="auto"/>
        </w:rPr>
      </w:pPr>
    </w:p>
    <w:p>
      <w:pPr>
        <w:jc w:val="both"/>
        <w:ind w:left="20"/>
        <w:spacing w:after="0" w:line="284"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Kazakhstan </w:t>
      </w:r>
      <w:r>
        <w:rPr>
          <w:rFonts w:ascii="Times New Roman" w:cs="Times New Roman" w:eastAsia="Times New Roman" w:hAnsi="Times New Roman"/>
          <w:sz w:val="18"/>
          <w:szCs w:val="18"/>
          <w:color w:val="000000"/>
        </w:rPr>
        <w:t>Completed the Wellhead Pressure Management Project and, in January 2025, started production at the Future Growth Project, which is</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expected to ramp up total output to around one million barrels of oil equivalent per day at the company’s 50 percent-owned affiliate, Tengizchevroil LLP in Kazakhstan.</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FF0000"/>
        </w:rPr>
        <w:t xml:space="preserve">Myanmar </w:t>
      </w:r>
      <w:r>
        <w:rPr>
          <w:rFonts w:ascii="Times New Roman" w:cs="Times New Roman" w:eastAsia="Times New Roman" w:hAnsi="Times New Roman"/>
          <w:sz w:val="18"/>
          <w:szCs w:val="18"/>
          <w:color w:val="000000"/>
        </w:rPr>
        <w:t>Withdrew from Chevron’s nonoperated working interests effective April 1, 2024.</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FF0000"/>
        </w:rPr>
        <w:t xml:space="preserve">Namibia </w:t>
      </w:r>
      <w:r>
        <w:rPr>
          <w:rFonts w:ascii="Times New Roman" w:cs="Times New Roman" w:eastAsia="Times New Roman" w:hAnsi="Times New Roman"/>
          <w:sz w:val="18"/>
          <w:szCs w:val="18"/>
          <w:color w:val="000000"/>
        </w:rPr>
        <w:t>Signed agreements to acquire 80 percent working interest in Petroleum Exploration License 82 in the Walvis Basin.</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FF0000"/>
        </w:rPr>
        <w:t xml:space="preserve">Nigeria </w:t>
      </w:r>
      <w:r>
        <w:rPr>
          <w:rFonts w:ascii="Times New Roman" w:cs="Times New Roman" w:eastAsia="Times New Roman" w:hAnsi="Times New Roman"/>
          <w:sz w:val="18"/>
          <w:szCs w:val="18"/>
          <w:color w:val="000000"/>
        </w:rPr>
        <w:t>Extended the Meji field offshore Nigeria with a near-field discovery and renewed the Agbami deep-water concession through 2044.</w:t>
      </w:r>
    </w:p>
    <w:p>
      <w:pPr>
        <w:spacing w:after="0" w:line="131" w:lineRule="exact"/>
        <w:rPr>
          <w:sz w:val="20"/>
          <w:szCs w:val="20"/>
          <w:color w:val="auto"/>
        </w:rPr>
      </w:pPr>
    </w:p>
    <w:p>
      <w:pPr>
        <w:jc w:val="both"/>
        <w:ind w:left="20"/>
        <w:spacing w:after="0" w:line="302"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Republic of Congo </w:t>
      </w:r>
      <w:r>
        <w:rPr>
          <w:rFonts w:ascii="Times New Roman" w:cs="Times New Roman" w:eastAsia="Times New Roman" w:hAnsi="Times New Roman"/>
          <w:sz w:val="18"/>
          <w:szCs w:val="18"/>
          <w:color w:val="000000"/>
        </w:rPr>
        <w:t>Sold the company’s 31.5 percent nonoperated working interest in the offshore Haute Mer permit area and its 15.75 percent interest in</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the Republic of Congo portion of Lianzi in January 2025.</w:t>
      </w:r>
    </w:p>
    <w:p>
      <w:pPr>
        <w:spacing w:after="0" w:line="33" w:lineRule="exact"/>
        <w:rPr>
          <w:sz w:val="20"/>
          <w:szCs w:val="20"/>
          <w:color w:val="auto"/>
        </w:rPr>
      </w:pPr>
    </w:p>
    <w:p>
      <w:pPr>
        <w:jc w:val="both"/>
        <w:ind w:left="20"/>
        <w:spacing w:after="0" w:line="302"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United States </w:t>
      </w:r>
      <w:r>
        <w:rPr>
          <w:rFonts w:ascii="Times New Roman" w:cs="Times New Roman" w:eastAsia="Times New Roman" w:hAnsi="Times New Roman"/>
          <w:sz w:val="18"/>
          <w:szCs w:val="18"/>
          <w:color w:val="000000"/>
        </w:rPr>
        <w:t>Reached final investment decision to build an oilseed processing plant in Louisiana through the company’s joint venture Bunge Chevron Ag</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Renewables LLC.</w:t>
      </w:r>
    </w:p>
    <w:p>
      <w:pPr>
        <w:spacing w:after="0" w:line="46" w:lineRule="exact"/>
        <w:rPr>
          <w:sz w:val="20"/>
          <w:szCs w:val="20"/>
          <w:color w:val="auto"/>
        </w:rPr>
      </w:pPr>
    </w:p>
    <w:p>
      <w:pPr>
        <w:jc w:val="both"/>
        <w:ind w:left="20"/>
        <w:spacing w:after="0" w:line="286"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United States </w:t>
      </w:r>
      <w:r>
        <w:rPr>
          <w:rFonts w:ascii="Times New Roman" w:cs="Times New Roman" w:eastAsia="Times New Roman" w:hAnsi="Times New Roman"/>
          <w:sz w:val="18"/>
          <w:szCs w:val="18"/>
          <w:color w:val="000000"/>
        </w:rPr>
        <w:t>Drilled onshore and offshore stratigraphic wells to delineate carbon dioxide storage potential through the company’s joint venture Bayou</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Bend CCS LLC.</w:t>
      </w:r>
    </w:p>
    <w:p>
      <w:pPr>
        <w:spacing w:after="0" w:line="60" w:lineRule="exact"/>
        <w:rPr>
          <w:sz w:val="20"/>
          <w:szCs w:val="20"/>
          <w:color w:val="auto"/>
        </w:rPr>
      </w:pPr>
    </w:p>
    <w:p>
      <w:pPr>
        <w:jc w:val="both"/>
        <w:ind w:left="20"/>
        <w:spacing w:after="0" w:line="302"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United States </w:t>
      </w:r>
      <w:r>
        <w:rPr>
          <w:rFonts w:ascii="Times New Roman" w:cs="Times New Roman" w:eastAsia="Times New Roman" w:hAnsi="Times New Roman"/>
          <w:sz w:val="18"/>
          <w:szCs w:val="18"/>
          <w:color w:val="000000"/>
        </w:rPr>
        <w:t>Launched a $500 million Future Energy Fund III focused on venture investments in technology-based solutions that have the potential to</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enable affordable, reliable and lower carbon energy.</w:t>
      </w:r>
    </w:p>
    <w:p>
      <w:pPr>
        <w:spacing w:after="0" w:line="33" w:lineRule="exact"/>
        <w:rPr>
          <w:sz w:val="20"/>
          <w:szCs w:val="20"/>
          <w:color w:val="auto"/>
        </w:rPr>
      </w:pPr>
    </w:p>
    <w:p>
      <w:pPr>
        <w:jc w:val="both"/>
        <w:ind w:left="20"/>
        <w:spacing w:after="0" w:line="302"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United States </w:t>
      </w:r>
      <w:r>
        <w:rPr>
          <w:rFonts w:ascii="Times New Roman" w:cs="Times New Roman" w:eastAsia="Times New Roman" w:hAnsi="Times New Roman"/>
          <w:sz w:val="18"/>
          <w:szCs w:val="18"/>
          <w:color w:val="000000"/>
        </w:rPr>
        <w:t>Progressed the company’s pending merger with Hess Corporation by securing Hess stockholder approval and clearing Federal Trade</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Commission antitrust review.</w:t>
      </w:r>
    </w:p>
    <w:p>
      <w:pPr>
        <w:spacing w:after="0" w:line="46" w:lineRule="exact"/>
        <w:rPr>
          <w:sz w:val="20"/>
          <w:szCs w:val="20"/>
          <w:color w:val="auto"/>
        </w:rPr>
      </w:pPr>
    </w:p>
    <w:p>
      <w:pPr>
        <w:jc w:val="both"/>
        <w:ind w:left="20"/>
        <w:spacing w:after="0" w:line="286"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United States </w:t>
      </w:r>
      <w:r>
        <w:rPr>
          <w:rFonts w:ascii="Times New Roman" w:cs="Times New Roman" w:eastAsia="Times New Roman" w:hAnsi="Times New Roman"/>
          <w:sz w:val="18"/>
          <w:szCs w:val="18"/>
          <w:color w:val="000000"/>
        </w:rPr>
        <w:t>Started production at the industry-first 20,000 pounds per square inch deepwater Anchor project, began water injection to boost production</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from the St. Malo and Tahiti fields, and in January 2025 started production from the Whale semi-submersible platform in the Gulf of America.</w:t>
      </w:r>
    </w:p>
    <w:p>
      <w:pPr>
        <w:spacing w:after="0" w:line="60" w:lineRule="exact"/>
        <w:rPr>
          <w:sz w:val="20"/>
          <w:szCs w:val="20"/>
          <w:color w:val="auto"/>
        </w:rPr>
      </w:pPr>
    </w:p>
    <w:p>
      <w:pPr>
        <w:jc w:val="both"/>
        <w:ind w:left="20"/>
        <w:spacing w:after="0" w:line="302"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United States </w:t>
      </w:r>
      <w:r>
        <w:rPr>
          <w:rFonts w:ascii="Times New Roman" w:cs="Times New Roman" w:eastAsia="Times New Roman" w:hAnsi="Times New Roman"/>
          <w:sz w:val="18"/>
          <w:szCs w:val="18"/>
          <w:color w:val="000000"/>
        </w:rPr>
        <w:t>Upgraded the Pasadena Refinery, which is expected to increase product flexibility and expand the processing capacity of lighter crude oil to</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125,000 barrels per day.</w:t>
      </w:r>
    </w:p>
    <w:p>
      <w:pPr>
        <w:spacing w:after="0" w:line="33" w:lineRule="exact"/>
        <w:rPr>
          <w:sz w:val="20"/>
          <w:szCs w:val="20"/>
          <w:color w:val="auto"/>
        </w:rPr>
      </w:pPr>
    </w:p>
    <w:p>
      <w:pPr>
        <w:jc w:val="both"/>
        <w:ind w:left="20"/>
        <w:spacing w:after="0" w:line="302"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United States </w:t>
      </w:r>
      <w:r>
        <w:rPr>
          <w:rFonts w:ascii="Times New Roman" w:cs="Times New Roman" w:eastAsia="Times New Roman" w:hAnsi="Times New Roman"/>
          <w:sz w:val="18"/>
          <w:szCs w:val="18"/>
          <w:color w:val="000000"/>
        </w:rPr>
        <w:t>Completed projects and operational changes designed to abate over 700,000 tonnes of carbon dioxide-equivalent from the company’s</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operations.</w:t>
      </w:r>
    </w:p>
    <w:p>
      <w:pPr>
        <w:spacing w:after="0" w:line="46" w:lineRule="exact"/>
        <w:rPr>
          <w:sz w:val="20"/>
          <w:szCs w:val="20"/>
          <w:color w:val="auto"/>
        </w:rPr>
      </w:pPr>
    </w:p>
    <w:p>
      <w:pPr>
        <w:jc w:val="both"/>
        <w:ind w:left="20"/>
        <w:spacing w:after="0" w:line="286"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United States </w:t>
      </w:r>
      <w:r>
        <w:rPr>
          <w:rFonts w:ascii="Times New Roman" w:cs="Times New Roman" w:eastAsia="Times New Roman" w:hAnsi="Times New Roman"/>
          <w:sz w:val="18"/>
          <w:szCs w:val="18"/>
          <w:color w:val="000000"/>
        </w:rPr>
        <w:t>Announced plans to jointly develop scalable power solutions using natural gas-fired turbines with flexibility to integrate carbon capture and</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storage to support growing energy demand from U.S. data centers.</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FF0000"/>
        </w:rPr>
        <w:t xml:space="preserve">Uruguay </w:t>
      </w:r>
      <w:r>
        <w:rPr>
          <w:rFonts w:ascii="Times New Roman" w:cs="Times New Roman" w:eastAsia="Times New Roman" w:hAnsi="Times New Roman"/>
          <w:sz w:val="18"/>
          <w:szCs w:val="18"/>
          <w:color w:val="000000"/>
        </w:rPr>
        <w:t>Entered an agreement to assume a 60 percent operated interest in Uruguay’s AREA OFF-1 offshore exploration block.</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414" w:right="339" w:bottom="1440" w:gutter="0" w:footer="0" w:header="0"/>
        </w:sectPr>
      </w:pPr>
    </w:p>
    <w:bookmarkStart w:id="43" w:name="page44"/>
    <w:bookmarkEnd w:id="43"/>
    <w:p>
      <w:pPr>
        <w:spacing w:after="0"/>
        <w:tabs>
          <w:tab w:leader="none" w:pos="9400" w:val="left"/>
        </w:tabs>
        <w:rPr>
          <w:sz w:val="20"/>
          <w:szCs w:val="20"/>
          <w:color w:val="auto"/>
        </w:rPr>
      </w:pPr>
      <w:r>
        <w:rPr>
          <w:rFonts w:ascii="Arial" w:cs="Arial" w:eastAsia="Arial" w:hAnsi="Arial"/>
          <w:sz w:val="14"/>
          <w:szCs w:val="14"/>
          <w:color w:val="0077C0"/>
        </w:rPr>
        <w:t>Management’s Discussion and Analysis of Financial Condition and Results of Operations</w:t>
      </w:r>
      <w:r>
        <w:rPr>
          <w:sz w:val="20"/>
          <w:szCs w:val="20"/>
          <w:color w:val="auto"/>
        </w:rPr>
        <w:tab/>
      </w:r>
      <w:r>
        <w:rPr>
          <w:rFonts w:ascii="Arial" w:cs="Arial" w:eastAsia="Arial" w:hAnsi="Arial"/>
          <w:sz w:val="14"/>
          <w:szCs w:val="14"/>
          <w:color w:val="0077C0"/>
        </w:rPr>
        <w:t>Financial Table of Contents</w:t>
      </w:r>
    </w:p>
    <w:p>
      <w:pPr>
        <w:spacing w:after="0" w:line="200" w:lineRule="exact"/>
        <w:rPr>
          <w:sz w:val="20"/>
          <w:szCs w:val="20"/>
          <w:color w:val="auto"/>
        </w:rPr>
      </w:pPr>
    </w:p>
    <w:p>
      <w:pPr>
        <w:spacing w:after="0" w:line="314" w:lineRule="exact"/>
        <w:rPr>
          <w:sz w:val="20"/>
          <w:szCs w:val="20"/>
          <w:color w:val="auto"/>
        </w:rPr>
      </w:pPr>
    </w:p>
    <w:p>
      <w:pPr>
        <w:jc w:val="both"/>
        <w:ind w:left="20"/>
        <w:spacing w:after="0" w:line="276"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Common Stock Dividends </w:t>
      </w:r>
      <w:r>
        <w:rPr>
          <w:rFonts w:ascii="Times New Roman" w:cs="Times New Roman" w:eastAsia="Times New Roman" w:hAnsi="Times New Roman"/>
          <w:sz w:val="18"/>
          <w:szCs w:val="18"/>
          <w:color w:val="000000"/>
        </w:rPr>
        <w:t>The 2024 annual dividend was $6.52 per share, making 2024 the 37th consecutive year that the company increased its annual</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per share dividend payout. In January 2025, the company’s Board of Directors increased its quarterly dividend by $0.08 per share, approximately five percent, to $1.71 per share payable in March 2025.</w:t>
      </w:r>
    </w:p>
    <w:p>
      <w:pPr>
        <w:spacing w:after="0" w:line="69" w:lineRule="exact"/>
        <w:rPr>
          <w:sz w:val="20"/>
          <w:szCs w:val="20"/>
          <w:color w:val="auto"/>
        </w:rPr>
      </w:pPr>
    </w:p>
    <w:p>
      <w:pPr>
        <w:jc w:val="both"/>
        <w:ind w:left="20" w:right="20"/>
        <w:spacing w:after="0" w:line="302"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Common Stock Repurchase Program </w:t>
      </w:r>
      <w:r>
        <w:rPr>
          <w:rFonts w:ascii="Times New Roman" w:cs="Times New Roman" w:eastAsia="Times New Roman" w:hAnsi="Times New Roman"/>
          <w:sz w:val="18"/>
          <w:szCs w:val="18"/>
          <w:color w:val="000000"/>
        </w:rPr>
        <w:t>The company repurchased $15.2 billion of its common stock in 2024 under its stock repurchase program. For more</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 xml:space="preserve">information on the common stock repurchase program, see </w:t>
      </w:r>
      <w:r>
        <w:rPr>
          <w:rFonts w:ascii="Times New Roman" w:cs="Times New Roman" w:eastAsia="Times New Roman" w:hAnsi="Times New Roman"/>
          <w:sz w:val="18"/>
          <w:szCs w:val="18"/>
          <w:u w:val="single" w:color="auto"/>
          <w:color w:val="0000FF"/>
        </w:rPr>
        <w:t>Liquidity and Capital Resources</w:t>
      </w:r>
      <w:r>
        <w:rPr>
          <w:rFonts w:ascii="Times New Roman" w:cs="Times New Roman" w:eastAsia="Times New Roman" w:hAnsi="Times New Roman"/>
          <w:sz w:val="18"/>
          <w:szCs w:val="18"/>
          <w:color w:val="000000"/>
        </w:rPr>
        <w:t>.</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77C0"/>
        </w:rPr>
        <w:t>Results of Operations</w:t>
      </w:r>
    </w:p>
    <w:p>
      <w:pPr>
        <w:spacing w:after="0" w:line="118"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 xml:space="preserve">The following section presents the results of operations and variances on an after-tax basis for the company’s business segments – Upstream and Downstream – as well as for “All Other.” Earnings are also presented for the U.S. and international geographic areas of the Upstream and Downstream business segments. Refer to </w:t>
      </w:r>
      <w:r>
        <w:rPr>
          <w:rFonts w:ascii="Times New Roman" w:cs="Times New Roman" w:eastAsia="Times New Roman" w:hAnsi="Times New Roman"/>
          <w:sz w:val="18"/>
          <w:szCs w:val="18"/>
          <w:u w:val="single" w:color="auto"/>
          <w:color w:val="0000FF"/>
        </w:rPr>
        <w:t>Note 14 Operating Segments and Geographic Data</w:t>
      </w:r>
      <w:r>
        <w:rPr>
          <w:rFonts w:ascii="Times New Roman" w:cs="Times New Roman" w:eastAsia="Times New Roman" w:hAnsi="Times New Roman"/>
          <w:sz w:val="18"/>
          <w:szCs w:val="18"/>
          <w:color w:val="auto"/>
        </w:rPr>
        <w:t xml:space="preserve"> for a discussion of the company’s “reportable segments.” This section should also be read in conjunction with the discussion in </w:t>
      </w:r>
      <w:r>
        <w:rPr>
          <w:rFonts w:ascii="Times New Roman" w:cs="Times New Roman" w:eastAsia="Times New Roman" w:hAnsi="Times New Roman"/>
          <w:sz w:val="18"/>
          <w:szCs w:val="18"/>
          <w:u w:val="single" w:color="auto"/>
          <w:color w:val="0000FF"/>
        </w:rPr>
        <w:t>Business Environment and Outlook</w:t>
      </w:r>
      <w:r>
        <w:rPr>
          <w:rFonts w:ascii="Times New Roman" w:cs="Times New Roman" w:eastAsia="Times New Roman" w:hAnsi="Times New Roman"/>
          <w:sz w:val="18"/>
          <w:szCs w:val="18"/>
          <w:color w:val="auto"/>
        </w:rPr>
        <w:t xml:space="preserve">. Refer to the </w:t>
      </w:r>
      <w:r>
        <w:rPr>
          <w:rFonts w:ascii="Times New Roman" w:cs="Times New Roman" w:eastAsia="Times New Roman" w:hAnsi="Times New Roman"/>
          <w:sz w:val="18"/>
          <w:szCs w:val="18"/>
          <w:u w:val="single" w:color="auto"/>
          <w:color w:val="0000FF"/>
        </w:rPr>
        <w:t>Selected Operating Data</w:t>
      </w:r>
      <w:r>
        <w:rPr>
          <w:rFonts w:ascii="Times New Roman" w:cs="Times New Roman" w:eastAsia="Times New Roman" w:hAnsi="Times New Roman"/>
          <w:sz w:val="18"/>
          <w:szCs w:val="18"/>
          <w:color w:val="auto"/>
        </w:rPr>
        <w:t xml:space="preserve"> for a three-year comparison of production volumes, refined product sales volumes and refinery inputs. A discussion of variances between 2023 and 2022 can be found in the “Results of Operations” section on pages 41 through 43 of the company’s 2023 Annual Report on Form 10-K filed with the SEC on February 26, 2024.</w:t>
      </w:r>
    </w:p>
    <w:p>
      <w:pPr>
        <w:spacing w:after="0" w:line="82" w:lineRule="exact"/>
        <w:rPr>
          <w:sz w:val="20"/>
          <w:szCs w:val="20"/>
          <w:color w:val="auto"/>
        </w:rPr>
      </w:pPr>
    </w:p>
    <w:tbl>
      <w:tblPr>
        <w:tblLayout w:type="fixed"/>
        <w:tblInd w:w="440" w:type="dxa"/>
        <w:tblCellMar>
          <w:top w:w="0" w:type="dxa"/>
          <w:left w:w="0" w:type="dxa"/>
          <w:bottom w:w="0" w:type="dxa"/>
          <w:right w:w="0" w:type="dxa"/>
        </w:tblCellMar>
      </w:tblPr>
      <w:tr>
        <w:trPr>
          <w:trHeight w:val="126"/>
        </w:trPr>
        <w:tc>
          <w:tcPr>
            <w:tcW w:w="1800" w:type="dxa"/>
            <w:vAlign w:val="bottom"/>
          </w:tcPr>
          <w:p>
            <w:pPr>
              <w:spacing w:after="0"/>
              <w:rPr>
                <w:sz w:val="20"/>
                <w:szCs w:val="20"/>
                <w:color w:val="auto"/>
              </w:rPr>
            </w:pPr>
            <w:r>
              <w:rPr>
                <w:rFonts w:ascii="Arial" w:cs="Arial" w:eastAsia="Arial" w:hAnsi="Arial"/>
                <w:sz w:val="11"/>
                <w:szCs w:val="11"/>
                <w:color w:val="auto"/>
              </w:rPr>
              <w:t>Worldwide Upstream earnings</w:t>
            </w:r>
          </w:p>
        </w:tc>
        <w:tc>
          <w:tcPr>
            <w:tcW w:w="1180" w:type="dxa"/>
            <w:vAlign w:val="bottom"/>
          </w:tcPr>
          <w:p>
            <w:pPr>
              <w:spacing w:after="0"/>
              <w:rPr>
                <w:sz w:val="10"/>
                <w:szCs w:val="10"/>
                <w:color w:val="auto"/>
              </w:rPr>
            </w:pPr>
          </w:p>
        </w:tc>
        <w:tc>
          <w:tcPr>
            <w:tcW w:w="1420" w:type="dxa"/>
            <w:vAlign w:val="bottom"/>
          </w:tcPr>
          <w:p>
            <w:pPr>
              <w:ind w:left="20"/>
              <w:spacing w:after="0"/>
              <w:rPr>
                <w:sz w:val="20"/>
                <w:szCs w:val="20"/>
                <w:color w:val="auto"/>
              </w:rPr>
            </w:pPr>
            <w:r>
              <w:rPr>
                <w:rFonts w:ascii="Arial" w:cs="Arial" w:eastAsia="Arial" w:hAnsi="Arial"/>
                <w:sz w:val="11"/>
                <w:szCs w:val="11"/>
                <w:color w:val="auto"/>
              </w:rPr>
              <w:t>Worldwide Downstream</w:t>
            </w:r>
          </w:p>
        </w:tc>
        <w:tc>
          <w:tcPr>
            <w:tcW w:w="1420" w:type="dxa"/>
            <w:vAlign w:val="bottom"/>
          </w:tcPr>
          <w:p>
            <w:pPr>
              <w:spacing w:after="0"/>
              <w:rPr>
                <w:sz w:val="10"/>
                <w:szCs w:val="10"/>
                <w:color w:val="auto"/>
              </w:rPr>
            </w:pPr>
          </w:p>
        </w:tc>
        <w:tc>
          <w:tcPr>
            <w:tcW w:w="1420" w:type="dxa"/>
            <w:vAlign w:val="bottom"/>
          </w:tcPr>
          <w:p>
            <w:pPr>
              <w:ind w:left="20"/>
              <w:spacing w:after="0"/>
              <w:rPr>
                <w:sz w:val="20"/>
                <w:szCs w:val="20"/>
                <w:color w:val="auto"/>
              </w:rPr>
            </w:pPr>
            <w:r>
              <w:rPr>
                <w:rFonts w:ascii="Arial" w:cs="Arial" w:eastAsia="Arial" w:hAnsi="Arial"/>
                <w:sz w:val="11"/>
                <w:szCs w:val="11"/>
                <w:color w:val="auto"/>
              </w:rPr>
              <w:t>U.S. refined product sales</w:t>
            </w:r>
          </w:p>
        </w:tc>
        <w:tc>
          <w:tcPr>
            <w:tcW w:w="1400" w:type="dxa"/>
            <w:vAlign w:val="bottom"/>
          </w:tcPr>
          <w:p>
            <w:pPr>
              <w:spacing w:after="0"/>
              <w:rPr>
                <w:sz w:val="10"/>
                <w:szCs w:val="10"/>
                <w:color w:val="auto"/>
              </w:rPr>
            </w:pPr>
          </w:p>
        </w:tc>
        <w:tc>
          <w:tcPr>
            <w:tcW w:w="1440" w:type="dxa"/>
            <w:vAlign w:val="bottom"/>
          </w:tcPr>
          <w:p>
            <w:pPr>
              <w:ind w:left="20"/>
              <w:spacing w:after="0"/>
              <w:rPr>
                <w:sz w:val="20"/>
                <w:szCs w:val="20"/>
                <w:color w:val="auto"/>
              </w:rPr>
            </w:pPr>
            <w:r>
              <w:rPr>
                <w:rFonts w:ascii="Arial" w:cs="Arial" w:eastAsia="Arial" w:hAnsi="Arial"/>
                <w:sz w:val="11"/>
                <w:szCs w:val="11"/>
                <w:color w:val="auto"/>
              </w:rPr>
              <w:t>International refined product</w:t>
            </w:r>
          </w:p>
        </w:tc>
      </w:tr>
      <w:tr>
        <w:trPr>
          <w:trHeight w:val="140"/>
        </w:trPr>
        <w:tc>
          <w:tcPr>
            <w:tcW w:w="1800" w:type="dxa"/>
            <w:vAlign w:val="bottom"/>
          </w:tcPr>
          <w:p>
            <w:pPr>
              <w:spacing w:after="0"/>
              <w:rPr>
                <w:sz w:val="20"/>
                <w:szCs w:val="20"/>
                <w:color w:val="auto"/>
              </w:rPr>
            </w:pPr>
            <w:r>
              <w:rPr>
                <w:rFonts w:ascii="Arial" w:cs="Arial" w:eastAsia="Arial" w:hAnsi="Arial"/>
                <w:sz w:val="9"/>
                <w:szCs w:val="9"/>
                <w:color w:val="auto"/>
              </w:rPr>
              <w:t>Billions of Dollars</w:t>
            </w:r>
          </w:p>
        </w:tc>
        <w:tc>
          <w:tcPr>
            <w:tcW w:w="1180" w:type="dxa"/>
            <w:vAlign w:val="bottom"/>
          </w:tcPr>
          <w:p>
            <w:pPr>
              <w:spacing w:after="0"/>
              <w:rPr>
                <w:sz w:val="12"/>
                <w:szCs w:val="12"/>
                <w:color w:val="auto"/>
              </w:rPr>
            </w:pPr>
          </w:p>
        </w:tc>
        <w:tc>
          <w:tcPr>
            <w:tcW w:w="1420" w:type="dxa"/>
            <w:vAlign w:val="bottom"/>
          </w:tcPr>
          <w:p>
            <w:pPr>
              <w:ind w:left="20"/>
              <w:spacing w:after="0"/>
              <w:rPr>
                <w:sz w:val="20"/>
                <w:szCs w:val="20"/>
                <w:color w:val="auto"/>
              </w:rPr>
            </w:pPr>
            <w:r>
              <w:rPr>
                <w:rFonts w:ascii="Arial" w:cs="Arial" w:eastAsia="Arial" w:hAnsi="Arial"/>
                <w:sz w:val="11"/>
                <w:szCs w:val="11"/>
                <w:color w:val="auto"/>
              </w:rPr>
              <w:t>earnings</w:t>
            </w:r>
          </w:p>
        </w:tc>
        <w:tc>
          <w:tcPr>
            <w:tcW w:w="1420" w:type="dxa"/>
            <w:vAlign w:val="bottom"/>
          </w:tcPr>
          <w:p>
            <w:pPr>
              <w:spacing w:after="0"/>
              <w:rPr>
                <w:sz w:val="12"/>
                <w:szCs w:val="12"/>
                <w:color w:val="auto"/>
              </w:rPr>
            </w:pPr>
          </w:p>
        </w:tc>
        <w:tc>
          <w:tcPr>
            <w:tcW w:w="1420" w:type="dxa"/>
            <w:vAlign w:val="bottom"/>
          </w:tcPr>
          <w:p>
            <w:pPr>
              <w:ind w:left="20"/>
              <w:spacing w:after="0"/>
              <w:rPr>
                <w:sz w:val="20"/>
                <w:szCs w:val="20"/>
                <w:color w:val="auto"/>
              </w:rPr>
            </w:pPr>
            <w:r>
              <w:rPr>
                <w:rFonts w:ascii="Arial" w:cs="Arial" w:eastAsia="Arial" w:hAnsi="Arial"/>
                <w:sz w:val="9"/>
                <w:szCs w:val="9"/>
                <w:color w:val="auto"/>
              </w:rPr>
              <w:t>Thousands of barrels per day</w:t>
            </w:r>
          </w:p>
        </w:tc>
        <w:tc>
          <w:tcPr>
            <w:tcW w:w="1400" w:type="dxa"/>
            <w:vAlign w:val="bottom"/>
          </w:tcPr>
          <w:p>
            <w:pPr>
              <w:spacing w:after="0"/>
              <w:rPr>
                <w:sz w:val="12"/>
                <w:szCs w:val="12"/>
                <w:color w:val="auto"/>
              </w:rPr>
            </w:pPr>
          </w:p>
        </w:tc>
        <w:tc>
          <w:tcPr>
            <w:tcW w:w="1440" w:type="dxa"/>
            <w:vAlign w:val="bottom"/>
          </w:tcPr>
          <w:p>
            <w:pPr>
              <w:ind w:left="20"/>
              <w:spacing w:after="0"/>
              <w:rPr>
                <w:sz w:val="20"/>
                <w:szCs w:val="20"/>
                <w:color w:val="auto"/>
              </w:rPr>
            </w:pPr>
            <w:r>
              <w:rPr>
                <w:rFonts w:ascii="Arial" w:cs="Arial" w:eastAsia="Arial" w:hAnsi="Arial"/>
                <w:sz w:val="11"/>
                <w:szCs w:val="11"/>
                <w:color w:val="auto"/>
              </w:rPr>
              <w:t>sales*</w:t>
            </w:r>
          </w:p>
        </w:tc>
      </w:tr>
      <w:tr>
        <w:trPr>
          <w:trHeight w:val="117"/>
        </w:trPr>
        <w:tc>
          <w:tcPr>
            <w:tcW w:w="18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20" w:type="dxa"/>
            <w:vAlign w:val="bottom"/>
          </w:tcPr>
          <w:p>
            <w:pPr>
              <w:ind w:left="20"/>
              <w:spacing w:after="0"/>
              <w:rPr>
                <w:sz w:val="20"/>
                <w:szCs w:val="20"/>
                <w:color w:val="auto"/>
              </w:rPr>
            </w:pPr>
            <w:r>
              <w:rPr>
                <w:rFonts w:ascii="Arial" w:cs="Arial" w:eastAsia="Arial" w:hAnsi="Arial"/>
                <w:sz w:val="9"/>
                <w:szCs w:val="9"/>
                <w:color w:val="auto"/>
              </w:rPr>
              <w:t>Billions of dollars</w:t>
            </w:r>
          </w:p>
        </w:tc>
        <w:tc>
          <w:tcPr>
            <w:tcW w:w="14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440" w:type="dxa"/>
            <w:vAlign w:val="bottom"/>
          </w:tcPr>
          <w:p>
            <w:pPr>
              <w:ind w:left="20"/>
              <w:spacing w:after="0"/>
              <w:rPr>
                <w:sz w:val="20"/>
                <w:szCs w:val="20"/>
                <w:color w:val="auto"/>
              </w:rPr>
            </w:pPr>
            <w:r>
              <w:rPr>
                <w:rFonts w:ascii="Arial" w:cs="Arial" w:eastAsia="Arial" w:hAnsi="Arial"/>
                <w:sz w:val="9"/>
                <w:szCs w:val="9"/>
                <w:color w:val="auto"/>
              </w:rPr>
              <w:t>Thousands of barrels per day</w:t>
            </w:r>
          </w:p>
        </w:tc>
      </w:tr>
      <w:tr>
        <w:trPr>
          <w:trHeight w:val="161"/>
        </w:trPr>
        <w:tc>
          <w:tcPr>
            <w:tcW w:w="1800" w:type="dxa"/>
            <w:vAlign w:val="bottom"/>
            <w:tcBorders>
              <w:bottom w:val="single" w:sz="8" w:color="DBDCDD"/>
            </w:tcBorders>
          </w:tcPr>
          <w:p>
            <w:pPr>
              <w:spacing w:after="0"/>
              <w:rPr>
                <w:sz w:val="14"/>
                <w:szCs w:val="14"/>
                <w:color w:val="auto"/>
              </w:rPr>
            </w:pPr>
          </w:p>
        </w:tc>
        <w:tc>
          <w:tcPr>
            <w:tcW w:w="1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Borders>
              <w:bottom w:val="single" w:sz="8" w:color="DBDCDD"/>
            </w:tcBorders>
          </w:tcPr>
          <w:p>
            <w:pPr>
              <w:spacing w:after="0"/>
              <w:rPr>
                <w:sz w:val="14"/>
                <w:szCs w:val="14"/>
                <w:color w:val="auto"/>
              </w:rPr>
            </w:pPr>
          </w:p>
        </w:tc>
        <w:tc>
          <w:tcPr>
            <w:tcW w:w="14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88"/>
        </w:trPr>
        <w:tc>
          <w:tcPr>
            <w:tcW w:w="18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420" w:type="dxa"/>
            <w:vAlign w:val="bottom"/>
            <w:tcBorders>
              <w:bottom w:val="single" w:sz="8" w:color="DBDCDD"/>
            </w:tcBorders>
          </w:tcPr>
          <w:p>
            <w:pPr>
              <w:spacing w:after="0"/>
              <w:rPr>
                <w:sz w:val="7"/>
                <w:szCs w:val="7"/>
                <w:color w:val="auto"/>
              </w:rPr>
            </w:pPr>
          </w:p>
        </w:tc>
        <w:tc>
          <w:tcPr>
            <w:tcW w:w="14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440" w:type="dxa"/>
            <w:vAlign w:val="bottom"/>
            <w:tcBorders>
              <w:bottom w:val="single" w:sz="8" w:color="DBDCDD"/>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wp:posOffset>
            </wp:positionH>
            <wp:positionV relativeFrom="paragraph">
              <wp:posOffset>51435</wp:posOffset>
            </wp:positionV>
            <wp:extent cx="822960" cy="131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2960" cy="1311275"/>
                    </a:xfrm>
                    <a:prstGeom prst="rect">
                      <a:avLst/>
                    </a:prstGeom>
                    <a:noFill/>
                  </pic:spPr>
                </pic:pic>
              </a:graphicData>
            </a:graphic>
          </wp:anchor>
        </w:drawing>
        <w:drawing>
          <wp:anchor simplePos="0" relativeHeight="251657728" behindDoc="1" locked="0" layoutInCell="0" allowOverlap="1">
            <wp:simplePos x="0" y="0"/>
            <wp:positionH relativeFrom="column">
              <wp:posOffset>2169160</wp:posOffset>
            </wp:positionH>
            <wp:positionV relativeFrom="paragraph">
              <wp:posOffset>120015</wp:posOffset>
            </wp:positionV>
            <wp:extent cx="822960" cy="131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2960" cy="1311275"/>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51435</wp:posOffset>
            </wp:positionV>
            <wp:extent cx="822960" cy="131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2960" cy="1311275"/>
                    </a:xfrm>
                    <a:prstGeom prst="rect">
                      <a:avLst/>
                    </a:prstGeom>
                    <a:noFill/>
                  </pic:spPr>
                </pic:pic>
              </a:graphicData>
            </a:graphic>
          </wp:anchor>
        </w:drawing>
        <w:drawing>
          <wp:anchor simplePos="0" relativeHeight="251657728" behindDoc="1" locked="0" layoutInCell="0" allowOverlap="1">
            <wp:simplePos x="0" y="0"/>
            <wp:positionH relativeFrom="column">
              <wp:posOffset>5769610</wp:posOffset>
            </wp:positionH>
            <wp:positionV relativeFrom="paragraph">
              <wp:posOffset>120015</wp:posOffset>
            </wp:positionV>
            <wp:extent cx="822960" cy="131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2960"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440" w:type="dxa"/>
        <w:tblCellMar>
          <w:top w:w="0" w:type="dxa"/>
          <w:left w:w="0" w:type="dxa"/>
          <w:bottom w:w="0" w:type="dxa"/>
          <w:right w:w="0" w:type="dxa"/>
        </w:tblCellMar>
      </w:tblPr>
      <w:tr>
        <w:trPr>
          <w:trHeight w:val="142"/>
        </w:trPr>
        <w:tc>
          <w:tcPr>
            <w:tcW w:w="120" w:type="dxa"/>
            <w:vAlign w:val="bottom"/>
            <w:tcBorders>
              <w:top w:val="single" w:sz="8" w:color="DBDCDD"/>
              <w:bottom w:val="single" w:sz="8" w:color="DBDCDD"/>
            </w:tcBorders>
          </w:tcPr>
          <w:p>
            <w:pPr>
              <w:spacing w:after="0"/>
              <w:rPr>
                <w:sz w:val="12"/>
                <w:szCs w:val="12"/>
                <w:color w:val="auto"/>
              </w:rPr>
            </w:pPr>
          </w:p>
        </w:tc>
        <w:tc>
          <w:tcPr>
            <w:tcW w:w="100" w:type="dxa"/>
            <w:vAlign w:val="bottom"/>
            <w:tcBorders>
              <w:top w:val="single" w:sz="8" w:color="DBDCDD"/>
              <w:bottom w:val="single" w:sz="8" w:color="009DD9"/>
            </w:tcBorders>
          </w:tcPr>
          <w:p>
            <w:pPr>
              <w:spacing w:after="0"/>
              <w:rPr>
                <w:sz w:val="12"/>
                <w:szCs w:val="12"/>
                <w:color w:val="auto"/>
              </w:rPr>
            </w:pPr>
          </w:p>
        </w:tc>
        <w:tc>
          <w:tcPr>
            <w:tcW w:w="1560" w:type="dxa"/>
            <w:vAlign w:val="bottom"/>
            <w:tcBorders>
              <w:top w:val="single" w:sz="8" w:color="DBDCDD"/>
              <w:bottom w:val="single" w:sz="8" w:color="DBDCDD"/>
            </w:tcBorders>
          </w:tcPr>
          <w:p>
            <w:pPr>
              <w:ind w:left="180"/>
              <w:spacing w:after="0" w:line="95" w:lineRule="exact"/>
              <w:rPr>
                <w:sz w:val="20"/>
                <w:szCs w:val="20"/>
                <w:color w:val="auto"/>
              </w:rPr>
            </w:pPr>
            <w:r>
              <w:rPr>
                <w:rFonts w:ascii="Arial" w:cs="Arial" w:eastAsia="Arial" w:hAnsi="Arial"/>
                <w:sz w:val="9"/>
                <w:szCs w:val="9"/>
                <w:color w:val="auto"/>
              </w:rPr>
              <w:t>United States</w:t>
            </w:r>
          </w:p>
        </w:tc>
        <w:tc>
          <w:tcPr>
            <w:tcW w:w="1200" w:type="dxa"/>
            <w:vAlign w:val="bottom"/>
          </w:tcPr>
          <w:p>
            <w:pPr>
              <w:spacing w:after="0"/>
              <w:rPr>
                <w:sz w:val="12"/>
                <w:szCs w:val="12"/>
                <w:color w:val="auto"/>
              </w:rPr>
            </w:pPr>
          </w:p>
        </w:tc>
        <w:tc>
          <w:tcPr>
            <w:tcW w:w="100" w:type="dxa"/>
            <w:vAlign w:val="bottom"/>
            <w:tcBorders>
              <w:bottom w:val="single" w:sz="8" w:color="DBDCDD"/>
            </w:tcBorders>
          </w:tcPr>
          <w:p>
            <w:pPr>
              <w:spacing w:after="0"/>
              <w:rPr>
                <w:sz w:val="12"/>
                <w:szCs w:val="12"/>
                <w:color w:val="auto"/>
              </w:rPr>
            </w:pPr>
          </w:p>
        </w:tc>
        <w:tc>
          <w:tcPr>
            <w:tcW w:w="80" w:type="dxa"/>
            <w:vAlign w:val="bottom"/>
            <w:tcBorders>
              <w:bottom w:val="single" w:sz="8" w:color="DBDCDD"/>
            </w:tcBorders>
          </w:tcPr>
          <w:p>
            <w:pPr>
              <w:spacing w:after="0"/>
              <w:rPr>
                <w:sz w:val="12"/>
                <w:szCs w:val="12"/>
                <w:color w:val="auto"/>
              </w:rPr>
            </w:pPr>
          </w:p>
        </w:tc>
        <w:tc>
          <w:tcPr>
            <w:tcW w:w="1240" w:type="dxa"/>
            <w:vAlign w:val="bottom"/>
            <w:tcBorders>
              <w:bottom w:val="single" w:sz="8" w:color="DBDCDD"/>
            </w:tcBorders>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Borders>
              <w:top w:val="single" w:sz="8" w:color="DBDCDD"/>
            </w:tcBorders>
          </w:tcPr>
          <w:p>
            <w:pPr>
              <w:spacing w:after="0"/>
              <w:rPr>
                <w:sz w:val="12"/>
                <w:szCs w:val="12"/>
                <w:color w:val="auto"/>
              </w:rPr>
            </w:pPr>
          </w:p>
        </w:tc>
        <w:tc>
          <w:tcPr>
            <w:tcW w:w="100" w:type="dxa"/>
            <w:vAlign w:val="bottom"/>
            <w:tcBorders>
              <w:top w:val="single" w:sz="8" w:color="DBDCDD"/>
              <w:bottom w:val="single" w:sz="8" w:color="8C8F93"/>
            </w:tcBorders>
          </w:tcPr>
          <w:p>
            <w:pPr>
              <w:spacing w:after="0"/>
              <w:rPr>
                <w:sz w:val="12"/>
                <w:szCs w:val="12"/>
                <w:color w:val="auto"/>
              </w:rPr>
            </w:pPr>
          </w:p>
        </w:tc>
        <w:tc>
          <w:tcPr>
            <w:tcW w:w="1220" w:type="dxa"/>
            <w:vAlign w:val="bottom"/>
            <w:tcBorders>
              <w:top w:val="single" w:sz="8" w:color="DBDCDD"/>
              <w:bottom w:val="single" w:sz="8" w:color="DBDCDD"/>
            </w:tcBorders>
          </w:tcPr>
          <w:p>
            <w:pPr>
              <w:ind w:left="140"/>
              <w:spacing w:after="0" w:line="95" w:lineRule="exact"/>
              <w:rPr>
                <w:sz w:val="20"/>
                <w:szCs w:val="20"/>
                <w:color w:val="auto"/>
              </w:rPr>
            </w:pPr>
            <w:r>
              <w:rPr>
                <w:rFonts w:ascii="Arial" w:cs="Arial" w:eastAsia="Arial" w:hAnsi="Arial"/>
                <w:sz w:val="9"/>
                <w:szCs w:val="9"/>
                <w:color w:val="auto"/>
              </w:rPr>
              <w:t>Other</w:t>
            </w:r>
          </w:p>
        </w:tc>
        <w:tc>
          <w:tcPr>
            <w:tcW w:w="1420" w:type="dxa"/>
            <w:vAlign w:val="bottom"/>
          </w:tcPr>
          <w:p>
            <w:pPr>
              <w:spacing w:after="0"/>
              <w:rPr>
                <w:sz w:val="12"/>
                <w:szCs w:val="12"/>
                <w:color w:val="auto"/>
              </w:rPr>
            </w:pPr>
          </w:p>
        </w:tc>
        <w:tc>
          <w:tcPr>
            <w:tcW w:w="100" w:type="dxa"/>
            <w:vAlign w:val="bottom"/>
            <w:tcBorders>
              <w:bottom w:val="single" w:sz="8" w:color="DBDCDD"/>
            </w:tcBorders>
          </w:tcPr>
          <w:p>
            <w:pPr>
              <w:spacing w:after="0"/>
              <w:rPr>
                <w:sz w:val="12"/>
                <w:szCs w:val="12"/>
                <w:color w:val="auto"/>
              </w:rPr>
            </w:pPr>
          </w:p>
        </w:tc>
        <w:tc>
          <w:tcPr>
            <w:tcW w:w="100" w:type="dxa"/>
            <w:vAlign w:val="bottom"/>
            <w:tcBorders>
              <w:bottom w:val="single" w:sz="8" w:color="DBDCDD"/>
            </w:tcBorders>
          </w:tcPr>
          <w:p>
            <w:pPr>
              <w:spacing w:after="0"/>
              <w:rPr>
                <w:sz w:val="12"/>
                <w:szCs w:val="12"/>
                <w:color w:val="auto"/>
              </w:rPr>
            </w:pPr>
          </w:p>
        </w:tc>
        <w:tc>
          <w:tcPr>
            <w:tcW w:w="1220" w:type="dxa"/>
            <w:vAlign w:val="bottom"/>
            <w:tcBorders>
              <w:bottom w:val="single" w:sz="8" w:color="DBDCDD"/>
            </w:tcBorders>
          </w:tcPr>
          <w:p>
            <w:pPr>
              <w:spacing w:after="0"/>
              <w:rPr>
                <w:sz w:val="12"/>
                <w:szCs w:val="12"/>
                <w:color w:val="auto"/>
              </w:rPr>
            </w:pPr>
          </w:p>
        </w:tc>
      </w:tr>
      <w:tr>
        <w:trPr>
          <w:trHeight w:val="128"/>
        </w:trPr>
        <w:tc>
          <w:tcPr>
            <w:tcW w:w="120" w:type="dxa"/>
            <w:vAlign w:val="bottom"/>
          </w:tcPr>
          <w:p>
            <w:pPr>
              <w:spacing w:after="0"/>
              <w:rPr>
                <w:sz w:val="11"/>
                <w:szCs w:val="11"/>
                <w:color w:val="auto"/>
              </w:rPr>
            </w:pPr>
          </w:p>
        </w:tc>
        <w:tc>
          <w:tcPr>
            <w:tcW w:w="100" w:type="dxa"/>
            <w:vAlign w:val="bottom"/>
            <w:tcBorders>
              <w:bottom w:val="single" w:sz="8" w:color="0066B2"/>
            </w:tcBorders>
          </w:tcPr>
          <w:p>
            <w:pPr>
              <w:spacing w:after="0"/>
              <w:rPr>
                <w:sz w:val="11"/>
                <w:szCs w:val="11"/>
                <w:color w:val="auto"/>
              </w:rPr>
            </w:pPr>
          </w:p>
        </w:tc>
        <w:tc>
          <w:tcPr>
            <w:tcW w:w="1560" w:type="dxa"/>
            <w:vAlign w:val="bottom"/>
          </w:tcPr>
          <w:p>
            <w:pPr>
              <w:ind w:left="180"/>
              <w:spacing w:after="0"/>
              <w:rPr>
                <w:sz w:val="20"/>
                <w:szCs w:val="20"/>
                <w:color w:val="auto"/>
              </w:rPr>
            </w:pPr>
            <w:r>
              <w:rPr>
                <w:rFonts w:ascii="Arial" w:cs="Arial" w:eastAsia="Arial" w:hAnsi="Arial"/>
                <w:sz w:val="9"/>
                <w:szCs w:val="9"/>
                <w:color w:val="auto"/>
              </w:rPr>
              <w:t>International</w:t>
            </w: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009DD9"/>
            </w:tcBorders>
          </w:tcPr>
          <w:p>
            <w:pPr>
              <w:spacing w:after="0"/>
              <w:rPr>
                <w:sz w:val="11"/>
                <w:szCs w:val="11"/>
                <w:color w:val="auto"/>
              </w:rPr>
            </w:pPr>
          </w:p>
        </w:tc>
        <w:tc>
          <w:tcPr>
            <w:tcW w:w="1240" w:type="dxa"/>
            <w:vAlign w:val="bottom"/>
          </w:tcPr>
          <w:p>
            <w:pPr>
              <w:ind w:left="140"/>
              <w:spacing w:after="0" w:line="68" w:lineRule="exact"/>
              <w:rPr>
                <w:sz w:val="20"/>
                <w:szCs w:val="20"/>
                <w:color w:val="auto"/>
              </w:rPr>
            </w:pPr>
            <w:r>
              <w:rPr>
                <w:rFonts w:ascii="Arial" w:cs="Arial" w:eastAsia="Arial" w:hAnsi="Arial"/>
                <w:sz w:val="7"/>
                <w:szCs w:val="7"/>
                <w:color w:val="auto"/>
              </w:rPr>
              <w:t>United States</w:t>
            </w: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444B0D"/>
            </w:tcBorders>
          </w:tcPr>
          <w:p>
            <w:pPr>
              <w:spacing w:after="0"/>
              <w:rPr>
                <w:sz w:val="11"/>
                <w:szCs w:val="11"/>
                <w:color w:val="auto"/>
              </w:rPr>
            </w:pPr>
          </w:p>
        </w:tc>
        <w:tc>
          <w:tcPr>
            <w:tcW w:w="1220" w:type="dxa"/>
            <w:vAlign w:val="bottom"/>
          </w:tcPr>
          <w:p>
            <w:pPr>
              <w:ind w:left="140"/>
              <w:spacing w:after="0"/>
              <w:rPr>
                <w:sz w:val="20"/>
                <w:szCs w:val="20"/>
                <w:color w:val="auto"/>
              </w:rPr>
            </w:pPr>
            <w:r>
              <w:rPr>
                <w:rFonts w:ascii="Arial" w:cs="Arial" w:eastAsia="Arial" w:hAnsi="Arial"/>
                <w:sz w:val="9"/>
                <w:szCs w:val="9"/>
                <w:color w:val="auto"/>
              </w:rPr>
              <w:t>Fuel oil</w:t>
            </w: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8C8F93"/>
            </w:tcBorders>
          </w:tcPr>
          <w:p>
            <w:pPr>
              <w:spacing w:after="0"/>
              <w:rPr>
                <w:sz w:val="11"/>
                <w:szCs w:val="11"/>
                <w:color w:val="auto"/>
              </w:rPr>
            </w:pPr>
          </w:p>
        </w:tc>
        <w:tc>
          <w:tcPr>
            <w:tcW w:w="1220" w:type="dxa"/>
            <w:vAlign w:val="bottom"/>
          </w:tcPr>
          <w:p>
            <w:pPr>
              <w:ind w:left="140"/>
              <w:spacing w:after="0" w:line="68" w:lineRule="exact"/>
              <w:rPr>
                <w:sz w:val="20"/>
                <w:szCs w:val="20"/>
                <w:color w:val="auto"/>
              </w:rPr>
            </w:pPr>
            <w:r>
              <w:rPr>
                <w:rFonts w:ascii="Arial" w:cs="Arial" w:eastAsia="Arial" w:hAnsi="Arial"/>
                <w:sz w:val="7"/>
                <w:szCs w:val="7"/>
                <w:color w:val="auto"/>
              </w:rPr>
              <w:t>Other</w:t>
            </w:r>
          </w:p>
        </w:tc>
      </w:tr>
      <w:tr>
        <w:trPr>
          <w:trHeight w:val="129"/>
        </w:trPr>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0066B2"/>
            </w:tcBorders>
          </w:tcPr>
          <w:p>
            <w:pPr>
              <w:spacing w:after="0"/>
              <w:rPr>
                <w:sz w:val="11"/>
                <w:szCs w:val="11"/>
                <w:color w:val="auto"/>
              </w:rPr>
            </w:pPr>
          </w:p>
        </w:tc>
        <w:tc>
          <w:tcPr>
            <w:tcW w:w="1240" w:type="dxa"/>
            <w:vAlign w:val="bottom"/>
          </w:tcPr>
          <w:p>
            <w:pPr>
              <w:ind w:left="140"/>
              <w:spacing w:after="0" w:line="68" w:lineRule="exact"/>
              <w:rPr>
                <w:sz w:val="20"/>
                <w:szCs w:val="20"/>
                <w:color w:val="auto"/>
              </w:rPr>
            </w:pPr>
            <w:r>
              <w:rPr>
                <w:rFonts w:ascii="Arial" w:cs="Arial" w:eastAsia="Arial" w:hAnsi="Arial"/>
                <w:sz w:val="7"/>
                <w:szCs w:val="7"/>
                <w:color w:val="auto"/>
              </w:rPr>
              <w:t>International</w:t>
            </w: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0066B2"/>
            </w:tcBorders>
          </w:tcPr>
          <w:p>
            <w:pPr>
              <w:spacing w:after="0"/>
              <w:rPr>
                <w:sz w:val="11"/>
                <w:szCs w:val="11"/>
                <w:color w:val="auto"/>
              </w:rPr>
            </w:pPr>
          </w:p>
        </w:tc>
        <w:tc>
          <w:tcPr>
            <w:tcW w:w="1220" w:type="dxa"/>
            <w:vAlign w:val="bottom"/>
          </w:tcPr>
          <w:p>
            <w:pPr>
              <w:ind w:left="140"/>
              <w:spacing w:after="0"/>
              <w:rPr>
                <w:sz w:val="20"/>
                <w:szCs w:val="20"/>
                <w:color w:val="auto"/>
              </w:rPr>
            </w:pPr>
            <w:r>
              <w:rPr>
                <w:rFonts w:ascii="Arial" w:cs="Arial" w:eastAsia="Arial" w:hAnsi="Arial"/>
                <w:sz w:val="9"/>
                <w:szCs w:val="9"/>
                <w:color w:val="auto"/>
              </w:rPr>
              <w:t>Diesel/Gas oil</w:t>
            </w: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444B0D"/>
            </w:tcBorders>
          </w:tcPr>
          <w:p>
            <w:pPr>
              <w:spacing w:after="0"/>
              <w:rPr>
                <w:sz w:val="11"/>
                <w:szCs w:val="11"/>
                <w:color w:val="auto"/>
              </w:rPr>
            </w:pPr>
          </w:p>
        </w:tc>
        <w:tc>
          <w:tcPr>
            <w:tcW w:w="1220" w:type="dxa"/>
            <w:vAlign w:val="bottom"/>
          </w:tcPr>
          <w:p>
            <w:pPr>
              <w:ind w:left="140"/>
              <w:spacing w:after="0" w:line="68" w:lineRule="exact"/>
              <w:rPr>
                <w:sz w:val="20"/>
                <w:szCs w:val="20"/>
                <w:color w:val="auto"/>
              </w:rPr>
            </w:pPr>
            <w:r>
              <w:rPr>
                <w:rFonts w:ascii="Arial" w:cs="Arial" w:eastAsia="Arial" w:hAnsi="Arial"/>
                <w:sz w:val="7"/>
                <w:szCs w:val="7"/>
                <w:color w:val="auto"/>
              </w:rPr>
              <w:t>Fuel oil</w:t>
            </w:r>
          </w:p>
        </w:tc>
      </w:tr>
      <w:tr>
        <w:trPr>
          <w:trHeight w:val="128"/>
        </w:trPr>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B2CC34"/>
            </w:tcBorders>
          </w:tcPr>
          <w:p>
            <w:pPr>
              <w:spacing w:after="0"/>
              <w:rPr>
                <w:sz w:val="11"/>
                <w:szCs w:val="11"/>
                <w:color w:val="auto"/>
              </w:rPr>
            </w:pPr>
          </w:p>
        </w:tc>
        <w:tc>
          <w:tcPr>
            <w:tcW w:w="1220" w:type="dxa"/>
            <w:vAlign w:val="bottom"/>
          </w:tcPr>
          <w:p>
            <w:pPr>
              <w:ind w:left="140"/>
              <w:spacing w:after="0"/>
              <w:rPr>
                <w:sz w:val="20"/>
                <w:szCs w:val="20"/>
                <w:color w:val="auto"/>
              </w:rPr>
            </w:pPr>
            <w:r>
              <w:rPr>
                <w:rFonts w:ascii="Arial" w:cs="Arial" w:eastAsia="Arial" w:hAnsi="Arial"/>
                <w:sz w:val="9"/>
                <w:szCs w:val="9"/>
                <w:color w:val="auto"/>
              </w:rPr>
              <w:t>Jet fuel</w:t>
            </w: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0066B2"/>
            </w:tcBorders>
          </w:tcPr>
          <w:p>
            <w:pPr>
              <w:spacing w:after="0"/>
              <w:rPr>
                <w:sz w:val="11"/>
                <w:szCs w:val="11"/>
                <w:color w:val="auto"/>
              </w:rPr>
            </w:pPr>
          </w:p>
        </w:tc>
        <w:tc>
          <w:tcPr>
            <w:tcW w:w="1220" w:type="dxa"/>
            <w:vAlign w:val="bottom"/>
          </w:tcPr>
          <w:p>
            <w:pPr>
              <w:ind w:left="140"/>
              <w:spacing w:after="0" w:line="68" w:lineRule="exact"/>
              <w:rPr>
                <w:sz w:val="20"/>
                <w:szCs w:val="20"/>
                <w:color w:val="auto"/>
              </w:rPr>
            </w:pPr>
            <w:r>
              <w:rPr>
                <w:rFonts w:ascii="Arial" w:cs="Arial" w:eastAsia="Arial" w:hAnsi="Arial"/>
                <w:sz w:val="7"/>
                <w:szCs w:val="7"/>
                <w:color w:val="auto"/>
              </w:rPr>
              <w:t>Diesel/Gas oil</w:t>
            </w:r>
          </w:p>
        </w:tc>
      </w:tr>
      <w:tr>
        <w:trPr>
          <w:trHeight w:val="128"/>
        </w:trPr>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009DD9"/>
            </w:tcBorders>
          </w:tcPr>
          <w:p>
            <w:pPr>
              <w:spacing w:after="0"/>
              <w:rPr>
                <w:sz w:val="11"/>
                <w:szCs w:val="11"/>
                <w:color w:val="auto"/>
              </w:rPr>
            </w:pPr>
          </w:p>
        </w:tc>
        <w:tc>
          <w:tcPr>
            <w:tcW w:w="1220" w:type="dxa"/>
            <w:vAlign w:val="bottom"/>
          </w:tcPr>
          <w:p>
            <w:pPr>
              <w:ind w:left="140"/>
              <w:spacing w:after="0"/>
              <w:rPr>
                <w:sz w:val="20"/>
                <w:szCs w:val="20"/>
                <w:color w:val="auto"/>
              </w:rPr>
            </w:pPr>
            <w:r>
              <w:rPr>
                <w:rFonts w:ascii="Arial" w:cs="Arial" w:eastAsia="Arial" w:hAnsi="Arial"/>
                <w:sz w:val="9"/>
                <w:szCs w:val="9"/>
                <w:color w:val="auto"/>
              </w:rPr>
              <w:t>Gasoline</w:t>
            </w: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B2CC34"/>
            </w:tcBorders>
          </w:tcPr>
          <w:p>
            <w:pPr>
              <w:spacing w:after="0"/>
              <w:rPr>
                <w:sz w:val="11"/>
                <w:szCs w:val="11"/>
                <w:color w:val="auto"/>
              </w:rPr>
            </w:pPr>
          </w:p>
        </w:tc>
        <w:tc>
          <w:tcPr>
            <w:tcW w:w="1220" w:type="dxa"/>
            <w:vAlign w:val="bottom"/>
          </w:tcPr>
          <w:p>
            <w:pPr>
              <w:ind w:left="140"/>
              <w:spacing w:after="0" w:line="68" w:lineRule="exact"/>
              <w:rPr>
                <w:sz w:val="20"/>
                <w:szCs w:val="20"/>
                <w:color w:val="auto"/>
              </w:rPr>
            </w:pPr>
            <w:r>
              <w:rPr>
                <w:rFonts w:ascii="Arial" w:cs="Arial" w:eastAsia="Arial" w:hAnsi="Arial"/>
                <w:sz w:val="7"/>
                <w:szCs w:val="7"/>
                <w:color w:val="auto"/>
              </w:rPr>
              <w:t>Jet fuel</w:t>
            </w:r>
          </w:p>
        </w:tc>
      </w:tr>
      <w:tr>
        <w:trPr>
          <w:trHeight w:val="88"/>
        </w:trPr>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bottom w:val="single" w:sz="8" w:color="009DD9"/>
            </w:tcBorders>
          </w:tcPr>
          <w:p>
            <w:pPr>
              <w:spacing w:after="0"/>
              <w:rPr>
                <w:sz w:val="7"/>
                <w:szCs w:val="7"/>
                <w:color w:val="auto"/>
              </w:rPr>
            </w:pPr>
          </w:p>
        </w:tc>
        <w:tc>
          <w:tcPr>
            <w:tcW w:w="1220" w:type="dxa"/>
            <w:vAlign w:val="bottom"/>
          </w:tcPr>
          <w:p>
            <w:pPr>
              <w:ind w:left="140"/>
              <w:spacing w:after="0" w:line="82" w:lineRule="exact"/>
              <w:rPr>
                <w:sz w:val="20"/>
                <w:szCs w:val="20"/>
                <w:color w:val="auto"/>
              </w:rPr>
            </w:pPr>
            <w:r>
              <w:rPr>
                <w:rFonts w:ascii="Arial" w:cs="Arial" w:eastAsia="Arial" w:hAnsi="Arial"/>
                <w:sz w:val="9"/>
                <w:szCs w:val="9"/>
                <w:color w:val="auto"/>
              </w:rPr>
              <w:t>Gasoline</w:t>
            </w:r>
          </w:p>
        </w:tc>
      </w:tr>
      <w:tr>
        <w:trPr>
          <w:trHeight w:val="149"/>
        </w:trPr>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20" w:type="dxa"/>
            <w:vAlign w:val="bottom"/>
            <w:gridSpan w:val="3"/>
          </w:tcPr>
          <w:p>
            <w:pPr>
              <w:ind w:left="20"/>
              <w:spacing w:after="0"/>
              <w:rPr>
                <w:sz w:val="20"/>
                <w:szCs w:val="20"/>
                <w:color w:val="auto"/>
              </w:rPr>
            </w:pPr>
            <w:r>
              <w:rPr>
                <w:rFonts w:ascii="Arial" w:cs="Arial" w:eastAsia="Arial" w:hAnsi="Arial"/>
                <w:sz w:val="9"/>
                <w:szCs w:val="9"/>
                <w:color w:val="auto"/>
              </w:rPr>
              <w:t>*includes equity share in affiliates</w:t>
            </w:r>
          </w:p>
        </w:tc>
      </w:tr>
    </w:tbl>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FF0000"/>
        </w:rPr>
        <w:t>U.S. Upstream</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820" w:type="dxa"/>
            <w:vAlign w:val="bottom"/>
            <w:tcBorders>
              <w:bottom w:val="single" w:sz="8" w:color="0077C0"/>
            </w:tcBorders>
          </w:tcPr>
          <w:p>
            <w:pPr>
              <w:spacing w:after="0"/>
              <w:rPr>
                <w:sz w:val="18"/>
                <w:szCs w:val="18"/>
                <w:color w:val="auto"/>
              </w:rPr>
            </w:pPr>
          </w:p>
        </w:tc>
        <w:tc>
          <w:tcPr>
            <w:tcW w:w="3000" w:type="dxa"/>
            <w:vAlign w:val="bottom"/>
            <w:tcBorders>
              <w:bottom w:val="single" w:sz="8" w:color="0077C0"/>
            </w:tcBorders>
          </w:tcPr>
          <w:p>
            <w:pPr>
              <w:jc w:val="center"/>
              <w:ind w:left="1508"/>
              <w:spacing w:after="0"/>
              <w:rPr>
                <w:sz w:val="20"/>
                <w:szCs w:val="20"/>
                <w:color w:val="auto"/>
              </w:rPr>
            </w:pPr>
            <w:r>
              <w:rPr>
                <w:rFonts w:ascii="Times New Roman" w:cs="Times New Roman" w:eastAsia="Times New Roman" w:hAnsi="Times New Roman"/>
                <w:sz w:val="14"/>
                <w:szCs w:val="14"/>
                <w:b w:val="1"/>
                <w:bCs w:val="1"/>
                <w:color w:val="auto"/>
                <w:w w:val="94"/>
              </w:rPr>
              <w:t xml:space="preserve">Unit </w:t>
            </w:r>
            <w:r>
              <w:rPr>
                <w:rFonts w:ascii="Times New Roman" w:cs="Times New Roman" w:eastAsia="Times New Roman" w:hAnsi="Times New Roman"/>
                <w:sz w:val="18"/>
                <w:szCs w:val="18"/>
                <w:b w:val="1"/>
                <w:bCs w:val="1"/>
                <w:color w:val="auto"/>
                <w:w w:val="94"/>
                <w:vertAlign w:val="superscript"/>
              </w:rPr>
              <w:t>*</w:t>
            </w:r>
          </w:p>
        </w:tc>
        <w:tc>
          <w:tcPr>
            <w:tcW w:w="560" w:type="dxa"/>
            <w:vAlign w:val="bottom"/>
            <w:tcBorders>
              <w:bottom w:val="single" w:sz="8" w:color="0077C0"/>
            </w:tcBorders>
          </w:tcPr>
          <w:p>
            <w:pPr>
              <w:spacing w:after="0"/>
              <w:rPr>
                <w:sz w:val="18"/>
                <w:szCs w:val="18"/>
                <w:color w:val="auto"/>
              </w:rPr>
            </w:pPr>
          </w:p>
        </w:tc>
        <w:tc>
          <w:tcPr>
            <w:tcW w:w="8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0077C0"/>
            </w:tcBorders>
          </w:tcPr>
          <w:p>
            <w:pPr>
              <w:spacing w:after="0"/>
              <w:rPr>
                <w:sz w:val="18"/>
                <w:szCs w:val="18"/>
                <w:color w:val="auto"/>
              </w:rPr>
            </w:pPr>
          </w:p>
        </w:tc>
        <w:tc>
          <w:tcPr>
            <w:tcW w:w="8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560" w:type="dxa"/>
            <w:vAlign w:val="bottom"/>
            <w:tcBorders>
              <w:bottom w:val="single" w:sz="8" w:color="0077C0"/>
            </w:tcBorders>
          </w:tcPr>
          <w:p>
            <w:pPr>
              <w:spacing w:after="0"/>
              <w:rPr>
                <w:sz w:val="18"/>
                <w:szCs w:val="18"/>
                <w:color w:val="auto"/>
              </w:rPr>
            </w:pPr>
          </w:p>
        </w:tc>
        <w:tc>
          <w:tcPr>
            <w:tcW w:w="8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r>
      <w:tr>
        <w:trPr>
          <w:trHeight w:val="184"/>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w:t>
            </w:r>
          </w:p>
        </w:tc>
        <w:tc>
          <w:tcPr>
            <w:tcW w:w="3000" w:type="dxa"/>
            <w:vAlign w:val="bottom"/>
          </w:tcPr>
          <w:p>
            <w:pPr>
              <w:jc w:val="center"/>
              <w:ind w:left="1488"/>
              <w:spacing w:after="0"/>
              <w:rPr>
                <w:sz w:val="20"/>
                <w:szCs w:val="20"/>
                <w:color w:val="auto"/>
              </w:rPr>
            </w:pPr>
            <w:r>
              <w:rPr>
                <w:rFonts w:ascii="Times New Roman" w:cs="Times New Roman" w:eastAsia="Times New Roman" w:hAnsi="Times New Roman"/>
                <w:sz w:val="14"/>
                <w:szCs w:val="14"/>
                <w:color w:val="auto"/>
              </w:rPr>
              <w:t>$MM</w:t>
            </w:r>
          </w:p>
        </w:tc>
        <w:tc>
          <w:tcPr>
            <w:tcW w:w="5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7,602</w:t>
            </w:r>
          </w:p>
        </w:tc>
        <w:tc>
          <w:tcPr>
            <w:tcW w:w="64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4,148</w:t>
            </w:r>
          </w:p>
        </w:tc>
        <w:tc>
          <w:tcPr>
            <w:tcW w:w="56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12,621</w:t>
            </w:r>
          </w:p>
        </w:tc>
      </w:tr>
      <w:tr>
        <w:trPr>
          <w:trHeight w:val="191"/>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Oil-Equivalent Production</w:t>
            </w:r>
          </w:p>
        </w:tc>
        <w:tc>
          <w:tcPr>
            <w:tcW w:w="3000" w:type="dxa"/>
            <w:vAlign w:val="bottom"/>
          </w:tcPr>
          <w:p>
            <w:pPr>
              <w:jc w:val="center"/>
              <w:ind w:left="1488"/>
              <w:spacing w:after="0"/>
              <w:rPr>
                <w:sz w:val="20"/>
                <w:szCs w:val="20"/>
                <w:color w:val="auto"/>
              </w:rPr>
            </w:pPr>
            <w:r>
              <w:rPr>
                <w:rFonts w:ascii="Times New Roman" w:cs="Times New Roman" w:eastAsia="Times New Roman" w:hAnsi="Times New Roman"/>
                <w:sz w:val="14"/>
                <w:szCs w:val="14"/>
                <w:color w:val="auto"/>
              </w:rPr>
              <w:t>MBOED</w:t>
            </w:r>
          </w:p>
        </w:tc>
        <w:tc>
          <w:tcPr>
            <w:tcW w:w="560" w:type="dxa"/>
            <w:vAlign w:val="bottom"/>
          </w:tcPr>
          <w:p>
            <w:pPr>
              <w:spacing w:after="0"/>
              <w:rPr>
                <w:sz w:val="16"/>
                <w:szCs w:val="16"/>
                <w:color w:val="auto"/>
              </w:rPr>
            </w:pPr>
          </w:p>
        </w:tc>
        <w:tc>
          <w:tcPr>
            <w:tcW w:w="86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1,599</w:t>
            </w:r>
          </w:p>
        </w:tc>
        <w:tc>
          <w:tcPr>
            <w:tcW w:w="6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w:t>
            </w:r>
          </w:p>
        </w:tc>
        <w:tc>
          <w:tcPr>
            <w:tcW w:w="5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1,181</w:t>
            </w:r>
          </w:p>
        </w:tc>
      </w:tr>
      <w:tr>
        <w:trPr>
          <w:trHeight w:val="203"/>
        </w:trPr>
        <w:tc>
          <w:tcPr>
            <w:tcW w:w="3820" w:type="dxa"/>
            <w:vAlign w:val="bottom"/>
          </w:tcPr>
          <w:p>
            <w:pPr>
              <w:ind w:left="360"/>
              <w:spacing w:after="0"/>
              <w:rPr>
                <w:sz w:val="20"/>
                <w:szCs w:val="20"/>
                <w:color w:val="auto"/>
              </w:rPr>
            </w:pPr>
            <w:r>
              <w:rPr>
                <w:rFonts w:ascii="Times New Roman" w:cs="Times New Roman" w:eastAsia="Times New Roman" w:hAnsi="Times New Roman"/>
                <w:sz w:val="14"/>
                <w:szCs w:val="14"/>
                <w:i w:val="1"/>
                <w:iCs w:val="1"/>
                <w:color w:val="auto"/>
              </w:rPr>
              <w:t>Liquids Production</w:t>
            </w:r>
          </w:p>
        </w:tc>
        <w:tc>
          <w:tcPr>
            <w:tcW w:w="3000" w:type="dxa"/>
            <w:vAlign w:val="bottom"/>
          </w:tcPr>
          <w:p>
            <w:pPr>
              <w:jc w:val="center"/>
              <w:ind w:left="1488"/>
              <w:spacing w:after="0"/>
              <w:rPr>
                <w:sz w:val="20"/>
                <w:szCs w:val="20"/>
                <w:color w:val="auto"/>
              </w:rPr>
            </w:pPr>
            <w:r>
              <w:rPr>
                <w:rFonts w:ascii="Times New Roman" w:cs="Times New Roman" w:eastAsia="Times New Roman" w:hAnsi="Times New Roman"/>
                <w:sz w:val="14"/>
                <w:szCs w:val="14"/>
                <w:i w:val="1"/>
                <w:iCs w:val="1"/>
                <w:color w:val="auto"/>
              </w:rPr>
              <w:t>MBD</w:t>
            </w:r>
          </w:p>
        </w:tc>
        <w:tc>
          <w:tcPr>
            <w:tcW w:w="560" w:type="dxa"/>
            <w:vAlign w:val="bottom"/>
          </w:tcPr>
          <w:p>
            <w:pPr>
              <w:spacing w:after="0"/>
              <w:rPr>
                <w:sz w:val="17"/>
                <w:szCs w:val="17"/>
                <w:color w:val="auto"/>
              </w:rPr>
            </w:pPr>
          </w:p>
        </w:tc>
        <w:tc>
          <w:tcPr>
            <w:tcW w:w="86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1,152</w:t>
            </w:r>
          </w:p>
        </w:tc>
        <w:tc>
          <w:tcPr>
            <w:tcW w:w="6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997</w:t>
            </w:r>
          </w:p>
        </w:tc>
        <w:tc>
          <w:tcPr>
            <w:tcW w:w="5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888</w:t>
            </w:r>
          </w:p>
        </w:tc>
      </w:tr>
      <w:tr>
        <w:trPr>
          <w:trHeight w:val="203"/>
        </w:trPr>
        <w:tc>
          <w:tcPr>
            <w:tcW w:w="3820" w:type="dxa"/>
            <w:vAlign w:val="bottom"/>
          </w:tcPr>
          <w:p>
            <w:pPr>
              <w:ind w:left="360"/>
              <w:spacing w:after="0"/>
              <w:rPr>
                <w:sz w:val="20"/>
                <w:szCs w:val="20"/>
                <w:color w:val="auto"/>
              </w:rPr>
            </w:pPr>
            <w:r>
              <w:rPr>
                <w:rFonts w:ascii="Times New Roman" w:cs="Times New Roman" w:eastAsia="Times New Roman" w:hAnsi="Times New Roman"/>
                <w:sz w:val="14"/>
                <w:szCs w:val="14"/>
                <w:i w:val="1"/>
                <w:iCs w:val="1"/>
                <w:color w:val="auto"/>
              </w:rPr>
              <w:t>Natural Gas Production</w:t>
            </w:r>
          </w:p>
        </w:tc>
        <w:tc>
          <w:tcPr>
            <w:tcW w:w="3000" w:type="dxa"/>
            <w:vAlign w:val="bottom"/>
          </w:tcPr>
          <w:p>
            <w:pPr>
              <w:jc w:val="center"/>
              <w:ind w:left="1488"/>
              <w:spacing w:after="0"/>
              <w:rPr>
                <w:sz w:val="20"/>
                <w:szCs w:val="20"/>
                <w:color w:val="auto"/>
              </w:rPr>
            </w:pPr>
            <w:r>
              <w:rPr>
                <w:rFonts w:ascii="Times New Roman" w:cs="Times New Roman" w:eastAsia="Times New Roman" w:hAnsi="Times New Roman"/>
                <w:sz w:val="14"/>
                <w:szCs w:val="14"/>
                <w:i w:val="1"/>
                <w:iCs w:val="1"/>
                <w:color w:val="auto"/>
              </w:rPr>
              <w:t>MMCFD</w:t>
            </w:r>
          </w:p>
        </w:tc>
        <w:tc>
          <w:tcPr>
            <w:tcW w:w="560" w:type="dxa"/>
            <w:vAlign w:val="bottom"/>
          </w:tcPr>
          <w:p>
            <w:pPr>
              <w:spacing w:after="0"/>
              <w:rPr>
                <w:sz w:val="17"/>
                <w:szCs w:val="17"/>
                <w:color w:val="auto"/>
              </w:rPr>
            </w:pPr>
          </w:p>
        </w:tc>
        <w:tc>
          <w:tcPr>
            <w:tcW w:w="86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2,684</w:t>
            </w:r>
          </w:p>
        </w:tc>
        <w:tc>
          <w:tcPr>
            <w:tcW w:w="6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2,112</w:t>
            </w:r>
          </w:p>
        </w:tc>
        <w:tc>
          <w:tcPr>
            <w:tcW w:w="5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1,758</w:t>
            </w:r>
          </w:p>
        </w:tc>
      </w:tr>
      <w:tr>
        <w:trPr>
          <w:trHeight w:val="202"/>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Liquids Realization</w:t>
            </w:r>
          </w:p>
        </w:tc>
        <w:tc>
          <w:tcPr>
            <w:tcW w:w="3000" w:type="dxa"/>
            <w:vAlign w:val="bottom"/>
          </w:tcPr>
          <w:p>
            <w:pPr>
              <w:jc w:val="center"/>
              <w:ind w:left="1488"/>
              <w:spacing w:after="0"/>
              <w:rPr>
                <w:sz w:val="20"/>
                <w:szCs w:val="20"/>
                <w:color w:val="auto"/>
              </w:rPr>
            </w:pPr>
            <w:r>
              <w:rPr>
                <w:rFonts w:ascii="Times New Roman" w:cs="Times New Roman" w:eastAsia="Times New Roman" w:hAnsi="Times New Roman"/>
                <w:sz w:val="14"/>
                <w:szCs w:val="14"/>
                <w:color w:val="auto"/>
              </w:rPr>
              <w:t>$/BBL</w:t>
            </w:r>
          </w:p>
        </w:tc>
        <w:tc>
          <w:tcPr>
            <w:tcW w:w="5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56.24</w:t>
            </w:r>
          </w:p>
        </w:tc>
        <w:tc>
          <w:tcPr>
            <w:tcW w:w="64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59.19</w:t>
            </w:r>
          </w:p>
        </w:tc>
        <w:tc>
          <w:tcPr>
            <w:tcW w:w="56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76.71</w:t>
            </w:r>
          </w:p>
        </w:tc>
      </w:tr>
      <w:tr>
        <w:trPr>
          <w:trHeight w:val="203"/>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Natural Gas Realization</w:t>
            </w:r>
          </w:p>
        </w:tc>
        <w:tc>
          <w:tcPr>
            <w:tcW w:w="3000" w:type="dxa"/>
            <w:vAlign w:val="bottom"/>
          </w:tcPr>
          <w:p>
            <w:pPr>
              <w:jc w:val="center"/>
              <w:ind w:left="1508"/>
              <w:spacing w:after="0"/>
              <w:rPr>
                <w:sz w:val="20"/>
                <w:szCs w:val="20"/>
                <w:color w:val="auto"/>
              </w:rPr>
            </w:pPr>
            <w:r>
              <w:rPr>
                <w:rFonts w:ascii="Times New Roman" w:cs="Times New Roman" w:eastAsia="Times New Roman" w:hAnsi="Times New Roman"/>
                <w:sz w:val="14"/>
                <w:szCs w:val="14"/>
                <w:color w:val="auto"/>
              </w:rPr>
              <w:t>$/MCF</w:t>
            </w:r>
          </w:p>
        </w:tc>
        <w:tc>
          <w:tcPr>
            <w:tcW w:w="5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1.04</w:t>
            </w:r>
          </w:p>
        </w:tc>
        <w:tc>
          <w:tcPr>
            <w:tcW w:w="64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1.67</w:t>
            </w:r>
          </w:p>
        </w:tc>
        <w:tc>
          <w:tcPr>
            <w:tcW w:w="56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w:t>
            </w:r>
          </w:p>
        </w:tc>
      </w:tr>
      <w:tr>
        <w:trPr>
          <w:trHeight w:val="23"/>
        </w:trPr>
        <w:tc>
          <w:tcPr>
            <w:tcW w:w="3820" w:type="dxa"/>
            <w:vAlign w:val="bottom"/>
            <w:tcBorders>
              <w:bottom w:val="single" w:sz="8" w:color="0070C0"/>
            </w:tcBorders>
          </w:tcPr>
          <w:p>
            <w:pPr>
              <w:spacing w:after="0"/>
              <w:rPr>
                <w:sz w:val="2"/>
                <w:szCs w:val="2"/>
                <w:color w:val="auto"/>
              </w:rPr>
            </w:pPr>
          </w:p>
        </w:tc>
        <w:tc>
          <w:tcPr>
            <w:tcW w:w="3000" w:type="dxa"/>
            <w:vAlign w:val="bottom"/>
            <w:tcBorders>
              <w:bottom w:val="single" w:sz="8" w:color="0070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860" w:type="dxa"/>
            <w:vAlign w:val="bottom"/>
            <w:tcBorders>
              <w:bottom w:val="single" w:sz="8" w:color="0077C0"/>
              <w:right w:val="single" w:sz="8" w:color="0077C0"/>
            </w:tcBorders>
          </w:tcPr>
          <w:p>
            <w:pPr>
              <w:spacing w:after="0"/>
              <w:rPr>
                <w:sz w:val="2"/>
                <w:szCs w:val="2"/>
                <w:color w:val="auto"/>
              </w:rPr>
            </w:pPr>
          </w:p>
        </w:tc>
        <w:tc>
          <w:tcPr>
            <w:tcW w:w="640" w:type="dxa"/>
            <w:vAlign w:val="bottom"/>
            <w:tcBorders>
              <w:bottom w:val="single" w:sz="8" w:color="0070C0"/>
            </w:tcBorders>
          </w:tcPr>
          <w:p>
            <w:pPr>
              <w:spacing w:after="0"/>
              <w:rPr>
                <w:sz w:val="2"/>
                <w:szCs w:val="2"/>
                <w:color w:val="auto"/>
              </w:rPr>
            </w:pPr>
          </w:p>
        </w:tc>
        <w:tc>
          <w:tcPr>
            <w:tcW w:w="880" w:type="dxa"/>
            <w:vAlign w:val="bottom"/>
            <w:tcBorders>
              <w:bottom w:val="single" w:sz="8" w:color="0070C0"/>
            </w:tcBorders>
          </w:tcPr>
          <w:p>
            <w:pPr>
              <w:spacing w:after="0"/>
              <w:rPr>
                <w:sz w:val="2"/>
                <w:szCs w:val="2"/>
                <w:color w:val="auto"/>
              </w:rPr>
            </w:pPr>
          </w:p>
        </w:tc>
        <w:tc>
          <w:tcPr>
            <w:tcW w:w="560" w:type="dxa"/>
            <w:vAlign w:val="bottom"/>
            <w:tcBorders>
              <w:bottom w:val="single" w:sz="8" w:color="0070C0"/>
            </w:tcBorders>
          </w:tcPr>
          <w:p>
            <w:pPr>
              <w:spacing w:after="0"/>
              <w:rPr>
                <w:sz w:val="2"/>
                <w:szCs w:val="2"/>
                <w:color w:val="auto"/>
              </w:rPr>
            </w:pPr>
          </w:p>
        </w:tc>
        <w:tc>
          <w:tcPr>
            <w:tcW w:w="880" w:type="dxa"/>
            <w:vAlign w:val="bottom"/>
            <w:tcBorders>
              <w:bottom w:val="single" w:sz="8" w:color="0070C0"/>
            </w:tcBorders>
          </w:tcPr>
          <w:p>
            <w:pPr>
              <w:spacing w:after="0"/>
              <w:rPr>
                <w:sz w:val="2"/>
                <w:szCs w:val="2"/>
                <w:color w:val="auto"/>
              </w:rPr>
            </w:pPr>
          </w:p>
        </w:tc>
      </w:tr>
    </w:tbl>
    <w:p>
      <w:pPr>
        <w:ind w:left="120" w:hanging="74"/>
        <w:spacing w:after="0" w:line="208" w:lineRule="auto"/>
        <w:tabs>
          <w:tab w:leader="none" w:pos="120" w:val="left"/>
        </w:tabs>
        <w:numPr>
          <w:ilvl w:val="0"/>
          <w:numId w:val="1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MBD — thousands of barrels per day; MMCFD — millions of cubic feet per day; BBL — Barrel; MCF — thousands of cubic feet; MBOED — thousands of barrels of oil-equivalent per day.</w:t>
      </w:r>
    </w:p>
    <w:p>
      <w:pPr>
        <w:spacing w:after="0" w:line="146" w:lineRule="exact"/>
        <w:rPr>
          <w:sz w:val="20"/>
          <w:szCs w:val="20"/>
          <w:color w:val="auto"/>
        </w:rPr>
      </w:pPr>
    </w:p>
    <w:p>
      <w:pPr>
        <w:jc w:val="both"/>
        <w:ind w:left="20"/>
        <w:spacing w:after="0" w:line="274" w:lineRule="auto"/>
        <w:rPr>
          <w:sz w:val="20"/>
          <w:szCs w:val="20"/>
          <w:color w:val="auto"/>
        </w:rPr>
      </w:pPr>
      <w:r>
        <w:rPr>
          <w:rFonts w:ascii="Times New Roman" w:cs="Times New Roman" w:eastAsia="Times New Roman" w:hAnsi="Times New Roman"/>
          <w:sz w:val="18"/>
          <w:szCs w:val="18"/>
          <w:color w:val="auto"/>
        </w:rPr>
        <w:t>U.S. upstream earnings increased by $3.5 billion primarily due to higher sales volumes of $2.2 billion, including from legacy PDC assets, and the absence of charges from decommissioning obligations for previously divested assets in the Gulf of America of $1.9 billion, partly offset by lower realizations of $790 million.</w:t>
      </w:r>
    </w:p>
    <w:p>
      <w:pPr>
        <w:spacing w:after="0" w:line="47" w:lineRule="exact"/>
        <w:rPr>
          <w:sz w:val="20"/>
          <w:szCs w:val="20"/>
          <w:color w:val="auto"/>
        </w:rPr>
      </w:pPr>
    </w:p>
    <w:p>
      <w:pPr>
        <w:jc w:val="both"/>
        <w:ind w:left="20"/>
        <w:spacing w:after="0" w:line="297" w:lineRule="auto"/>
        <w:rPr>
          <w:sz w:val="20"/>
          <w:szCs w:val="20"/>
          <w:color w:val="auto"/>
        </w:rPr>
      </w:pPr>
      <w:r>
        <w:rPr>
          <w:rFonts w:ascii="Times New Roman" w:cs="Times New Roman" w:eastAsia="Times New Roman" w:hAnsi="Times New Roman"/>
          <w:sz w:val="18"/>
          <w:szCs w:val="18"/>
          <w:color w:val="auto"/>
        </w:rPr>
        <w:t>Net oil-equivalent production was up 250,000 barrels per day, or 19 percent, primarily due to full-year of legacy PDC production and growth in the Permian Basin.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414" w:right="339" w:bottom="1440" w:gutter="0" w:footer="0" w:header="0"/>
        </w:sectPr>
      </w:pPr>
    </w:p>
    <w:bookmarkStart w:id="44" w:name="page45"/>
    <w:bookmarkEnd w:id="44"/>
    <w:p>
      <w:pPr>
        <w:spacing w:after="0"/>
        <w:tabs>
          <w:tab w:leader="none" w:pos="9400" w:val="left"/>
        </w:tabs>
        <w:rPr>
          <w:sz w:val="20"/>
          <w:szCs w:val="20"/>
          <w:color w:val="auto"/>
        </w:rPr>
      </w:pPr>
      <w:r>
        <w:rPr>
          <w:rFonts w:ascii="Arial" w:cs="Arial" w:eastAsia="Arial" w:hAnsi="Arial"/>
          <w:sz w:val="14"/>
          <w:szCs w:val="14"/>
          <w:color w:val="0077C0"/>
        </w:rPr>
        <w:t>Management’s Discussion and Analysis of Financial Condition and Results of Operations</w:t>
      </w:r>
      <w:r>
        <w:rPr>
          <w:sz w:val="20"/>
          <w:szCs w:val="20"/>
          <w:color w:val="auto"/>
        </w:rPr>
        <w:tab/>
      </w:r>
      <w:r>
        <w:rPr>
          <w:rFonts w:ascii="Arial" w:cs="Arial" w:eastAsia="Arial" w:hAnsi="Arial"/>
          <w:sz w:val="14"/>
          <w:szCs w:val="14"/>
          <w:color w:val="0077C0"/>
        </w:rPr>
        <w:t>Financial Table of Contents</w:t>
      </w:r>
    </w:p>
    <w:p>
      <w:pPr>
        <w:spacing w:after="0" w:line="200" w:lineRule="exact"/>
        <w:rPr>
          <w:sz w:val="20"/>
          <w:szCs w:val="20"/>
          <w:color w:val="auto"/>
        </w:rPr>
      </w:pPr>
    </w:p>
    <w:p>
      <w:pPr>
        <w:spacing w:after="0" w:line="3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FF0000"/>
        </w:rPr>
        <w:t>International Upstream</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800" w:type="dxa"/>
            <w:vAlign w:val="bottom"/>
          </w:tcPr>
          <w:p>
            <w:pPr>
              <w:spacing w:after="0"/>
              <w:rPr>
                <w:sz w:val="16"/>
                <w:szCs w:val="16"/>
                <w:color w:val="auto"/>
              </w:rPr>
            </w:pPr>
          </w:p>
        </w:tc>
        <w:tc>
          <w:tcPr>
            <w:tcW w:w="2980" w:type="dxa"/>
            <w:vAlign w:val="bottom"/>
          </w:tcPr>
          <w:p>
            <w:pPr>
              <w:jc w:val="center"/>
              <w:ind w:left="1508"/>
              <w:spacing w:after="0"/>
              <w:rPr>
                <w:sz w:val="20"/>
                <w:szCs w:val="20"/>
                <w:color w:val="auto"/>
              </w:rPr>
            </w:pPr>
            <w:r>
              <w:rPr>
                <w:rFonts w:ascii="Times New Roman" w:cs="Times New Roman" w:eastAsia="Times New Roman" w:hAnsi="Times New Roman"/>
                <w:sz w:val="14"/>
                <w:szCs w:val="14"/>
                <w:b w:val="1"/>
                <w:bCs w:val="1"/>
                <w:color w:val="auto"/>
              </w:rPr>
              <w:t>Unit</w:t>
            </w:r>
            <w:r>
              <w:rPr>
                <w:rFonts w:ascii="Times New Roman" w:cs="Times New Roman" w:eastAsia="Times New Roman" w:hAnsi="Times New Roman"/>
                <w:sz w:val="9"/>
                <w:szCs w:val="9"/>
                <w:b w:val="1"/>
                <w:bCs w:val="1"/>
                <w:color w:val="auto"/>
              </w:rPr>
              <w:t>2</w:t>
            </w:r>
          </w:p>
        </w:tc>
        <w:tc>
          <w:tcPr>
            <w:tcW w:w="5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3800" w:type="dxa"/>
            <w:vAlign w:val="bottom"/>
            <w:tcBorders>
              <w:bottom w:val="single" w:sz="8" w:color="0077C0"/>
            </w:tcBorders>
          </w:tcPr>
          <w:p>
            <w:pPr>
              <w:spacing w:after="0"/>
              <w:rPr>
                <w:sz w:val="2"/>
                <w:szCs w:val="2"/>
                <w:color w:val="auto"/>
              </w:rPr>
            </w:pPr>
          </w:p>
        </w:tc>
        <w:tc>
          <w:tcPr>
            <w:tcW w:w="2980" w:type="dxa"/>
            <w:vAlign w:val="bottom"/>
            <w:tcBorders>
              <w:bottom w:val="single" w:sz="8" w:color="0077C0"/>
            </w:tcBorders>
          </w:tcPr>
          <w:p>
            <w:pPr>
              <w:spacing w:after="0"/>
              <w:rPr>
                <w:sz w:val="2"/>
                <w:szCs w:val="2"/>
                <w:color w:val="auto"/>
              </w:rPr>
            </w:pPr>
          </w:p>
        </w:tc>
        <w:tc>
          <w:tcPr>
            <w:tcW w:w="50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94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r>
      <w:tr>
        <w:trPr>
          <w:trHeight w:val="184"/>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w:t>
            </w:r>
            <w:r>
              <w:rPr>
                <w:rFonts w:ascii="Times New Roman" w:cs="Times New Roman" w:eastAsia="Times New Roman" w:hAnsi="Times New Roman"/>
                <w:sz w:val="9"/>
                <w:szCs w:val="9"/>
                <w:color w:val="auto"/>
              </w:rPr>
              <w:t>1</w:t>
            </w:r>
          </w:p>
        </w:tc>
        <w:tc>
          <w:tcPr>
            <w:tcW w:w="2980" w:type="dxa"/>
            <w:vAlign w:val="bottom"/>
          </w:tcPr>
          <w:p>
            <w:pPr>
              <w:jc w:val="center"/>
              <w:ind w:left="1508"/>
              <w:spacing w:after="0"/>
              <w:rPr>
                <w:sz w:val="20"/>
                <w:szCs w:val="20"/>
                <w:color w:val="auto"/>
              </w:rPr>
            </w:pPr>
            <w:r>
              <w:rPr>
                <w:rFonts w:ascii="Times New Roman" w:cs="Times New Roman" w:eastAsia="Times New Roman" w:hAnsi="Times New Roman"/>
                <w:sz w:val="14"/>
                <w:szCs w:val="14"/>
                <w:color w:val="auto"/>
              </w:rPr>
              <w:t>$MM</w:t>
            </w:r>
          </w:p>
        </w:tc>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right w:val="single" w:sz="8" w:color="0077C0"/>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11,000</w:t>
            </w:r>
          </w:p>
        </w:tc>
        <w:tc>
          <w:tcPr>
            <w:tcW w:w="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13,290</w:t>
            </w:r>
          </w:p>
        </w:tc>
        <w:tc>
          <w:tcPr>
            <w:tcW w:w="5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17,663</w:t>
            </w:r>
          </w:p>
        </w:tc>
      </w:tr>
      <w:tr>
        <w:trPr>
          <w:trHeight w:val="191"/>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Oil-Equivalent Production</w:t>
            </w:r>
          </w:p>
        </w:tc>
        <w:tc>
          <w:tcPr>
            <w:tcW w:w="2980" w:type="dxa"/>
            <w:vAlign w:val="bottom"/>
          </w:tcPr>
          <w:p>
            <w:pPr>
              <w:jc w:val="center"/>
              <w:ind w:left="1508"/>
              <w:spacing w:after="0"/>
              <w:rPr>
                <w:sz w:val="20"/>
                <w:szCs w:val="20"/>
                <w:color w:val="auto"/>
              </w:rPr>
            </w:pPr>
            <w:r>
              <w:rPr>
                <w:rFonts w:ascii="Times New Roman" w:cs="Times New Roman" w:eastAsia="Times New Roman" w:hAnsi="Times New Roman"/>
                <w:sz w:val="14"/>
                <w:szCs w:val="14"/>
                <w:color w:val="auto"/>
              </w:rPr>
              <w:t>MBOED</w:t>
            </w:r>
          </w:p>
        </w:tc>
        <w:tc>
          <w:tcPr>
            <w:tcW w:w="500" w:type="dxa"/>
            <w:vAlign w:val="bottom"/>
          </w:tcPr>
          <w:p>
            <w:pPr>
              <w:spacing w:after="0"/>
              <w:rPr>
                <w:sz w:val="16"/>
                <w:szCs w:val="16"/>
                <w:color w:val="auto"/>
              </w:rPr>
            </w:pPr>
          </w:p>
        </w:tc>
        <w:tc>
          <w:tcPr>
            <w:tcW w:w="880" w:type="dxa"/>
            <w:vAlign w:val="bottom"/>
            <w:tcBorders>
              <w:right w:val="single" w:sz="8" w:color="0077C0"/>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1,739</w:t>
            </w:r>
          </w:p>
        </w:tc>
        <w:tc>
          <w:tcPr>
            <w:tcW w:w="6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1,771</w:t>
            </w: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1,818</w:t>
            </w:r>
          </w:p>
        </w:tc>
      </w:tr>
      <w:tr>
        <w:trPr>
          <w:trHeight w:val="203"/>
        </w:trPr>
        <w:tc>
          <w:tcPr>
            <w:tcW w:w="3800" w:type="dxa"/>
            <w:vAlign w:val="bottom"/>
          </w:tcPr>
          <w:p>
            <w:pPr>
              <w:ind w:left="360"/>
              <w:spacing w:after="0"/>
              <w:rPr>
                <w:sz w:val="20"/>
                <w:szCs w:val="20"/>
                <w:color w:val="auto"/>
              </w:rPr>
            </w:pPr>
            <w:r>
              <w:rPr>
                <w:rFonts w:ascii="Times New Roman" w:cs="Times New Roman" w:eastAsia="Times New Roman" w:hAnsi="Times New Roman"/>
                <w:sz w:val="14"/>
                <w:szCs w:val="14"/>
                <w:i w:val="1"/>
                <w:iCs w:val="1"/>
                <w:color w:val="auto"/>
              </w:rPr>
              <w:t>Liquids Production</w:t>
            </w:r>
          </w:p>
        </w:tc>
        <w:tc>
          <w:tcPr>
            <w:tcW w:w="2980" w:type="dxa"/>
            <w:vAlign w:val="bottom"/>
          </w:tcPr>
          <w:p>
            <w:pPr>
              <w:jc w:val="center"/>
              <w:ind w:left="1508"/>
              <w:spacing w:after="0"/>
              <w:rPr>
                <w:sz w:val="20"/>
                <w:szCs w:val="20"/>
                <w:color w:val="auto"/>
              </w:rPr>
            </w:pPr>
            <w:r>
              <w:rPr>
                <w:rFonts w:ascii="Times New Roman" w:cs="Times New Roman" w:eastAsia="Times New Roman" w:hAnsi="Times New Roman"/>
                <w:sz w:val="14"/>
                <w:szCs w:val="14"/>
                <w:i w:val="1"/>
                <w:iCs w:val="1"/>
                <w:color w:val="auto"/>
              </w:rPr>
              <w:t>MBD</w:t>
            </w:r>
          </w:p>
        </w:tc>
        <w:tc>
          <w:tcPr>
            <w:tcW w:w="500" w:type="dxa"/>
            <w:vAlign w:val="bottom"/>
          </w:tcPr>
          <w:p>
            <w:pPr>
              <w:spacing w:after="0"/>
              <w:rPr>
                <w:sz w:val="17"/>
                <w:szCs w:val="17"/>
                <w:color w:val="auto"/>
              </w:rPr>
            </w:pPr>
          </w:p>
        </w:tc>
        <w:tc>
          <w:tcPr>
            <w:tcW w:w="88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823</w:t>
            </w:r>
          </w:p>
        </w:tc>
        <w:tc>
          <w:tcPr>
            <w:tcW w:w="6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833</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831</w:t>
            </w:r>
          </w:p>
        </w:tc>
      </w:tr>
      <w:tr>
        <w:trPr>
          <w:trHeight w:val="203"/>
        </w:trPr>
        <w:tc>
          <w:tcPr>
            <w:tcW w:w="3800" w:type="dxa"/>
            <w:vAlign w:val="bottom"/>
          </w:tcPr>
          <w:p>
            <w:pPr>
              <w:ind w:left="360"/>
              <w:spacing w:after="0"/>
              <w:rPr>
                <w:sz w:val="20"/>
                <w:szCs w:val="20"/>
                <w:color w:val="auto"/>
              </w:rPr>
            </w:pPr>
            <w:r>
              <w:rPr>
                <w:rFonts w:ascii="Times New Roman" w:cs="Times New Roman" w:eastAsia="Times New Roman" w:hAnsi="Times New Roman"/>
                <w:sz w:val="14"/>
                <w:szCs w:val="14"/>
                <w:i w:val="1"/>
                <w:iCs w:val="1"/>
                <w:color w:val="auto"/>
              </w:rPr>
              <w:t>Natural Gas Production</w:t>
            </w:r>
          </w:p>
        </w:tc>
        <w:tc>
          <w:tcPr>
            <w:tcW w:w="2980" w:type="dxa"/>
            <w:vAlign w:val="bottom"/>
          </w:tcPr>
          <w:p>
            <w:pPr>
              <w:jc w:val="center"/>
              <w:ind w:left="1508"/>
              <w:spacing w:after="0"/>
              <w:rPr>
                <w:sz w:val="20"/>
                <w:szCs w:val="20"/>
                <w:color w:val="auto"/>
              </w:rPr>
            </w:pPr>
            <w:r>
              <w:rPr>
                <w:rFonts w:ascii="Times New Roman" w:cs="Times New Roman" w:eastAsia="Times New Roman" w:hAnsi="Times New Roman"/>
                <w:sz w:val="14"/>
                <w:szCs w:val="14"/>
                <w:i w:val="1"/>
                <w:iCs w:val="1"/>
                <w:color w:val="auto"/>
              </w:rPr>
              <w:t>MMCFD</w:t>
            </w:r>
          </w:p>
        </w:tc>
        <w:tc>
          <w:tcPr>
            <w:tcW w:w="500" w:type="dxa"/>
            <w:vAlign w:val="bottom"/>
          </w:tcPr>
          <w:p>
            <w:pPr>
              <w:spacing w:after="0"/>
              <w:rPr>
                <w:sz w:val="17"/>
                <w:szCs w:val="17"/>
                <w:color w:val="auto"/>
              </w:rPr>
            </w:pPr>
          </w:p>
        </w:tc>
        <w:tc>
          <w:tcPr>
            <w:tcW w:w="88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5,494</w:t>
            </w:r>
          </w:p>
        </w:tc>
        <w:tc>
          <w:tcPr>
            <w:tcW w:w="6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5,632</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5,919</w:t>
            </w:r>
          </w:p>
        </w:tc>
      </w:tr>
      <w:tr>
        <w:trPr>
          <w:trHeight w:val="203"/>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Liquids Realization</w:t>
            </w:r>
          </w:p>
        </w:tc>
        <w:tc>
          <w:tcPr>
            <w:tcW w:w="2980" w:type="dxa"/>
            <w:vAlign w:val="bottom"/>
          </w:tcPr>
          <w:p>
            <w:pPr>
              <w:jc w:val="center"/>
              <w:ind w:left="1508"/>
              <w:spacing w:after="0"/>
              <w:rPr>
                <w:sz w:val="20"/>
                <w:szCs w:val="20"/>
                <w:color w:val="auto"/>
              </w:rPr>
            </w:pPr>
            <w:r>
              <w:rPr>
                <w:rFonts w:ascii="Times New Roman" w:cs="Times New Roman" w:eastAsia="Times New Roman" w:hAnsi="Times New Roman"/>
                <w:sz w:val="14"/>
                <w:szCs w:val="14"/>
                <w:color w:val="auto"/>
              </w:rPr>
              <w:t>$/BBL</w:t>
            </w:r>
          </w:p>
        </w:tc>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right w:val="single" w:sz="8" w:color="0077C0"/>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71.38</w:t>
            </w:r>
          </w:p>
        </w:tc>
        <w:tc>
          <w:tcPr>
            <w:tcW w:w="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71.70</w:t>
            </w:r>
          </w:p>
        </w:tc>
        <w:tc>
          <w:tcPr>
            <w:tcW w:w="5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90.71</w:t>
            </w:r>
          </w:p>
        </w:tc>
      </w:tr>
      <w:tr>
        <w:trPr>
          <w:trHeight w:val="203"/>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Natural Gas Realization</w:t>
            </w:r>
          </w:p>
        </w:tc>
        <w:tc>
          <w:tcPr>
            <w:tcW w:w="2980" w:type="dxa"/>
            <w:vAlign w:val="bottom"/>
          </w:tcPr>
          <w:p>
            <w:pPr>
              <w:jc w:val="center"/>
              <w:ind w:left="1528"/>
              <w:spacing w:after="0"/>
              <w:rPr>
                <w:sz w:val="20"/>
                <w:szCs w:val="20"/>
                <w:color w:val="auto"/>
              </w:rPr>
            </w:pPr>
            <w:r>
              <w:rPr>
                <w:rFonts w:ascii="Times New Roman" w:cs="Times New Roman" w:eastAsia="Times New Roman" w:hAnsi="Times New Roman"/>
                <w:sz w:val="14"/>
                <w:szCs w:val="14"/>
                <w:color w:val="auto"/>
              </w:rPr>
              <w:t>$/MCF</w:t>
            </w:r>
          </w:p>
        </w:tc>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right w:val="single" w:sz="8" w:color="0077C0"/>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7.32</w:t>
            </w:r>
          </w:p>
        </w:tc>
        <w:tc>
          <w:tcPr>
            <w:tcW w:w="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7.69</w:t>
            </w:r>
          </w:p>
        </w:tc>
        <w:tc>
          <w:tcPr>
            <w:tcW w:w="5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w:t>
            </w:r>
          </w:p>
        </w:tc>
      </w:tr>
      <w:tr>
        <w:trPr>
          <w:trHeight w:val="23"/>
        </w:trPr>
        <w:tc>
          <w:tcPr>
            <w:tcW w:w="3800" w:type="dxa"/>
            <w:vAlign w:val="bottom"/>
            <w:tcBorders>
              <w:bottom w:val="single" w:sz="8" w:color="0070C0"/>
            </w:tcBorders>
          </w:tcPr>
          <w:p>
            <w:pPr>
              <w:spacing w:after="0"/>
              <w:rPr>
                <w:sz w:val="2"/>
                <w:szCs w:val="2"/>
                <w:color w:val="auto"/>
              </w:rPr>
            </w:pPr>
          </w:p>
        </w:tc>
        <w:tc>
          <w:tcPr>
            <w:tcW w:w="2980" w:type="dxa"/>
            <w:vAlign w:val="bottom"/>
            <w:tcBorders>
              <w:bottom w:val="single" w:sz="8" w:color="0070C0"/>
            </w:tcBorders>
          </w:tcPr>
          <w:p>
            <w:pPr>
              <w:spacing w:after="0"/>
              <w:rPr>
                <w:sz w:val="2"/>
                <w:szCs w:val="2"/>
                <w:color w:val="auto"/>
              </w:rPr>
            </w:pPr>
          </w:p>
        </w:tc>
        <w:tc>
          <w:tcPr>
            <w:tcW w:w="500" w:type="dxa"/>
            <w:vAlign w:val="bottom"/>
            <w:tcBorders>
              <w:bottom w:val="single" w:sz="8" w:color="0077C0"/>
            </w:tcBorders>
          </w:tcPr>
          <w:p>
            <w:pPr>
              <w:spacing w:after="0"/>
              <w:rPr>
                <w:sz w:val="2"/>
                <w:szCs w:val="2"/>
                <w:color w:val="auto"/>
              </w:rPr>
            </w:pPr>
          </w:p>
        </w:tc>
        <w:tc>
          <w:tcPr>
            <w:tcW w:w="880" w:type="dxa"/>
            <w:vAlign w:val="bottom"/>
            <w:tcBorders>
              <w:bottom w:val="single" w:sz="8" w:color="0077C0"/>
              <w:right w:val="single" w:sz="8" w:color="0077C0"/>
            </w:tcBorders>
          </w:tcPr>
          <w:p>
            <w:pPr>
              <w:spacing w:after="0"/>
              <w:rPr>
                <w:sz w:val="2"/>
                <w:szCs w:val="2"/>
                <w:color w:val="auto"/>
              </w:rPr>
            </w:pPr>
          </w:p>
        </w:tc>
        <w:tc>
          <w:tcPr>
            <w:tcW w:w="620" w:type="dxa"/>
            <w:vAlign w:val="bottom"/>
            <w:tcBorders>
              <w:bottom w:val="single" w:sz="8" w:color="0070C0"/>
            </w:tcBorders>
          </w:tcPr>
          <w:p>
            <w:pPr>
              <w:spacing w:after="0"/>
              <w:rPr>
                <w:sz w:val="2"/>
                <w:szCs w:val="2"/>
                <w:color w:val="auto"/>
              </w:rPr>
            </w:pPr>
          </w:p>
        </w:tc>
        <w:tc>
          <w:tcPr>
            <w:tcW w:w="940" w:type="dxa"/>
            <w:vAlign w:val="bottom"/>
            <w:tcBorders>
              <w:bottom w:val="single" w:sz="8" w:color="0070C0"/>
            </w:tcBorders>
          </w:tcPr>
          <w:p>
            <w:pPr>
              <w:spacing w:after="0"/>
              <w:rPr>
                <w:sz w:val="2"/>
                <w:szCs w:val="2"/>
                <w:color w:val="auto"/>
              </w:rPr>
            </w:pPr>
          </w:p>
        </w:tc>
        <w:tc>
          <w:tcPr>
            <w:tcW w:w="580" w:type="dxa"/>
            <w:vAlign w:val="bottom"/>
            <w:tcBorders>
              <w:bottom w:val="single" w:sz="8" w:color="0070C0"/>
            </w:tcBorders>
          </w:tcPr>
          <w:p>
            <w:pPr>
              <w:spacing w:after="0"/>
              <w:rPr>
                <w:sz w:val="2"/>
                <w:szCs w:val="2"/>
                <w:color w:val="auto"/>
              </w:rPr>
            </w:pPr>
          </w:p>
        </w:tc>
        <w:tc>
          <w:tcPr>
            <w:tcW w:w="900" w:type="dxa"/>
            <w:vAlign w:val="bottom"/>
            <w:tcBorders>
              <w:bottom w:val="single" w:sz="8" w:color="0070C0"/>
            </w:tcBorders>
          </w:tcPr>
          <w:p>
            <w:pPr>
              <w:spacing w:after="0"/>
              <w:rPr>
                <w:sz w:val="2"/>
                <w:szCs w:val="2"/>
                <w:color w:val="auto"/>
              </w:rPr>
            </w:pPr>
          </w:p>
        </w:tc>
      </w:tr>
      <w:tr>
        <w:trPr>
          <w:trHeight w:val="208"/>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3"/>
                <w:szCs w:val="13"/>
                <w:color w:val="auto"/>
              </w:rPr>
              <w:t xml:space="preserve"> Includes foreign currency effects:</w:t>
            </w:r>
          </w:p>
        </w:tc>
        <w:tc>
          <w:tcPr>
            <w:tcW w:w="298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395</w:t>
            </w:r>
          </w:p>
        </w:tc>
        <w:tc>
          <w:tcPr>
            <w:tcW w:w="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ind w:right="29"/>
              <w:spacing w:after="0"/>
              <w:rPr>
                <w:sz w:val="20"/>
                <w:szCs w:val="20"/>
                <w:color w:val="auto"/>
              </w:rPr>
            </w:pPr>
            <w:r>
              <w:rPr>
                <w:rFonts w:ascii="Times New Roman" w:cs="Times New Roman" w:eastAsia="Times New Roman" w:hAnsi="Times New Roman"/>
                <w:sz w:val="13"/>
                <w:szCs w:val="13"/>
                <w:color w:val="auto"/>
              </w:rPr>
              <w:t>376</w:t>
            </w:r>
          </w:p>
        </w:tc>
        <w:tc>
          <w:tcPr>
            <w:tcW w:w="5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816</w:t>
            </w:r>
          </w:p>
        </w:tc>
      </w:tr>
    </w:tbl>
    <w:p>
      <w:pPr>
        <w:ind w:left="140" w:hanging="94"/>
        <w:spacing w:after="0" w:line="210" w:lineRule="auto"/>
        <w:tabs>
          <w:tab w:leader="none" w:pos="140" w:val="left"/>
        </w:tabs>
        <w:numPr>
          <w:ilvl w:val="0"/>
          <w:numId w:val="1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MBD — thousands of barrels per day; MMCFD — millions of cubic feet per day; BBL — Barrel; MCF — thousands of cubic feet; MBOED — thousands of barrels of oil-equivalent per day.</w:t>
      </w:r>
    </w:p>
    <w:p>
      <w:pPr>
        <w:spacing w:after="0" w:line="92" w:lineRule="exact"/>
        <w:rPr>
          <w:sz w:val="20"/>
          <w:szCs w:val="20"/>
          <w:color w:val="auto"/>
        </w:rPr>
      </w:pPr>
    </w:p>
    <w:p>
      <w:pPr>
        <w:jc w:val="both"/>
        <w:ind w:left="20"/>
        <w:spacing w:after="0" w:line="274" w:lineRule="auto"/>
        <w:rPr>
          <w:sz w:val="20"/>
          <w:szCs w:val="20"/>
          <w:color w:val="auto"/>
        </w:rPr>
      </w:pPr>
      <w:r>
        <w:rPr>
          <w:rFonts w:ascii="Times New Roman" w:cs="Times New Roman" w:eastAsia="Times New Roman" w:hAnsi="Times New Roman"/>
          <w:sz w:val="18"/>
          <w:szCs w:val="18"/>
          <w:color w:val="auto"/>
        </w:rPr>
        <w:t>International upstream earnings decreased by $2.3 billion primarily due to lower realizations of $770 million, higher operating expenses of $580 million, lower sales volumes of $570 million and absence of favorable one-time tax benefit in Nigeria of $560 million. Foreign currency effects had a favorable impact on earnings of $19 million between periods.</w:t>
      </w:r>
    </w:p>
    <w:p>
      <w:pPr>
        <w:spacing w:after="0" w:line="61"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Net oil-equivalent production was down 32,000 barrels per day, or 2 percent. The decrease was primarily due to downtime at TCO and Nigeria, and withdrawal from Myanmar, partly offset by entitlement effects.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FF0000"/>
        </w:rPr>
        <w:t>U.S. Downstream</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760" w:type="dxa"/>
            <w:vAlign w:val="bottom"/>
            <w:tcBorders>
              <w:bottom w:val="single" w:sz="8" w:color="0077C0"/>
            </w:tcBorders>
          </w:tcPr>
          <w:p>
            <w:pPr>
              <w:spacing w:after="0"/>
              <w:rPr>
                <w:sz w:val="18"/>
                <w:szCs w:val="18"/>
                <w:color w:val="auto"/>
              </w:rPr>
            </w:pPr>
          </w:p>
        </w:tc>
        <w:tc>
          <w:tcPr>
            <w:tcW w:w="2800" w:type="dxa"/>
            <w:vAlign w:val="bottom"/>
            <w:tcBorders>
              <w:bottom w:val="single" w:sz="8" w:color="0077C0"/>
            </w:tcBorders>
          </w:tcPr>
          <w:p>
            <w:pPr>
              <w:ind w:left="2160"/>
              <w:spacing w:after="0"/>
              <w:rPr>
                <w:sz w:val="20"/>
                <w:szCs w:val="20"/>
                <w:color w:val="auto"/>
              </w:rPr>
            </w:pPr>
            <w:r>
              <w:rPr>
                <w:rFonts w:ascii="Times New Roman" w:cs="Times New Roman" w:eastAsia="Times New Roman" w:hAnsi="Times New Roman"/>
                <w:sz w:val="14"/>
                <w:szCs w:val="14"/>
                <w:b w:val="1"/>
                <w:bCs w:val="1"/>
                <w:color w:val="auto"/>
              </w:rPr>
              <w:t xml:space="preserve">Unit </w:t>
            </w:r>
            <w:r>
              <w:rPr>
                <w:rFonts w:ascii="Times New Roman" w:cs="Times New Roman" w:eastAsia="Times New Roman" w:hAnsi="Times New Roman"/>
                <w:sz w:val="18"/>
                <w:szCs w:val="18"/>
                <w:b w:val="1"/>
                <w:bCs w:val="1"/>
                <w:color w:val="auto"/>
                <w:vertAlign w:val="superscript"/>
              </w:rPr>
              <w:t>*</w:t>
            </w:r>
          </w:p>
        </w:tc>
        <w:tc>
          <w:tcPr>
            <w:tcW w:w="840" w:type="dxa"/>
            <w:vAlign w:val="bottom"/>
            <w:tcBorders>
              <w:bottom w:val="single" w:sz="8" w:color="0077C0"/>
            </w:tcBorders>
          </w:tcPr>
          <w:p>
            <w:pPr>
              <w:spacing w:after="0"/>
              <w:rPr>
                <w:sz w:val="18"/>
                <w:szCs w:val="18"/>
                <w:color w:val="auto"/>
              </w:rPr>
            </w:pPr>
          </w:p>
        </w:tc>
        <w:tc>
          <w:tcPr>
            <w:tcW w:w="8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0077C0"/>
            </w:tcBorders>
          </w:tcPr>
          <w:p>
            <w:pPr>
              <w:spacing w:after="0"/>
              <w:rPr>
                <w:sz w:val="18"/>
                <w:szCs w:val="18"/>
                <w:color w:val="auto"/>
              </w:rPr>
            </w:pPr>
          </w:p>
        </w:tc>
        <w:tc>
          <w:tcPr>
            <w:tcW w:w="8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620" w:type="dxa"/>
            <w:vAlign w:val="bottom"/>
            <w:tcBorders>
              <w:bottom w:val="single" w:sz="8" w:color="0077C0"/>
            </w:tcBorders>
          </w:tcPr>
          <w:p>
            <w:pPr>
              <w:spacing w:after="0"/>
              <w:rPr>
                <w:sz w:val="18"/>
                <w:szCs w:val="18"/>
                <w:color w:val="auto"/>
              </w:rPr>
            </w:pPr>
          </w:p>
        </w:tc>
        <w:tc>
          <w:tcPr>
            <w:tcW w:w="8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r>
      <w:tr>
        <w:trPr>
          <w:trHeight w:val="184"/>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w:t>
            </w:r>
          </w:p>
        </w:tc>
        <w:tc>
          <w:tcPr>
            <w:tcW w:w="2800" w:type="dxa"/>
            <w:vAlign w:val="bottom"/>
          </w:tcPr>
          <w:p>
            <w:pPr>
              <w:ind w:left="2180"/>
              <w:spacing w:after="0"/>
              <w:rPr>
                <w:sz w:val="20"/>
                <w:szCs w:val="20"/>
                <w:color w:val="auto"/>
              </w:rPr>
            </w:pPr>
            <w:r>
              <w:rPr>
                <w:rFonts w:ascii="Times New Roman" w:cs="Times New Roman" w:eastAsia="Times New Roman" w:hAnsi="Times New Roman"/>
                <w:sz w:val="14"/>
                <w:szCs w:val="14"/>
                <w:color w:val="auto"/>
              </w:rPr>
              <w:t>$MM</w:t>
            </w:r>
          </w:p>
        </w:tc>
        <w:tc>
          <w:tcPr>
            <w:tcW w:w="84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531</w:t>
            </w:r>
          </w:p>
        </w:tc>
        <w:tc>
          <w:tcPr>
            <w:tcW w:w="60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3,904</w:t>
            </w:r>
          </w:p>
        </w:tc>
        <w:tc>
          <w:tcPr>
            <w:tcW w:w="6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5,394</w:t>
            </w:r>
          </w:p>
        </w:tc>
      </w:tr>
      <w:tr>
        <w:trPr>
          <w:trHeight w:val="191"/>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Refinery Crude Unit Inputs</w:t>
            </w:r>
          </w:p>
        </w:tc>
        <w:tc>
          <w:tcPr>
            <w:tcW w:w="2800" w:type="dxa"/>
            <w:vAlign w:val="bottom"/>
          </w:tcPr>
          <w:p>
            <w:pPr>
              <w:ind w:left="2180"/>
              <w:spacing w:after="0"/>
              <w:rPr>
                <w:sz w:val="20"/>
                <w:szCs w:val="20"/>
                <w:color w:val="auto"/>
              </w:rPr>
            </w:pPr>
            <w:r>
              <w:rPr>
                <w:rFonts w:ascii="Times New Roman" w:cs="Times New Roman" w:eastAsia="Times New Roman" w:hAnsi="Times New Roman"/>
                <w:sz w:val="14"/>
                <w:szCs w:val="14"/>
                <w:color w:val="auto"/>
              </w:rPr>
              <w:t>MBD</w:t>
            </w:r>
          </w:p>
        </w:tc>
        <w:tc>
          <w:tcPr>
            <w:tcW w:w="8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917</w:t>
            </w:r>
          </w:p>
        </w:tc>
        <w:tc>
          <w:tcPr>
            <w:tcW w:w="6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w:t>
            </w:r>
          </w:p>
        </w:tc>
        <w:tc>
          <w:tcPr>
            <w:tcW w:w="6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w:t>
            </w:r>
          </w:p>
        </w:tc>
      </w:tr>
      <w:tr>
        <w:trPr>
          <w:trHeight w:val="203"/>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Refined Product Sales</w:t>
            </w:r>
          </w:p>
        </w:tc>
        <w:tc>
          <w:tcPr>
            <w:tcW w:w="2800" w:type="dxa"/>
            <w:vAlign w:val="bottom"/>
          </w:tcPr>
          <w:p>
            <w:pPr>
              <w:ind w:left="2180"/>
              <w:spacing w:after="0"/>
              <w:rPr>
                <w:sz w:val="20"/>
                <w:szCs w:val="20"/>
                <w:color w:val="auto"/>
              </w:rPr>
            </w:pPr>
            <w:r>
              <w:rPr>
                <w:rFonts w:ascii="Times New Roman" w:cs="Times New Roman" w:eastAsia="Times New Roman" w:hAnsi="Times New Roman"/>
                <w:sz w:val="14"/>
                <w:szCs w:val="14"/>
                <w:color w:val="auto"/>
              </w:rPr>
              <w:t>MBD</w:t>
            </w:r>
          </w:p>
        </w:tc>
        <w:tc>
          <w:tcPr>
            <w:tcW w:w="8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1,286</w:t>
            </w:r>
          </w:p>
        </w:tc>
        <w:tc>
          <w:tcPr>
            <w:tcW w:w="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1,287</w:t>
            </w:r>
          </w:p>
        </w:tc>
        <w:tc>
          <w:tcPr>
            <w:tcW w:w="6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-379095</wp:posOffset>
            </wp:positionV>
            <wp:extent cx="7132320" cy="402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402590"/>
                    </a:xfrm>
                    <a:prstGeom prst="rect">
                      <a:avLst/>
                    </a:prstGeom>
                    <a:noFill/>
                  </pic:spPr>
                </pic:pic>
              </a:graphicData>
            </a:graphic>
          </wp:anchor>
        </w:drawing>
      </w:r>
    </w:p>
    <w:p>
      <w:pPr>
        <w:ind w:left="100" w:hanging="54"/>
        <w:spacing w:after="0"/>
        <w:tabs>
          <w:tab w:leader="none" w:pos="100" w:val="left"/>
        </w:tabs>
        <w:numPr>
          <w:ilvl w:val="0"/>
          <w:numId w:val="2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MBD — thousands of barrels per day.</w:t>
      </w:r>
    </w:p>
    <w:p>
      <w:pPr>
        <w:spacing w:after="0" w:line="133" w:lineRule="exact"/>
        <w:rPr>
          <w:sz w:val="20"/>
          <w:szCs w:val="20"/>
          <w:color w:val="auto"/>
        </w:rPr>
      </w:pPr>
    </w:p>
    <w:p>
      <w:pPr>
        <w:ind w:left="20" w:right="20"/>
        <w:spacing w:after="0" w:line="297" w:lineRule="auto"/>
        <w:rPr>
          <w:sz w:val="20"/>
          <w:szCs w:val="20"/>
          <w:color w:val="auto"/>
        </w:rPr>
      </w:pPr>
      <w:r>
        <w:rPr>
          <w:rFonts w:ascii="Times New Roman" w:cs="Times New Roman" w:eastAsia="Times New Roman" w:hAnsi="Times New Roman"/>
          <w:sz w:val="18"/>
          <w:szCs w:val="18"/>
          <w:color w:val="auto"/>
        </w:rPr>
        <w:t>U.S. downstream earnings decreased by $3.4 billion primarily due to lower margins on refined product sales of $2.6 billion and higher operating expenses of $810 million.</w:t>
      </w:r>
    </w:p>
    <w:p>
      <w:pPr>
        <w:spacing w:after="0" w:line="28" w:lineRule="exact"/>
        <w:rPr>
          <w:sz w:val="20"/>
          <w:szCs w:val="20"/>
          <w:color w:val="auto"/>
        </w:rPr>
      </w:pPr>
    </w:p>
    <w:p>
      <w:pPr>
        <w:ind w:left="20"/>
        <w:spacing w:after="0" w:line="328" w:lineRule="auto"/>
        <w:rPr>
          <w:sz w:val="20"/>
          <w:szCs w:val="20"/>
          <w:color w:val="auto"/>
        </w:rPr>
      </w:pPr>
      <w:r>
        <w:rPr>
          <w:rFonts w:ascii="Times New Roman" w:cs="Times New Roman" w:eastAsia="Times New Roman" w:hAnsi="Times New Roman"/>
          <w:sz w:val="18"/>
          <w:szCs w:val="18"/>
          <w:color w:val="auto"/>
        </w:rPr>
        <w:t>Refinery crude unit inputs were down 45,000 barrels per day, or 5 percent, primarily due to the upgrade of the Pasadena, Texas refinery that was completed during the fourth quarter 2024 and downtime at the Pascagoula, Mississippi refinery.</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Refined product sales were down 1,000 barrels per day.</w:t>
      </w:r>
    </w:p>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FF0000"/>
        </w:rPr>
        <w:t>International Downstream</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960" w:type="dxa"/>
            <w:vAlign w:val="bottom"/>
          </w:tcPr>
          <w:p>
            <w:pPr>
              <w:spacing w:after="0"/>
              <w:rPr>
                <w:sz w:val="16"/>
                <w:szCs w:val="16"/>
                <w:color w:val="auto"/>
              </w:rPr>
            </w:pPr>
          </w:p>
        </w:tc>
        <w:tc>
          <w:tcPr>
            <w:tcW w:w="2860" w:type="dxa"/>
            <w:vAlign w:val="bottom"/>
          </w:tcPr>
          <w:p>
            <w:pPr>
              <w:ind w:left="1960"/>
              <w:spacing w:after="0"/>
              <w:rPr>
                <w:sz w:val="20"/>
                <w:szCs w:val="20"/>
                <w:color w:val="auto"/>
              </w:rPr>
            </w:pPr>
            <w:r>
              <w:rPr>
                <w:rFonts w:ascii="Times New Roman" w:cs="Times New Roman" w:eastAsia="Times New Roman" w:hAnsi="Times New Roman"/>
                <w:sz w:val="14"/>
                <w:szCs w:val="14"/>
                <w:b w:val="1"/>
                <w:bCs w:val="1"/>
                <w:color w:val="auto"/>
              </w:rPr>
              <w:t xml:space="preserve">Unit </w:t>
            </w:r>
            <w:r>
              <w:rPr>
                <w:rFonts w:ascii="Times New Roman" w:cs="Times New Roman" w:eastAsia="Times New Roman" w:hAnsi="Times New Roman"/>
                <w:sz w:val="9"/>
                <w:szCs w:val="9"/>
                <w:b w:val="1"/>
                <w:bCs w:val="1"/>
                <w:color w:val="auto"/>
              </w:rPr>
              <w:t>2</w:t>
            </w:r>
          </w:p>
        </w:tc>
        <w:tc>
          <w:tcPr>
            <w:tcW w:w="5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6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3960" w:type="dxa"/>
            <w:vAlign w:val="bottom"/>
            <w:tcBorders>
              <w:bottom w:val="single" w:sz="8" w:color="0077C0"/>
            </w:tcBorders>
          </w:tcPr>
          <w:p>
            <w:pPr>
              <w:spacing w:after="0"/>
              <w:rPr>
                <w:sz w:val="2"/>
                <w:szCs w:val="2"/>
                <w:color w:val="auto"/>
              </w:rPr>
            </w:pPr>
          </w:p>
        </w:tc>
        <w:tc>
          <w:tcPr>
            <w:tcW w:w="2860" w:type="dxa"/>
            <w:vAlign w:val="bottom"/>
            <w:tcBorders>
              <w:bottom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86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860" w:type="dxa"/>
            <w:vAlign w:val="bottom"/>
            <w:tcBorders>
              <w:bottom w:val="single" w:sz="8" w:color="0077C0"/>
            </w:tcBorders>
          </w:tcPr>
          <w:p>
            <w:pPr>
              <w:spacing w:after="0"/>
              <w:rPr>
                <w:sz w:val="2"/>
                <w:szCs w:val="2"/>
                <w:color w:val="auto"/>
              </w:rPr>
            </w:pPr>
          </w:p>
        </w:tc>
      </w:tr>
      <w:tr>
        <w:trPr>
          <w:trHeight w:val="184"/>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Earnings </w:t>
            </w:r>
            <w:r>
              <w:rPr>
                <w:rFonts w:ascii="Times New Roman" w:cs="Times New Roman" w:eastAsia="Times New Roman" w:hAnsi="Times New Roman"/>
                <w:sz w:val="9"/>
                <w:szCs w:val="9"/>
                <w:color w:val="auto"/>
              </w:rPr>
              <w:t>1</w:t>
            </w:r>
          </w:p>
        </w:tc>
        <w:tc>
          <w:tcPr>
            <w:tcW w:w="2860" w:type="dxa"/>
            <w:vAlign w:val="bottom"/>
          </w:tcPr>
          <w:p>
            <w:pPr>
              <w:ind w:left="1980"/>
              <w:spacing w:after="0"/>
              <w:rPr>
                <w:sz w:val="20"/>
                <w:szCs w:val="20"/>
                <w:color w:val="auto"/>
              </w:rPr>
            </w:pPr>
            <w:r>
              <w:rPr>
                <w:rFonts w:ascii="Times New Roman" w:cs="Times New Roman" w:eastAsia="Times New Roman" w:hAnsi="Times New Roman"/>
                <w:sz w:val="14"/>
                <w:szCs w:val="14"/>
                <w:color w:val="auto"/>
              </w:rPr>
              <w:t>$MM</w:t>
            </w:r>
          </w:p>
        </w:tc>
        <w:tc>
          <w:tcPr>
            <w:tcW w:w="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right w:val="single" w:sz="8" w:color="0077C0"/>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1,196</w:t>
            </w:r>
          </w:p>
        </w:tc>
        <w:tc>
          <w:tcPr>
            <w:tcW w:w="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2,233</w:t>
            </w:r>
          </w:p>
        </w:tc>
        <w:tc>
          <w:tcPr>
            <w:tcW w:w="6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2,761</w:t>
            </w:r>
          </w:p>
        </w:tc>
      </w:tr>
      <w:tr>
        <w:trPr>
          <w:trHeight w:val="191"/>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Refinery Crude Unit Inputs</w:t>
            </w:r>
          </w:p>
        </w:tc>
        <w:tc>
          <w:tcPr>
            <w:tcW w:w="2860" w:type="dxa"/>
            <w:vAlign w:val="bottom"/>
          </w:tcPr>
          <w:p>
            <w:pPr>
              <w:ind w:left="1980"/>
              <w:spacing w:after="0"/>
              <w:rPr>
                <w:sz w:val="20"/>
                <w:szCs w:val="20"/>
                <w:color w:val="auto"/>
              </w:rPr>
            </w:pPr>
            <w:r>
              <w:rPr>
                <w:rFonts w:ascii="Times New Roman" w:cs="Times New Roman" w:eastAsia="Times New Roman" w:hAnsi="Times New Roman"/>
                <w:sz w:val="14"/>
                <w:szCs w:val="14"/>
                <w:color w:val="auto"/>
              </w:rPr>
              <w:t>MBD</w:t>
            </w:r>
          </w:p>
        </w:tc>
        <w:tc>
          <w:tcPr>
            <w:tcW w:w="560" w:type="dxa"/>
            <w:vAlign w:val="bottom"/>
          </w:tcPr>
          <w:p>
            <w:pPr>
              <w:spacing w:after="0"/>
              <w:rPr>
                <w:sz w:val="16"/>
                <w:szCs w:val="16"/>
                <w:color w:val="auto"/>
              </w:rPr>
            </w:pPr>
          </w:p>
        </w:tc>
        <w:tc>
          <w:tcPr>
            <w:tcW w:w="86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646</w:t>
            </w:r>
          </w:p>
        </w:tc>
        <w:tc>
          <w:tcPr>
            <w:tcW w:w="6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6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w:t>
            </w:r>
          </w:p>
        </w:tc>
      </w:tr>
      <w:tr>
        <w:trPr>
          <w:trHeight w:val="203"/>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Refined Product Sales</w:t>
            </w:r>
          </w:p>
        </w:tc>
        <w:tc>
          <w:tcPr>
            <w:tcW w:w="2860" w:type="dxa"/>
            <w:vAlign w:val="bottom"/>
          </w:tcPr>
          <w:p>
            <w:pPr>
              <w:ind w:left="1980"/>
              <w:spacing w:after="0"/>
              <w:rPr>
                <w:sz w:val="20"/>
                <w:szCs w:val="20"/>
                <w:color w:val="auto"/>
              </w:rPr>
            </w:pPr>
            <w:r>
              <w:rPr>
                <w:rFonts w:ascii="Times New Roman" w:cs="Times New Roman" w:eastAsia="Times New Roman" w:hAnsi="Times New Roman"/>
                <w:sz w:val="14"/>
                <w:szCs w:val="14"/>
                <w:color w:val="auto"/>
              </w:rPr>
              <w:t>MBD</w:t>
            </w:r>
          </w:p>
        </w:tc>
        <w:tc>
          <w:tcPr>
            <w:tcW w:w="560" w:type="dxa"/>
            <w:vAlign w:val="bottom"/>
          </w:tcPr>
          <w:p>
            <w:pPr>
              <w:spacing w:after="0"/>
              <w:rPr>
                <w:sz w:val="17"/>
                <w:szCs w:val="17"/>
                <w:color w:val="auto"/>
              </w:rPr>
            </w:pPr>
          </w:p>
        </w:tc>
        <w:tc>
          <w:tcPr>
            <w:tcW w:w="86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1,495</w:t>
            </w:r>
          </w:p>
        </w:tc>
        <w:tc>
          <w:tcPr>
            <w:tcW w:w="6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6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1,386</w:t>
            </w:r>
          </w:p>
        </w:tc>
      </w:tr>
      <w:tr>
        <w:trPr>
          <w:trHeight w:val="23"/>
        </w:trPr>
        <w:tc>
          <w:tcPr>
            <w:tcW w:w="3960" w:type="dxa"/>
            <w:vAlign w:val="bottom"/>
            <w:tcBorders>
              <w:bottom w:val="single" w:sz="8" w:color="0070C0"/>
            </w:tcBorders>
          </w:tcPr>
          <w:p>
            <w:pPr>
              <w:spacing w:after="0"/>
              <w:rPr>
                <w:sz w:val="2"/>
                <w:szCs w:val="2"/>
                <w:color w:val="auto"/>
              </w:rPr>
            </w:pPr>
          </w:p>
        </w:tc>
        <w:tc>
          <w:tcPr>
            <w:tcW w:w="2860" w:type="dxa"/>
            <w:vAlign w:val="bottom"/>
            <w:tcBorders>
              <w:bottom w:val="single" w:sz="8" w:color="0070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860" w:type="dxa"/>
            <w:vAlign w:val="bottom"/>
            <w:tcBorders>
              <w:bottom w:val="single" w:sz="8" w:color="0077C0"/>
              <w:right w:val="single" w:sz="8" w:color="0077C0"/>
            </w:tcBorders>
          </w:tcPr>
          <w:p>
            <w:pPr>
              <w:spacing w:after="0"/>
              <w:rPr>
                <w:sz w:val="2"/>
                <w:szCs w:val="2"/>
                <w:color w:val="auto"/>
              </w:rPr>
            </w:pPr>
          </w:p>
        </w:tc>
        <w:tc>
          <w:tcPr>
            <w:tcW w:w="640" w:type="dxa"/>
            <w:vAlign w:val="bottom"/>
            <w:tcBorders>
              <w:bottom w:val="single" w:sz="8" w:color="0070C0"/>
            </w:tcBorders>
          </w:tcPr>
          <w:p>
            <w:pPr>
              <w:spacing w:after="0"/>
              <w:rPr>
                <w:sz w:val="2"/>
                <w:szCs w:val="2"/>
                <w:color w:val="auto"/>
              </w:rPr>
            </w:pPr>
          </w:p>
        </w:tc>
        <w:tc>
          <w:tcPr>
            <w:tcW w:w="880" w:type="dxa"/>
            <w:vAlign w:val="bottom"/>
            <w:tcBorders>
              <w:bottom w:val="single" w:sz="8" w:color="0070C0"/>
            </w:tcBorders>
          </w:tcPr>
          <w:p>
            <w:pPr>
              <w:spacing w:after="0"/>
              <w:rPr>
                <w:sz w:val="2"/>
                <w:szCs w:val="2"/>
                <w:color w:val="auto"/>
              </w:rPr>
            </w:pPr>
          </w:p>
        </w:tc>
        <w:tc>
          <w:tcPr>
            <w:tcW w:w="620" w:type="dxa"/>
            <w:vAlign w:val="bottom"/>
            <w:tcBorders>
              <w:bottom w:val="single" w:sz="8" w:color="0070C0"/>
            </w:tcBorders>
          </w:tcPr>
          <w:p>
            <w:pPr>
              <w:spacing w:after="0"/>
              <w:rPr>
                <w:sz w:val="2"/>
                <w:szCs w:val="2"/>
                <w:color w:val="auto"/>
              </w:rPr>
            </w:pPr>
          </w:p>
        </w:tc>
        <w:tc>
          <w:tcPr>
            <w:tcW w:w="860" w:type="dxa"/>
            <w:vAlign w:val="bottom"/>
            <w:tcBorders>
              <w:bottom w:val="single" w:sz="8" w:color="0070C0"/>
            </w:tcBorders>
          </w:tcPr>
          <w:p>
            <w:pPr>
              <w:spacing w:after="0"/>
              <w:rPr>
                <w:sz w:val="2"/>
                <w:szCs w:val="2"/>
                <w:color w:val="auto"/>
              </w:rPr>
            </w:pPr>
          </w:p>
        </w:tc>
      </w:tr>
      <w:tr>
        <w:trPr>
          <w:trHeight w:val="205"/>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3"/>
                <w:szCs w:val="13"/>
                <w:color w:val="auto"/>
              </w:rPr>
              <w:t xml:space="preserve"> Includes foreign currency effects:</w:t>
            </w:r>
          </w:p>
        </w:tc>
        <w:tc>
          <w:tcPr>
            <w:tcW w:w="2860" w:type="dxa"/>
            <w:vAlign w:val="bottom"/>
          </w:tcPr>
          <w:p>
            <w:pPr>
              <w:spacing w:after="0"/>
              <w:rPr>
                <w:sz w:val="17"/>
                <w:szCs w:val="17"/>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126</w:t>
            </w:r>
          </w:p>
        </w:tc>
        <w:tc>
          <w:tcPr>
            <w:tcW w:w="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3"/>
                <w:szCs w:val="13"/>
                <w:color w:val="auto"/>
              </w:rPr>
              <w:t>(12)</w:t>
            </w: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w:t>
            </w:r>
          </w:p>
        </w:tc>
      </w:tr>
      <w:tr>
        <w:trPr>
          <w:trHeight w:val="219"/>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 xml:space="preserve"> MBD — thousands of barrels per day.</w:t>
            </w:r>
          </w:p>
        </w:tc>
        <w:tc>
          <w:tcPr>
            <w:tcW w:w="2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r>
    </w:tbl>
    <w:p>
      <w:pPr>
        <w:spacing w:after="0" w:line="91" w:lineRule="exact"/>
        <w:rPr>
          <w:sz w:val="20"/>
          <w:szCs w:val="20"/>
          <w:color w:val="auto"/>
        </w:rPr>
      </w:pPr>
    </w:p>
    <w:p>
      <w:pPr>
        <w:jc w:val="both"/>
        <w:ind w:left="20"/>
        <w:spacing w:after="0" w:line="297" w:lineRule="auto"/>
        <w:rPr>
          <w:sz w:val="20"/>
          <w:szCs w:val="20"/>
          <w:color w:val="auto"/>
        </w:rPr>
      </w:pPr>
      <w:r>
        <w:rPr>
          <w:rFonts w:ascii="Times New Roman" w:cs="Times New Roman" w:eastAsia="Times New Roman" w:hAnsi="Times New Roman"/>
          <w:sz w:val="18"/>
          <w:szCs w:val="18"/>
          <w:color w:val="auto"/>
        </w:rPr>
        <w:t>International downstream earnings decreased by $1.0 billion primarily due to lower margins on refined product sales of $880 million and impairments of $190 million. Foreign currency effects had a favorable impact on earnings of $138 million between periods.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Refinery crude unit inputs were up 10,000 barrels per day, or 2 percent.</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Refined product sales were up 50,000 barrels per day, or 3 percent, primarily due to increased trading volumes.</w:t>
      </w:r>
    </w:p>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FF0000"/>
        </w:rPr>
        <w:t>All Other</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2660" w:type="dxa"/>
            <w:vAlign w:val="bottom"/>
          </w:tcPr>
          <w:p>
            <w:pPr>
              <w:jc w:val="center"/>
              <w:ind w:left="1708"/>
              <w:spacing w:after="0"/>
              <w:rPr>
                <w:sz w:val="20"/>
                <w:szCs w:val="20"/>
                <w:color w:val="auto"/>
              </w:rPr>
            </w:pPr>
            <w:r>
              <w:rPr>
                <w:rFonts w:ascii="Times New Roman" w:cs="Times New Roman" w:eastAsia="Times New Roman" w:hAnsi="Times New Roman"/>
                <w:sz w:val="14"/>
                <w:szCs w:val="14"/>
                <w:b w:val="1"/>
                <w:bCs w:val="1"/>
                <w:color w:val="auto"/>
              </w:rPr>
              <w:t>Unit</w:t>
            </w:r>
          </w:p>
        </w:tc>
        <w:tc>
          <w:tcPr>
            <w:tcW w:w="780" w:type="dxa"/>
            <w:vAlign w:val="bottom"/>
          </w:tcPr>
          <w:p>
            <w:pPr>
              <w:spacing w:after="0"/>
              <w:rPr>
                <w:sz w:val="16"/>
                <w:szCs w:val="16"/>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5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3820" w:type="dxa"/>
            <w:vAlign w:val="bottom"/>
            <w:tcBorders>
              <w:bottom w:val="single" w:sz="8" w:color="0077C0"/>
            </w:tcBorders>
          </w:tcPr>
          <w:p>
            <w:pPr>
              <w:spacing w:after="0"/>
              <w:rPr>
                <w:sz w:val="2"/>
                <w:szCs w:val="2"/>
                <w:color w:val="auto"/>
              </w:rPr>
            </w:pPr>
          </w:p>
        </w:tc>
        <w:tc>
          <w:tcPr>
            <w:tcW w:w="2660" w:type="dxa"/>
            <w:vAlign w:val="bottom"/>
            <w:tcBorders>
              <w:bottom w:val="single" w:sz="8" w:color="0077C0"/>
            </w:tcBorders>
          </w:tcPr>
          <w:p>
            <w:pPr>
              <w:spacing w:after="0"/>
              <w:rPr>
                <w:sz w:val="2"/>
                <w:szCs w:val="2"/>
                <w:color w:val="auto"/>
              </w:rPr>
            </w:pPr>
          </w:p>
        </w:tc>
        <w:tc>
          <w:tcPr>
            <w:tcW w:w="780" w:type="dxa"/>
            <w:vAlign w:val="bottom"/>
            <w:tcBorders>
              <w:bottom w:val="single" w:sz="8" w:color="0077C0"/>
            </w:tcBorders>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r>
      <w:tr>
        <w:trPr>
          <w:trHeight w:val="190"/>
        </w:trPr>
        <w:tc>
          <w:tcPr>
            <w:tcW w:w="382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charges</w:t>
            </w:r>
            <w:r>
              <w:rPr>
                <w:rFonts w:ascii="Times New Roman" w:cs="Times New Roman" w:eastAsia="Times New Roman" w:hAnsi="Times New Roman"/>
                <w:sz w:val="9"/>
                <w:szCs w:val="9"/>
                <w:b w:val="1"/>
                <w:bCs w:val="1"/>
                <w:color w:val="auto"/>
              </w:rPr>
              <w:t>*</w:t>
            </w:r>
          </w:p>
        </w:tc>
        <w:tc>
          <w:tcPr>
            <w:tcW w:w="2660" w:type="dxa"/>
            <w:vAlign w:val="bottom"/>
            <w:tcBorders>
              <w:bottom w:val="single" w:sz="8" w:color="0077C0"/>
            </w:tcBorders>
          </w:tcPr>
          <w:p>
            <w:pPr>
              <w:jc w:val="center"/>
              <w:ind w:left="1708"/>
              <w:spacing w:after="0"/>
              <w:rPr>
                <w:sz w:val="20"/>
                <w:szCs w:val="20"/>
                <w:color w:val="auto"/>
              </w:rPr>
            </w:pPr>
            <w:r>
              <w:rPr>
                <w:rFonts w:ascii="Times New Roman" w:cs="Times New Roman" w:eastAsia="Times New Roman" w:hAnsi="Times New Roman"/>
                <w:sz w:val="14"/>
                <w:szCs w:val="14"/>
                <w:color w:val="auto"/>
              </w:rPr>
              <w:t>$MM</w:t>
            </w:r>
          </w:p>
        </w:tc>
        <w:tc>
          <w:tcPr>
            <w:tcW w:w="780" w:type="dxa"/>
            <w:vAlign w:val="bottom"/>
            <w:tcBorders>
              <w:bottom w:val="single" w:sz="8" w:color="0077C0"/>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0077C0"/>
              <w:right w:val="single" w:sz="8" w:color="0077C0"/>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(2,668)</w:t>
            </w:r>
          </w:p>
        </w:tc>
        <w:tc>
          <w:tcPr>
            <w:tcW w:w="600" w:type="dxa"/>
            <w:vAlign w:val="bottom"/>
            <w:tcBorders>
              <w:bottom w:val="single" w:sz="8" w:color="0077C0"/>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0077C0"/>
            </w:tcBorders>
          </w:tcPr>
          <w:p>
            <w:pPr>
              <w:jc w:val="right"/>
              <w:ind w:right="11"/>
              <w:spacing w:after="0"/>
              <w:rPr>
                <w:sz w:val="20"/>
                <w:szCs w:val="20"/>
                <w:color w:val="auto"/>
              </w:rPr>
            </w:pPr>
            <w:r>
              <w:rPr>
                <w:rFonts w:ascii="Times New Roman" w:cs="Times New Roman" w:eastAsia="Times New Roman" w:hAnsi="Times New Roman"/>
                <w:sz w:val="14"/>
                <w:szCs w:val="14"/>
                <w:color w:val="auto"/>
              </w:rPr>
              <w:t>(2,206)</w:t>
            </w:r>
          </w:p>
        </w:tc>
        <w:tc>
          <w:tcPr>
            <w:tcW w:w="580" w:type="dxa"/>
            <w:vAlign w:val="bottom"/>
            <w:tcBorders>
              <w:bottom w:val="single" w:sz="8" w:color="0077C0"/>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(2,974)</w:t>
            </w:r>
          </w:p>
        </w:tc>
      </w:tr>
      <w:tr>
        <w:trPr>
          <w:trHeight w:val="214"/>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3"/>
                <w:szCs w:val="13"/>
                <w:color w:val="auto"/>
              </w:rPr>
              <w:t>Includes foreign currency effects:</w:t>
            </w:r>
          </w:p>
        </w:tc>
        <w:tc>
          <w:tcPr>
            <w:tcW w:w="2660" w:type="dxa"/>
            <w:vAlign w:val="bottom"/>
          </w:tcPr>
          <w:p>
            <w:pPr>
              <w:spacing w:after="0"/>
              <w:rPr>
                <w:sz w:val="18"/>
                <w:szCs w:val="18"/>
                <w:color w:val="auto"/>
              </w:rPr>
            </w:pPr>
          </w:p>
        </w:tc>
        <w:tc>
          <w:tcPr>
            <w:tcW w:w="78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3"/>
                <w:szCs w:val="13"/>
                <w:b w:val="1"/>
                <w:bCs w:val="1"/>
                <w:color w:val="auto"/>
              </w:rPr>
              <w:t>(1)</w:t>
            </w:r>
          </w:p>
        </w:tc>
        <w:tc>
          <w:tcPr>
            <w:tcW w:w="6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3"/>
                <w:szCs w:val="13"/>
                <w:color w:val="auto"/>
              </w:rPr>
              <w:t>(588)</w:t>
            </w:r>
          </w:p>
        </w:tc>
        <w:tc>
          <w:tcPr>
            <w:tcW w:w="5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w:t>
            </w:r>
          </w:p>
        </w:tc>
      </w:tr>
    </w:tbl>
    <w:p>
      <w:pPr>
        <w:spacing w:after="0" w:line="132" w:lineRule="exact"/>
        <w:rPr>
          <w:sz w:val="20"/>
          <w:szCs w:val="20"/>
          <w:color w:val="auto"/>
        </w:rPr>
      </w:pPr>
    </w:p>
    <w:p>
      <w:pPr>
        <w:jc w:val="both"/>
        <w:ind w:left="20"/>
        <w:spacing w:after="0" w:line="297" w:lineRule="auto"/>
        <w:rPr>
          <w:sz w:val="20"/>
          <w:szCs w:val="20"/>
          <w:color w:val="auto"/>
        </w:rPr>
      </w:pPr>
      <w:r>
        <w:rPr>
          <w:rFonts w:ascii="Times New Roman" w:cs="Times New Roman" w:eastAsia="Times New Roman" w:hAnsi="Times New Roman"/>
          <w:sz w:val="18"/>
          <w:szCs w:val="18"/>
          <w:color w:val="auto"/>
        </w:rPr>
        <w:t>All Other consists of worldwide cash management and debt financing activities, corporate administrative functions, insurance operations, real estate activities, and technology companies.</w:t>
      </w:r>
    </w:p>
    <w:p>
      <w:pPr>
        <w:spacing w:after="0" w:line="28" w:lineRule="exact"/>
        <w:rPr>
          <w:sz w:val="20"/>
          <w:szCs w:val="20"/>
          <w:color w:val="auto"/>
        </w:rPr>
      </w:pPr>
    </w:p>
    <w:p>
      <w:pPr>
        <w:jc w:val="both"/>
        <w:ind w:left="20"/>
        <w:spacing w:after="0" w:line="297" w:lineRule="auto"/>
        <w:rPr>
          <w:sz w:val="20"/>
          <w:szCs w:val="20"/>
          <w:color w:val="auto"/>
        </w:rPr>
      </w:pPr>
      <w:r>
        <w:rPr>
          <w:rFonts w:ascii="Times New Roman" w:cs="Times New Roman" w:eastAsia="Times New Roman" w:hAnsi="Times New Roman"/>
          <w:sz w:val="18"/>
          <w:szCs w:val="18"/>
          <w:color w:val="auto"/>
        </w:rPr>
        <w:t>Net charges increased by $462 million primarily due to higher employee benefit costs, severance charges, lower interest income and higher interest expense, partially offset by a favorable swing of $587 million in foreign currency effects.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414" w:right="339" w:bottom="1440" w:gutter="0" w:footer="0" w:header="0"/>
        </w:sectPr>
      </w:pPr>
    </w:p>
    <w:bookmarkStart w:id="45" w:name="page46"/>
    <w:bookmarkEnd w:id="45"/>
    <w:p>
      <w:pPr>
        <w:spacing w:after="0"/>
        <w:tabs>
          <w:tab w:leader="none" w:pos="9400" w:val="left"/>
        </w:tabs>
        <w:rPr>
          <w:sz w:val="20"/>
          <w:szCs w:val="20"/>
          <w:color w:val="auto"/>
        </w:rPr>
      </w:pPr>
      <w:r>
        <w:rPr>
          <w:rFonts w:ascii="Arial" w:cs="Arial" w:eastAsia="Arial" w:hAnsi="Arial"/>
          <w:sz w:val="14"/>
          <w:szCs w:val="14"/>
          <w:color w:val="0077C0"/>
        </w:rPr>
        <w:t>Management’s Discussion and Analysis of Financial Condition and Results of Operations</w:t>
      </w:r>
      <w:r>
        <w:rPr>
          <w:sz w:val="20"/>
          <w:szCs w:val="20"/>
          <w:color w:val="auto"/>
        </w:rPr>
        <w:tab/>
      </w:r>
      <w:r>
        <w:rPr>
          <w:rFonts w:ascii="Arial" w:cs="Arial" w:eastAsia="Arial" w:hAnsi="Arial"/>
          <w:sz w:val="14"/>
          <w:szCs w:val="14"/>
          <w:color w:val="0077C0"/>
        </w:rPr>
        <w:t>Financial 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77C0"/>
        </w:rPr>
        <w:t>Consolidated Statement of Income</w:t>
      </w:r>
    </w:p>
    <w:p>
      <w:pPr>
        <w:spacing w:after="0" w:line="104" w:lineRule="exact"/>
        <w:rPr>
          <w:sz w:val="20"/>
          <w:szCs w:val="20"/>
          <w:color w:val="auto"/>
        </w:rPr>
      </w:pPr>
    </w:p>
    <w:p>
      <w:pPr>
        <w:jc w:val="both"/>
        <w:ind w:left="20"/>
        <w:spacing w:after="0" w:line="297" w:lineRule="auto"/>
        <w:rPr>
          <w:sz w:val="20"/>
          <w:szCs w:val="20"/>
          <w:color w:val="auto"/>
        </w:rPr>
      </w:pPr>
      <w:r>
        <w:rPr>
          <w:rFonts w:ascii="Times New Roman" w:cs="Times New Roman" w:eastAsia="Times New Roman" w:hAnsi="Times New Roman"/>
          <w:sz w:val="18"/>
          <w:szCs w:val="18"/>
          <w:color w:val="auto"/>
        </w:rPr>
        <w:t>Comparative amounts for certain income statement categories are shown below. A discussion of variances between 2023 and 2022 can be found in the “Consolidated Statement of Income” section on pages 43 and 44 of the company’s 2023 Annual Report on Form 10-K.</w:t>
      </w:r>
    </w:p>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274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4420" w:type="dxa"/>
            <w:vAlign w:val="bottom"/>
            <w:tcBorders>
              <w:bottom w:val="single" w:sz="8" w:color="0077C0"/>
            </w:tcBorders>
          </w:tcPr>
          <w:p>
            <w:pPr>
              <w:spacing w:after="0"/>
              <w:rPr>
                <w:sz w:val="2"/>
                <w:szCs w:val="2"/>
                <w:color w:val="auto"/>
              </w:rPr>
            </w:pPr>
          </w:p>
        </w:tc>
        <w:tc>
          <w:tcPr>
            <w:tcW w:w="2740" w:type="dxa"/>
            <w:vAlign w:val="bottom"/>
            <w:tcBorders>
              <w:bottom w:val="single" w:sz="8" w:color="0077C0"/>
            </w:tcBorders>
          </w:tcPr>
          <w:p>
            <w:pPr>
              <w:spacing w:after="0"/>
              <w:rPr>
                <w:sz w:val="2"/>
                <w:szCs w:val="2"/>
                <w:color w:val="auto"/>
              </w:rPr>
            </w:pPr>
          </w:p>
        </w:tc>
        <w:tc>
          <w:tcPr>
            <w:tcW w:w="104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980" w:type="dxa"/>
            <w:vAlign w:val="bottom"/>
            <w:tcBorders>
              <w:bottom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r>
      <w:tr>
        <w:trPr>
          <w:trHeight w:val="190"/>
        </w:trPr>
        <w:tc>
          <w:tcPr>
            <w:tcW w:w="442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Sales and other operating revenues</w:t>
            </w:r>
          </w:p>
        </w:tc>
        <w:tc>
          <w:tcPr>
            <w:tcW w:w="2740" w:type="dxa"/>
            <w:vAlign w:val="bottom"/>
            <w:tcBorders>
              <w:bottom w:val="single" w:sz="8" w:color="0077C0"/>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0077C0"/>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193,414</w:t>
            </w:r>
          </w:p>
        </w:tc>
        <w:tc>
          <w:tcPr>
            <w:tcW w:w="580" w:type="dxa"/>
            <w:vAlign w:val="bottom"/>
            <w:tcBorders>
              <w:bottom w:val="single" w:sz="8" w:color="0077C0"/>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196,913</w:t>
            </w:r>
          </w:p>
        </w:tc>
        <w:tc>
          <w:tcPr>
            <w:tcW w:w="560" w:type="dxa"/>
            <w:vAlign w:val="bottom"/>
            <w:tcBorders>
              <w:bottom w:val="single" w:sz="8" w:color="0077C0"/>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235,717</w:t>
            </w:r>
          </w:p>
        </w:tc>
      </w:tr>
    </w:tbl>
    <w:p>
      <w:pPr>
        <w:spacing w:after="0" w:line="76" w:lineRule="exact"/>
        <w:rPr>
          <w:sz w:val="20"/>
          <w:szCs w:val="20"/>
          <w:color w:val="auto"/>
        </w:rPr>
      </w:pPr>
    </w:p>
    <w:p>
      <w:pPr>
        <w:jc w:val="both"/>
        <w:ind w:left="20" w:right="20"/>
        <w:spacing w:after="0" w:line="297" w:lineRule="auto"/>
        <w:rPr>
          <w:sz w:val="20"/>
          <w:szCs w:val="20"/>
          <w:color w:val="auto"/>
        </w:rPr>
      </w:pPr>
      <w:r>
        <w:rPr>
          <w:rFonts w:ascii="Times New Roman" w:cs="Times New Roman" w:eastAsia="Times New Roman" w:hAnsi="Times New Roman"/>
          <w:sz w:val="18"/>
          <w:szCs w:val="18"/>
          <w:color w:val="auto"/>
        </w:rPr>
        <w:t>Sales and other operating revenues decreased in 2024 mainly due to lower commodity prices, partially offset by higher crude oil, natural gas and refined product sales volumes.</w:t>
      </w:r>
    </w:p>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280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6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4420" w:type="dxa"/>
            <w:vAlign w:val="bottom"/>
            <w:tcBorders>
              <w:bottom w:val="single" w:sz="8" w:color="0077C0"/>
            </w:tcBorders>
          </w:tcPr>
          <w:p>
            <w:pPr>
              <w:spacing w:after="0"/>
              <w:rPr>
                <w:sz w:val="2"/>
                <w:szCs w:val="2"/>
                <w:color w:val="auto"/>
              </w:rPr>
            </w:pPr>
          </w:p>
        </w:tc>
        <w:tc>
          <w:tcPr>
            <w:tcW w:w="2800" w:type="dxa"/>
            <w:vAlign w:val="bottom"/>
            <w:tcBorders>
              <w:bottom w:val="single" w:sz="8" w:color="0077C0"/>
            </w:tcBorders>
          </w:tcPr>
          <w:p>
            <w:pPr>
              <w:spacing w:after="0"/>
              <w:rPr>
                <w:sz w:val="2"/>
                <w:szCs w:val="2"/>
                <w:color w:val="auto"/>
              </w:rPr>
            </w:pPr>
          </w:p>
        </w:tc>
        <w:tc>
          <w:tcPr>
            <w:tcW w:w="98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860" w:type="dxa"/>
            <w:vAlign w:val="bottom"/>
            <w:tcBorders>
              <w:bottom w:val="single" w:sz="8" w:color="0077C0"/>
            </w:tcBorders>
          </w:tcPr>
          <w:p>
            <w:pPr>
              <w:spacing w:after="0"/>
              <w:rPr>
                <w:sz w:val="2"/>
                <w:szCs w:val="2"/>
                <w:color w:val="auto"/>
              </w:rPr>
            </w:pPr>
          </w:p>
        </w:tc>
      </w:tr>
      <w:tr>
        <w:trPr>
          <w:trHeight w:val="190"/>
        </w:trPr>
        <w:tc>
          <w:tcPr>
            <w:tcW w:w="442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from equity affiliates</w:t>
            </w:r>
          </w:p>
        </w:tc>
        <w:tc>
          <w:tcPr>
            <w:tcW w:w="2800" w:type="dxa"/>
            <w:vAlign w:val="bottom"/>
            <w:tcBorders>
              <w:bottom w:val="single" w:sz="8" w:color="0077C0"/>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0077C0"/>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4,596</w:t>
            </w:r>
          </w:p>
        </w:tc>
        <w:tc>
          <w:tcPr>
            <w:tcW w:w="660" w:type="dxa"/>
            <w:vAlign w:val="bottom"/>
            <w:tcBorders>
              <w:bottom w:val="single" w:sz="8" w:color="0077C0"/>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5,131</w:t>
            </w:r>
          </w:p>
        </w:tc>
        <w:tc>
          <w:tcPr>
            <w:tcW w:w="620" w:type="dxa"/>
            <w:vAlign w:val="bottom"/>
            <w:tcBorders>
              <w:bottom w:val="single" w:sz="8" w:color="0077C0"/>
            </w:tcBorders>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8,585</w:t>
            </w:r>
          </w:p>
        </w:tc>
      </w:tr>
    </w:tbl>
    <w:p>
      <w:pPr>
        <w:spacing w:after="0" w:line="76" w:lineRule="exact"/>
        <w:rPr>
          <w:sz w:val="20"/>
          <w:szCs w:val="20"/>
          <w:color w:val="auto"/>
        </w:rPr>
      </w:pPr>
    </w:p>
    <w:p>
      <w:pPr>
        <w:jc w:val="both"/>
        <w:ind w:left="20"/>
        <w:spacing w:after="0" w:line="271" w:lineRule="auto"/>
        <w:rPr>
          <w:sz w:val="20"/>
          <w:szCs w:val="20"/>
          <w:color w:val="auto"/>
        </w:rPr>
      </w:pPr>
      <w:r>
        <w:rPr>
          <w:rFonts w:ascii="Times New Roman" w:cs="Times New Roman" w:eastAsia="Times New Roman" w:hAnsi="Times New Roman"/>
          <w:sz w:val="18"/>
          <w:szCs w:val="18"/>
          <w:color w:val="auto"/>
        </w:rPr>
        <w:t xml:space="preserve">Income from equity affiliates decreased in 2024 mainly due to lower downstream-related earnings from GS Caltex in South Korea and lower upstream-related earnings from Tengizchevroil in Kazakhstan, partially offset by an absence of certain U.S. upstream equity affiliate impairments and higher downstream-related earnings from Chevron Phillips Chemical Company LLC (CPChem). Refer to </w:t>
      </w:r>
      <w:r>
        <w:rPr>
          <w:rFonts w:ascii="Times New Roman" w:cs="Times New Roman" w:eastAsia="Times New Roman" w:hAnsi="Times New Roman"/>
          <w:sz w:val="18"/>
          <w:szCs w:val="18"/>
          <w:u w:val="single" w:color="auto"/>
          <w:color w:val="0000FF"/>
        </w:rPr>
        <w:t>Note 15 Investments and Advances</w:t>
      </w:r>
      <w:r>
        <w:rPr>
          <w:rFonts w:ascii="Times New Roman" w:cs="Times New Roman" w:eastAsia="Times New Roman" w:hAnsi="Times New Roman"/>
          <w:sz w:val="18"/>
          <w:szCs w:val="18"/>
          <w:color w:val="auto"/>
        </w:rPr>
        <w:t xml:space="preserve"> for a discussion of Chevron’s investments in affiliated companies.</w:t>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326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6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3960" w:type="dxa"/>
            <w:vAlign w:val="bottom"/>
            <w:tcBorders>
              <w:bottom w:val="single" w:sz="8" w:color="0077C0"/>
            </w:tcBorders>
          </w:tcPr>
          <w:p>
            <w:pPr>
              <w:spacing w:after="0"/>
              <w:rPr>
                <w:sz w:val="2"/>
                <w:szCs w:val="2"/>
                <w:color w:val="auto"/>
              </w:rPr>
            </w:pPr>
          </w:p>
        </w:tc>
        <w:tc>
          <w:tcPr>
            <w:tcW w:w="3260" w:type="dxa"/>
            <w:vAlign w:val="bottom"/>
            <w:tcBorders>
              <w:bottom w:val="single" w:sz="8" w:color="0077C0"/>
            </w:tcBorders>
          </w:tcPr>
          <w:p>
            <w:pPr>
              <w:spacing w:after="0"/>
              <w:rPr>
                <w:sz w:val="2"/>
                <w:szCs w:val="2"/>
                <w:color w:val="auto"/>
              </w:rPr>
            </w:pPr>
          </w:p>
        </w:tc>
        <w:tc>
          <w:tcPr>
            <w:tcW w:w="98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94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860" w:type="dxa"/>
            <w:vAlign w:val="bottom"/>
            <w:tcBorders>
              <w:bottom w:val="single" w:sz="8" w:color="0077C0"/>
            </w:tcBorders>
          </w:tcPr>
          <w:p>
            <w:pPr>
              <w:spacing w:after="0"/>
              <w:rPr>
                <w:sz w:val="2"/>
                <w:szCs w:val="2"/>
                <w:color w:val="auto"/>
              </w:rPr>
            </w:pPr>
          </w:p>
        </w:tc>
      </w:tr>
      <w:tr>
        <w:trPr>
          <w:trHeight w:val="190"/>
        </w:trPr>
        <w:tc>
          <w:tcPr>
            <w:tcW w:w="39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 (loss)</w:t>
            </w:r>
          </w:p>
        </w:tc>
        <w:tc>
          <w:tcPr>
            <w:tcW w:w="3260" w:type="dxa"/>
            <w:vAlign w:val="bottom"/>
            <w:tcBorders>
              <w:bottom w:val="single" w:sz="8" w:color="0077C0"/>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0077C0"/>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4,782</w:t>
            </w:r>
          </w:p>
        </w:tc>
        <w:tc>
          <w:tcPr>
            <w:tcW w:w="620" w:type="dxa"/>
            <w:vAlign w:val="bottom"/>
            <w:tcBorders>
              <w:bottom w:val="single" w:sz="8" w:color="0077C0"/>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(1,095)</w:t>
            </w:r>
          </w:p>
        </w:tc>
        <w:tc>
          <w:tcPr>
            <w:tcW w:w="620" w:type="dxa"/>
            <w:vAlign w:val="bottom"/>
            <w:tcBorders>
              <w:bottom w:val="single" w:sz="8" w:color="0077C0"/>
            </w:tcBorders>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1,950</w:t>
            </w:r>
          </w:p>
        </w:tc>
      </w:tr>
    </w:tbl>
    <w:p>
      <w:pPr>
        <w:spacing w:after="0" w:line="76" w:lineRule="exact"/>
        <w:rPr>
          <w:sz w:val="20"/>
          <w:szCs w:val="20"/>
          <w:color w:val="auto"/>
        </w:rPr>
      </w:pPr>
    </w:p>
    <w:p>
      <w:pPr>
        <w:jc w:val="both"/>
        <w:ind w:left="20" w:right="20"/>
        <w:spacing w:after="0" w:line="274" w:lineRule="auto"/>
        <w:rPr>
          <w:sz w:val="20"/>
          <w:szCs w:val="20"/>
          <w:color w:val="auto"/>
        </w:rPr>
      </w:pPr>
      <w:r>
        <w:rPr>
          <w:rFonts w:ascii="Times New Roman" w:cs="Times New Roman" w:eastAsia="Times New Roman" w:hAnsi="Times New Roman"/>
          <w:sz w:val="18"/>
          <w:szCs w:val="18"/>
          <w:color w:val="auto"/>
        </w:rPr>
        <w:t>Other income increased in 2024 mainly due to the absence of charges related to decommissioning obligations from previously divested oil and gas production assets in the Gulf of America, before tax gains on asset sales in Canada, a favorable swing in foreign currency effects and higher dividend income.</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278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4380" w:type="dxa"/>
            <w:vAlign w:val="bottom"/>
            <w:tcBorders>
              <w:bottom w:val="single" w:sz="8" w:color="0077C0"/>
            </w:tcBorders>
          </w:tcPr>
          <w:p>
            <w:pPr>
              <w:spacing w:after="0"/>
              <w:rPr>
                <w:sz w:val="2"/>
                <w:szCs w:val="2"/>
                <w:color w:val="auto"/>
              </w:rPr>
            </w:pPr>
          </w:p>
        </w:tc>
        <w:tc>
          <w:tcPr>
            <w:tcW w:w="2780" w:type="dxa"/>
            <w:vAlign w:val="bottom"/>
            <w:tcBorders>
              <w:bottom w:val="single" w:sz="8" w:color="0077C0"/>
            </w:tcBorders>
          </w:tcPr>
          <w:p>
            <w:pPr>
              <w:spacing w:after="0"/>
              <w:rPr>
                <w:sz w:val="2"/>
                <w:szCs w:val="2"/>
                <w:color w:val="auto"/>
              </w:rPr>
            </w:pPr>
          </w:p>
        </w:tc>
        <w:tc>
          <w:tcPr>
            <w:tcW w:w="104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980" w:type="dxa"/>
            <w:vAlign w:val="bottom"/>
            <w:tcBorders>
              <w:bottom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r>
      <w:tr>
        <w:trPr>
          <w:trHeight w:val="190"/>
        </w:trPr>
        <w:tc>
          <w:tcPr>
            <w:tcW w:w="438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Purchased crude oil and products</w:t>
            </w:r>
          </w:p>
        </w:tc>
        <w:tc>
          <w:tcPr>
            <w:tcW w:w="2780" w:type="dxa"/>
            <w:vAlign w:val="bottom"/>
            <w:tcBorders>
              <w:bottom w:val="single" w:sz="8" w:color="0077C0"/>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0077C0"/>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119,206</w:t>
            </w:r>
          </w:p>
        </w:tc>
        <w:tc>
          <w:tcPr>
            <w:tcW w:w="580" w:type="dxa"/>
            <w:vAlign w:val="bottom"/>
            <w:tcBorders>
              <w:bottom w:val="single" w:sz="8" w:color="0077C0"/>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119,196</w:t>
            </w:r>
          </w:p>
        </w:tc>
        <w:tc>
          <w:tcPr>
            <w:tcW w:w="560" w:type="dxa"/>
            <w:vAlign w:val="bottom"/>
            <w:tcBorders>
              <w:bottom w:val="single" w:sz="8" w:color="0077C0"/>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145,416</w:t>
            </w:r>
          </w:p>
        </w:tc>
      </w:tr>
    </w:tbl>
    <w:p>
      <w:pPr>
        <w:spacing w:after="0" w:line="76"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Crude oil and product purchases remained fairly flat in 2024 as lower crude and refined product prices were partially offset by higher crude oil and refined product volumes.</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2120" w:type="dxa"/>
            <w:vAlign w:val="bottom"/>
          </w:tcPr>
          <w:p>
            <w:pPr>
              <w:spacing w:after="0"/>
              <w:rPr>
                <w:sz w:val="16"/>
                <w:szCs w:val="16"/>
                <w:color w:val="auto"/>
              </w:rPr>
            </w:pP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5060" w:type="dxa"/>
            <w:vAlign w:val="bottom"/>
            <w:tcBorders>
              <w:bottom w:val="single" w:sz="8" w:color="0077C0"/>
            </w:tcBorders>
          </w:tcPr>
          <w:p>
            <w:pPr>
              <w:spacing w:after="0"/>
              <w:rPr>
                <w:sz w:val="2"/>
                <w:szCs w:val="2"/>
                <w:color w:val="auto"/>
              </w:rPr>
            </w:pPr>
          </w:p>
        </w:tc>
        <w:tc>
          <w:tcPr>
            <w:tcW w:w="2120" w:type="dxa"/>
            <w:vAlign w:val="bottom"/>
            <w:tcBorders>
              <w:bottom w:val="single" w:sz="8" w:color="0077C0"/>
            </w:tcBorders>
          </w:tcPr>
          <w:p>
            <w:pPr>
              <w:spacing w:after="0"/>
              <w:rPr>
                <w:sz w:val="2"/>
                <w:szCs w:val="2"/>
                <w:color w:val="auto"/>
              </w:rPr>
            </w:pPr>
          </w:p>
        </w:tc>
        <w:tc>
          <w:tcPr>
            <w:tcW w:w="102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94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r>
      <w:tr>
        <w:trPr>
          <w:trHeight w:val="190"/>
        </w:trPr>
        <w:tc>
          <w:tcPr>
            <w:tcW w:w="50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selling, general and administrative expenses</w:t>
            </w:r>
          </w:p>
        </w:tc>
        <w:tc>
          <w:tcPr>
            <w:tcW w:w="2120" w:type="dxa"/>
            <w:vAlign w:val="bottom"/>
            <w:tcBorders>
              <w:bottom w:val="single" w:sz="8" w:color="0077C0"/>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0077C0"/>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32,298</w:t>
            </w:r>
          </w:p>
        </w:tc>
        <w:tc>
          <w:tcPr>
            <w:tcW w:w="620" w:type="dxa"/>
            <w:vAlign w:val="bottom"/>
            <w:tcBorders>
              <w:bottom w:val="single" w:sz="8" w:color="0077C0"/>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29,028</w:t>
            </w:r>
          </w:p>
        </w:tc>
        <w:tc>
          <w:tcPr>
            <w:tcW w:w="580" w:type="dxa"/>
            <w:vAlign w:val="bottom"/>
            <w:tcBorders>
              <w:bottom w:val="single" w:sz="8" w:color="0077C0"/>
            </w:tcBorders>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29,026</w:t>
            </w:r>
          </w:p>
        </w:tc>
      </w:tr>
    </w:tbl>
    <w:p>
      <w:pPr>
        <w:spacing w:after="0" w:line="63" w:lineRule="exact"/>
        <w:rPr>
          <w:sz w:val="20"/>
          <w:szCs w:val="20"/>
          <w:color w:val="auto"/>
        </w:rPr>
      </w:pPr>
    </w:p>
    <w:p>
      <w:pPr>
        <w:jc w:val="both"/>
        <w:ind w:left="20"/>
        <w:spacing w:after="0" w:line="297" w:lineRule="auto"/>
        <w:rPr>
          <w:sz w:val="20"/>
          <w:szCs w:val="20"/>
          <w:color w:val="auto"/>
        </w:rPr>
      </w:pPr>
      <w:r>
        <w:rPr>
          <w:rFonts w:ascii="Times New Roman" w:cs="Times New Roman" w:eastAsia="Times New Roman" w:hAnsi="Times New Roman"/>
          <w:sz w:val="18"/>
          <w:szCs w:val="18"/>
          <w:color w:val="auto"/>
        </w:rPr>
        <w:t>Operating, selling, general and administrative expenses increased compared to last year mainly due to higher employee-related expenses as a result of higher severance and employee benefit costs and higher downstream-related shutdown expenses.</w:t>
      </w:r>
    </w:p>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330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6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3980" w:type="dxa"/>
            <w:vAlign w:val="bottom"/>
            <w:tcBorders>
              <w:bottom w:val="single" w:sz="8" w:color="0077C0"/>
            </w:tcBorders>
          </w:tcPr>
          <w:p>
            <w:pPr>
              <w:spacing w:after="0"/>
              <w:rPr>
                <w:sz w:val="2"/>
                <w:szCs w:val="2"/>
                <w:color w:val="auto"/>
              </w:rPr>
            </w:pPr>
          </w:p>
        </w:tc>
        <w:tc>
          <w:tcPr>
            <w:tcW w:w="330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c>
          <w:tcPr>
            <w:tcW w:w="86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840" w:type="dxa"/>
            <w:vAlign w:val="bottom"/>
            <w:tcBorders>
              <w:bottom w:val="single" w:sz="8" w:color="0077C0"/>
            </w:tcBorders>
          </w:tcPr>
          <w:p>
            <w:pPr>
              <w:spacing w:after="0"/>
              <w:rPr>
                <w:sz w:val="2"/>
                <w:szCs w:val="2"/>
                <w:color w:val="auto"/>
              </w:rPr>
            </w:pPr>
          </w:p>
        </w:tc>
      </w:tr>
      <w:tr>
        <w:trPr>
          <w:trHeight w:val="190"/>
        </w:trPr>
        <w:tc>
          <w:tcPr>
            <w:tcW w:w="398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Exploration expense</w:t>
            </w:r>
          </w:p>
        </w:tc>
        <w:tc>
          <w:tcPr>
            <w:tcW w:w="3300" w:type="dxa"/>
            <w:vAlign w:val="bottom"/>
            <w:tcBorders>
              <w:bottom w:val="single" w:sz="8" w:color="0077C0"/>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0077C0"/>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995</w:t>
            </w:r>
          </w:p>
        </w:tc>
        <w:tc>
          <w:tcPr>
            <w:tcW w:w="700" w:type="dxa"/>
            <w:vAlign w:val="bottom"/>
            <w:tcBorders>
              <w:bottom w:val="single" w:sz="8" w:color="0077C0"/>
            </w:tcBorders>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914</w:t>
            </w:r>
          </w:p>
        </w:tc>
        <w:tc>
          <w:tcPr>
            <w:tcW w:w="640" w:type="dxa"/>
            <w:vAlign w:val="bottom"/>
            <w:tcBorders>
              <w:bottom w:val="single" w:sz="8" w:color="0077C0"/>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974</w:t>
            </w:r>
          </w:p>
        </w:tc>
      </w:tr>
    </w:tbl>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Exploration expenses in 2024 were higher primarily due to higher geological and geophysical engineering costs.</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2560" w:type="dxa"/>
            <w:vAlign w:val="bottom"/>
          </w:tcPr>
          <w:p>
            <w:pPr>
              <w:spacing w:after="0"/>
              <w:rPr>
                <w:sz w:val="16"/>
                <w:szCs w:val="16"/>
                <w:color w:val="auto"/>
              </w:rPr>
            </w:pP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4620" w:type="dxa"/>
            <w:vAlign w:val="bottom"/>
            <w:tcBorders>
              <w:bottom w:val="single" w:sz="8" w:color="0077C0"/>
            </w:tcBorders>
          </w:tcPr>
          <w:p>
            <w:pPr>
              <w:spacing w:after="0"/>
              <w:rPr>
                <w:sz w:val="2"/>
                <w:szCs w:val="2"/>
                <w:color w:val="auto"/>
              </w:rPr>
            </w:pPr>
          </w:p>
        </w:tc>
        <w:tc>
          <w:tcPr>
            <w:tcW w:w="2560" w:type="dxa"/>
            <w:vAlign w:val="bottom"/>
            <w:tcBorders>
              <w:bottom w:val="single" w:sz="8" w:color="0077C0"/>
            </w:tcBorders>
          </w:tcPr>
          <w:p>
            <w:pPr>
              <w:spacing w:after="0"/>
              <w:rPr>
                <w:sz w:val="2"/>
                <w:szCs w:val="2"/>
                <w:color w:val="auto"/>
              </w:rPr>
            </w:pPr>
          </w:p>
        </w:tc>
        <w:tc>
          <w:tcPr>
            <w:tcW w:w="102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94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r>
      <w:tr>
        <w:trPr>
          <w:trHeight w:val="190"/>
        </w:trPr>
        <w:tc>
          <w:tcPr>
            <w:tcW w:w="462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Depreciation, depletion and amortization</w:t>
            </w:r>
          </w:p>
        </w:tc>
        <w:tc>
          <w:tcPr>
            <w:tcW w:w="2560" w:type="dxa"/>
            <w:vAlign w:val="bottom"/>
            <w:tcBorders>
              <w:bottom w:val="single" w:sz="8" w:color="0077C0"/>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0077C0"/>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17,282</w:t>
            </w:r>
          </w:p>
        </w:tc>
        <w:tc>
          <w:tcPr>
            <w:tcW w:w="620" w:type="dxa"/>
            <w:vAlign w:val="bottom"/>
            <w:tcBorders>
              <w:bottom w:val="single" w:sz="8" w:color="0077C0"/>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17,326</w:t>
            </w:r>
          </w:p>
        </w:tc>
        <w:tc>
          <w:tcPr>
            <w:tcW w:w="580" w:type="dxa"/>
            <w:vAlign w:val="bottom"/>
            <w:tcBorders>
              <w:bottom w:val="single" w:sz="8" w:color="0077C0"/>
            </w:tcBorders>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16,319</w:t>
            </w:r>
          </w:p>
        </w:tc>
      </w:tr>
    </w:tbl>
    <w:p>
      <w:pPr>
        <w:spacing w:after="0" w:line="76" w:lineRule="exact"/>
        <w:rPr>
          <w:sz w:val="20"/>
          <w:szCs w:val="20"/>
          <w:color w:val="auto"/>
        </w:rPr>
      </w:pPr>
    </w:p>
    <w:p>
      <w:pPr>
        <w:jc w:val="both"/>
        <w:ind w:left="20"/>
        <w:spacing w:after="0" w:line="297" w:lineRule="auto"/>
        <w:rPr>
          <w:sz w:val="20"/>
          <w:szCs w:val="20"/>
          <w:color w:val="auto"/>
        </w:rPr>
      </w:pPr>
      <w:r>
        <w:rPr>
          <w:rFonts w:ascii="Times New Roman" w:cs="Times New Roman" w:eastAsia="Times New Roman" w:hAnsi="Times New Roman"/>
          <w:sz w:val="18"/>
          <w:szCs w:val="18"/>
          <w:color w:val="auto"/>
        </w:rPr>
        <w:t>Depreciation, depletion and amortization expenses decreased slightly in 2024 primarily due to lower impairment charges partially offset by higher production and higher rates.</w:t>
      </w:r>
    </w:p>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302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6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4200" w:type="dxa"/>
            <w:vAlign w:val="bottom"/>
            <w:tcBorders>
              <w:bottom w:val="single" w:sz="8" w:color="0077C0"/>
            </w:tcBorders>
          </w:tcPr>
          <w:p>
            <w:pPr>
              <w:spacing w:after="0"/>
              <w:rPr>
                <w:sz w:val="2"/>
                <w:szCs w:val="2"/>
                <w:color w:val="auto"/>
              </w:rPr>
            </w:pPr>
          </w:p>
        </w:tc>
        <w:tc>
          <w:tcPr>
            <w:tcW w:w="3020" w:type="dxa"/>
            <w:vAlign w:val="bottom"/>
            <w:tcBorders>
              <w:bottom w:val="single" w:sz="8" w:color="0077C0"/>
            </w:tcBorders>
          </w:tcPr>
          <w:p>
            <w:pPr>
              <w:spacing w:after="0"/>
              <w:rPr>
                <w:sz w:val="2"/>
                <w:szCs w:val="2"/>
                <w:color w:val="auto"/>
              </w:rPr>
            </w:pPr>
          </w:p>
        </w:tc>
        <w:tc>
          <w:tcPr>
            <w:tcW w:w="98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860" w:type="dxa"/>
            <w:vAlign w:val="bottom"/>
            <w:tcBorders>
              <w:bottom w:val="single" w:sz="8" w:color="0077C0"/>
            </w:tcBorders>
          </w:tcPr>
          <w:p>
            <w:pPr>
              <w:spacing w:after="0"/>
              <w:rPr>
                <w:sz w:val="2"/>
                <w:szCs w:val="2"/>
                <w:color w:val="auto"/>
              </w:rPr>
            </w:pPr>
          </w:p>
        </w:tc>
      </w:tr>
      <w:tr>
        <w:trPr>
          <w:trHeight w:val="190"/>
        </w:trPr>
        <w:tc>
          <w:tcPr>
            <w:tcW w:w="420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Taxes other than on income</w:t>
            </w:r>
          </w:p>
        </w:tc>
        <w:tc>
          <w:tcPr>
            <w:tcW w:w="3020" w:type="dxa"/>
            <w:vAlign w:val="bottom"/>
            <w:tcBorders>
              <w:bottom w:val="single" w:sz="8" w:color="0077C0"/>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0077C0"/>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4,716</w:t>
            </w:r>
          </w:p>
        </w:tc>
        <w:tc>
          <w:tcPr>
            <w:tcW w:w="660" w:type="dxa"/>
            <w:vAlign w:val="bottom"/>
            <w:tcBorders>
              <w:bottom w:val="single" w:sz="8" w:color="0077C0"/>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4,220</w:t>
            </w:r>
          </w:p>
        </w:tc>
        <w:tc>
          <w:tcPr>
            <w:tcW w:w="620" w:type="dxa"/>
            <w:vAlign w:val="bottom"/>
            <w:tcBorders>
              <w:bottom w:val="single" w:sz="8" w:color="0077C0"/>
            </w:tcBorders>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4,032</w:t>
            </w:r>
          </w:p>
        </w:tc>
      </w:tr>
    </w:tbl>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Taxes other than on income increased in 2024 primarily due to higher excise and property taxes.</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3120" w:type="dxa"/>
            <w:vAlign w:val="bottom"/>
          </w:tcPr>
          <w:p>
            <w:pPr>
              <w:spacing w:after="0"/>
              <w:rPr>
                <w:sz w:val="16"/>
                <w:szCs w:val="16"/>
                <w:color w:val="auto"/>
              </w:rPr>
            </w:pP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6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4140" w:type="dxa"/>
            <w:vAlign w:val="bottom"/>
            <w:tcBorders>
              <w:bottom w:val="single" w:sz="8" w:color="0077C0"/>
            </w:tcBorders>
          </w:tcPr>
          <w:p>
            <w:pPr>
              <w:spacing w:after="0"/>
              <w:rPr>
                <w:sz w:val="2"/>
                <w:szCs w:val="2"/>
                <w:color w:val="auto"/>
              </w:rPr>
            </w:pPr>
          </w:p>
        </w:tc>
        <w:tc>
          <w:tcPr>
            <w:tcW w:w="3120" w:type="dxa"/>
            <w:vAlign w:val="bottom"/>
            <w:tcBorders>
              <w:bottom w:val="single" w:sz="8" w:color="0077C0"/>
            </w:tcBorders>
          </w:tcPr>
          <w:p>
            <w:pPr>
              <w:spacing w:after="0"/>
              <w:rPr>
                <w:sz w:val="2"/>
                <w:szCs w:val="2"/>
                <w:color w:val="auto"/>
              </w:rPr>
            </w:pPr>
          </w:p>
        </w:tc>
        <w:tc>
          <w:tcPr>
            <w:tcW w:w="94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c>
          <w:tcPr>
            <w:tcW w:w="86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840" w:type="dxa"/>
            <w:vAlign w:val="bottom"/>
            <w:tcBorders>
              <w:bottom w:val="single" w:sz="8" w:color="0077C0"/>
            </w:tcBorders>
          </w:tcPr>
          <w:p>
            <w:pPr>
              <w:spacing w:after="0"/>
              <w:rPr>
                <w:sz w:val="2"/>
                <w:szCs w:val="2"/>
                <w:color w:val="auto"/>
              </w:rPr>
            </w:pPr>
          </w:p>
        </w:tc>
      </w:tr>
      <w:tr>
        <w:trPr>
          <w:trHeight w:val="190"/>
        </w:trPr>
        <w:tc>
          <w:tcPr>
            <w:tcW w:w="414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and debt expense</w:t>
            </w:r>
          </w:p>
        </w:tc>
        <w:tc>
          <w:tcPr>
            <w:tcW w:w="3120" w:type="dxa"/>
            <w:vAlign w:val="bottom"/>
            <w:tcBorders>
              <w:bottom w:val="single" w:sz="8" w:color="0077C0"/>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0077C0"/>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594</w:t>
            </w:r>
          </w:p>
        </w:tc>
        <w:tc>
          <w:tcPr>
            <w:tcW w:w="700" w:type="dxa"/>
            <w:vAlign w:val="bottom"/>
            <w:tcBorders>
              <w:bottom w:val="single" w:sz="8" w:color="0077C0"/>
            </w:tcBorders>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469</w:t>
            </w:r>
          </w:p>
        </w:tc>
        <w:tc>
          <w:tcPr>
            <w:tcW w:w="640" w:type="dxa"/>
            <w:vAlign w:val="bottom"/>
            <w:tcBorders>
              <w:bottom w:val="single" w:sz="8" w:color="0077C0"/>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516</w:t>
            </w:r>
          </w:p>
        </w:tc>
      </w:tr>
    </w:tbl>
    <w:p>
      <w:pPr>
        <w:spacing w:after="0" w:line="1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and debt expenses increased in 2024 mainly due to higher debt balances.</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250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6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r>
      <w:tr>
        <w:trPr>
          <w:trHeight w:val="24"/>
        </w:trPr>
        <w:tc>
          <w:tcPr>
            <w:tcW w:w="4780" w:type="dxa"/>
            <w:vAlign w:val="bottom"/>
            <w:tcBorders>
              <w:bottom w:val="single" w:sz="8" w:color="0077C0"/>
            </w:tcBorders>
          </w:tcPr>
          <w:p>
            <w:pPr>
              <w:spacing w:after="0"/>
              <w:rPr>
                <w:sz w:val="2"/>
                <w:szCs w:val="2"/>
                <w:color w:val="auto"/>
              </w:rPr>
            </w:pPr>
          </w:p>
        </w:tc>
        <w:tc>
          <w:tcPr>
            <w:tcW w:w="250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c>
          <w:tcPr>
            <w:tcW w:w="86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840" w:type="dxa"/>
            <w:vAlign w:val="bottom"/>
            <w:tcBorders>
              <w:bottom w:val="single" w:sz="8" w:color="0077C0"/>
            </w:tcBorders>
          </w:tcPr>
          <w:p>
            <w:pPr>
              <w:spacing w:after="0"/>
              <w:rPr>
                <w:sz w:val="2"/>
                <w:szCs w:val="2"/>
                <w:color w:val="auto"/>
              </w:rPr>
            </w:pPr>
          </w:p>
        </w:tc>
      </w:tr>
      <w:tr>
        <w:trPr>
          <w:trHeight w:val="190"/>
        </w:trPr>
        <w:tc>
          <w:tcPr>
            <w:tcW w:w="478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components of net periodic benefit costs</w:t>
            </w:r>
          </w:p>
        </w:tc>
        <w:tc>
          <w:tcPr>
            <w:tcW w:w="2500" w:type="dxa"/>
            <w:vAlign w:val="bottom"/>
            <w:tcBorders>
              <w:bottom w:val="single" w:sz="8" w:color="0077C0"/>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0077C0"/>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195</w:t>
            </w:r>
          </w:p>
        </w:tc>
        <w:tc>
          <w:tcPr>
            <w:tcW w:w="700" w:type="dxa"/>
            <w:vAlign w:val="bottom"/>
            <w:tcBorders>
              <w:bottom w:val="single" w:sz="8" w:color="0077C0"/>
            </w:tcBorders>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212</w:t>
            </w:r>
          </w:p>
        </w:tc>
        <w:tc>
          <w:tcPr>
            <w:tcW w:w="640" w:type="dxa"/>
            <w:vAlign w:val="bottom"/>
            <w:tcBorders>
              <w:bottom w:val="single" w:sz="8" w:color="0077C0"/>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295</w:t>
            </w:r>
          </w:p>
        </w:tc>
      </w:tr>
    </w:tbl>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components of net periodic benefit costs decreased in 2024 primarily due to lower pension settlement costs.</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414"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90"/>
        </w:trPr>
        <w:tc>
          <w:tcPr>
            <w:tcW w:w="6180" w:type="dxa"/>
            <w:vAlign w:val="bottom"/>
            <w:gridSpan w:val="2"/>
          </w:tcPr>
          <w:p>
            <w:pPr>
              <w:spacing w:after="0"/>
              <w:rPr>
                <w:sz w:val="20"/>
                <w:szCs w:val="20"/>
                <w:color w:val="auto"/>
              </w:rPr>
            </w:pPr>
            <w:r>
              <w:rPr>
                <w:rFonts w:ascii="Arial" w:cs="Arial" w:eastAsia="Arial" w:hAnsi="Arial"/>
                <w:sz w:val="14"/>
                <w:szCs w:val="14"/>
                <w:color w:val="0077C0"/>
              </w:rPr>
              <w:t>Management’s Discussion and Analysis of Financial Condition and Results of Operations</w:t>
            </w: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380" w:type="dxa"/>
            <w:vAlign w:val="bottom"/>
            <w:gridSpan w:val="3"/>
          </w:tcPr>
          <w:p>
            <w:pPr>
              <w:ind w:left="540"/>
              <w:spacing w:after="0"/>
              <w:rPr>
                <w:sz w:val="20"/>
                <w:szCs w:val="20"/>
                <w:color w:val="auto"/>
              </w:rPr>
            </w:pPr>
            <w:r>
              <w:rPr>
                <w:rFonts w:ascii="Arial" w:cs="Arial" w:eastAsia="Arial" w:hAnsi="Arial"/>
                <w:sz w:val="14"/>
                <w:szCs w:val="14"/>
                <w:color w:val="0077C0"/>
              </w:rPr>
              <w:t>Financial Table of Contents</w:t>
            </w:r>
          </w:p>
        </w:tc>
      </w:tr>
      <w:tr>
        <w:trPr>
          <w:trHeight w:val="713"/>
        </w:trPr>
        <w:tc>
          <w:tcPr>
            <w:tcW w:w="20" w:type="dxa"/>
            <w:vAlign w:val="bottom"/>
          </w:tcPr>
          <w:p>
            <w:pPr>
              <w:spacing w:after="0"/>
              <w:rPr>
                <w:sz w:val="24"/>
                <w:szCs w:val="24"/>
                <w:color w:val="auto"/>
              </w:rPr>
            </w:pPr>
          </w:p>
        </w:tc>
        <w:tc>
          <w:tcPr>
            <w:tcW w:w="6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1060" w:type="dxa"/>
            <w:vAlign w:val="bottom"/>
          </w:tcPr>
          <w:p>
            <w:pPr>
              <w:spacing w:after="0"/>
              <w:rPr>
                <w:sz w:val="24"/>
                <w:szCs w:val="24"/>
                <w:color w:val="auto"/>
              </w:rPr>
            </w:pPr>
          </w:p>
        </w:tc>
        <w:tc>
          <w:tcPr>
            <w:tcW w:w="9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Pr>
          <w:p>
            <w:pPr>
              <w:spacing w:after="0"/>
              <w:rPr>
                <w:sz w:val="24"/>
                <w:szCs w:val="24"/>
                <w:color w:val="auto"/>
              </w:rPr>
            </w:pPr>
          </w:p>
        </w:tc>
        <w:tc>
          <w:tcPr>
            <w:tcW w:w="90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2023</w:t>
            </w:r>
          </w:p>
        </w:tc>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20" w:type="dxa"/>
            <w:vAlign w:val="bottom"/>
          </w:tcPr>
          <w:p>
            <w:pPr>
              <w:spacing w:after="0"/>
              <w:rPr>
                <w:sz w:val="2"/>
                <w:szCs w:val="2"/>
                <w:color w:val="auto"/>
              </w:rPr>
            </w:pPr>
          </w:p>
        </w:tc>
        <w:tc>
          <w:tcPr>
            <w:tcW w:w="6160" w:type="dxa"/>
            <w:vAlign w:val="bottom"/>
            <w:tcBorders>
              <w:bottom w:val="single" w:sz="8" w:color="0077C0"/>
            </w:tcBorders>
          </w:tcPr>
          <w:p>
            <w:pPr>
              <w:spacing w:after="0"/>
              <w:rPr>
                <w:sz w:val="2"/>
                <w:szCs w:val="2"/>
                <w:color w:val="auto"/>
              </w:rPr>
            </w:pPr>
          </w:p>
        </w:tc>
        <w:tc>
          <w:tcPr>
            <w:tcW w:w="1060" w:type="dxa"/>
            <w:vAlign w:val="bottom"/>
            <w:tcBorders>
              <w:bottom w:val="single" w:sz="8" w:color="0077C0"/>
            </w:tcBorders>
          </w:tcPr>
          <w:p>
            <w:pPr>
              <w:spacing w:after="0"/>
              <w:rPr>
                <w:sz w:val="2"/>
                <w:szCs w:val="2"/>
                <w:color w:val="auto"/>
              </w:rPr>
            </w:pPr>
          </w:p>
        </w:tc>
        <w:tc>
          <w:tcPr>
            <w:tcW w:w="98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61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Income tax expense (benefit)</w:t>
            </w:r>
          </w:p>
        </w:tc>
        <w:tc>
          <w:tcPr>
            <w:tcW w:w="1060" w:type="dxa"/>
            <w:vAlign w:val="bottom"/>
            <w:tcBorders>
              <w:bottom w:val="single" w:sz="8" w:color="0077C0"/>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0077C0"/>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9,757</w:t>
            </w:r>
          </w:p>
        </w:tc>
        <w:tc>
          <w:tcPr>
            <w:tcW w:w="660" w:type="dxa"/>
            <w:vAlign w:val="bottom"/>
            <w:tcBorders>
              <w:bottom w:val="single" w:sz="8" w:color="0077C0"/>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8,173</w:t>
            </w:r>
          </w:p>
        </w:tc>
        <w:tc>
          <w:tcPr>
            <w:tcW w:w="580" w:type="dxa"/>
            <w:vAlign w:val="bottom"/>
            <w:tcBorders>
              <w:bottom w:val="single" w:sz="8" w:color="0077C0"/>
            </w:tcBorders>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14,066</w:t>
            </w:r>
          </w:p>
        </w:tc>
      </w:tr>
    </w:tbl>
    <w:p>
      <w:pPr>
        <w:spacing w:after="0" w:line="130" w:lineRule="exact"/>
        <w:rPr>
          <w:sz w:val="20"/>
          <w:szCs w:val="20"/>
          <w:color w:val="auto"/>
        </w:rPr>
      </w:pPr>
    </w:p>
    <w:p>
      <w:pPr>
        <w:jc w:val="both"/>
        <w:ind w:left="20"/>
        <w:spacing w:after="0" w:line="271" w:lineRule="auto"/>
        <w:rPr>
          <w:sz w:val="20"/>
          <w:szCs w:val="20"/>
          <w:color w:val="auto"/>
        </w:rPr>
      </w:pPr>
      <w:r>
        <w:rPr>
          <w:rFonts w:ascii="Times New Roman" w:cs="Times New Roman" w:eastAsia="Times New Roman" w:hAnsi="Times New Roman"/>
          <w:sz w:val="18"/>
          <w:szCs w:val="18"/>
          <w:color w:val="auto"/>
        </w:rPr>
        <w:t>The increase in income tax expense in 2024 of $1.6 billion was primarily due to the tax impacts of the asset sales in Canada, partially offset by the decrease in total income before tax for the company of $2.1 billion. The decrease in income before taxes for the company was primarily the result of lower downstream margins, lower upstream realizations, higher operating expenses, in part due to severance charges, partially offset by the absence of charges from decommissioning obligations for previously divested assets, higher sales volumes and favorable foreign exchange impacts.</w:t>
      </w:r>
    </w:p>
    <w:p>
      <w:pPr>
        <w:spacing w:after="0" w:line="51" w:lineRule="exact"/>
        <w:rPr>
          <w:sz w:val="20"/>
          <w:szCs w:val="20"/>
          <w:color w:val="auto"/>
        </w:rPr>
      </w:pPr>
    </w:p>
    <w:p>
      <w:pPr>
        <w:jc w:val="both"/>
        <w:ind w:left="20"/>
        <w:spacing w:after="0" w:line="271" w:lineRule="auto"/>
        <w:rPr>
          <w:sz w:val="20"/>
          <w:szCs w:val="20"/>
          <w:color w:val="auto"/>
        </w:rPr>
      </w:pPr>
      <w:r>
        <w:rPr>
          <w:rFonts w:ascii="Times New Roman" w:cs="Times New Roman" w:eastAsia="Times New Roman" w:hAnsi="Times New Roman"/>
          <w:sz w:val="18"/>
          <w:szCs w:val="18"/>
          <w:color w:val="auto"/>
        </w:rPr>
        <w:t>U.S. income before tax decreased from $8.6 billion in 2023 to $8.1 billion in 2024. This $0.5 billion decrease in income was primarily driven by lower downstream margins, higher operating expenses, in part due to severance charges, and lower upstream realizations, partially offset by the absence of charges related to decommissioning obligations for previously divested assets and higher sales volumes. The increase of $0.1 billion in U.S. income tax expense between year-over-year periods, from $1.8 billion in 2023 to $1.9 billion in 2024, was primarily driven by current period unfavorable tax items.</w:t>
      </w:r>
    </w:p>
    <w:p>
      <w:pPr>
        <w:spacing w:after="0" w:line="51" w:lineRule="exact"/>
        <w:rPr>
          <w:sz w:val="20"/>
          <w:szCs w:val="20"/>
          <w:color w:val="auto"/>
        </w:rPr>
      </w:pPr>
    </w:p>
    <w:p>
      <w:pPr>
        <w:jc w:val="both"/>
        <w:ind w:left="20"/>
        <w:spacing w:after="0" w:line="271" w:lineRule="auto"/>
        <w:rPr>
          <w:sz w:val="20"/>
          <w:szCs w:val="20"/>
          <w:color w:val="auto"/>
        </w:rPr>
      </w:pPr>
      <w:r>
        <w:rPr>
          <w:rFonts w:ascii="Times New Roman" w:cs="Times New Roman" w:eastAsia="Times New Roman" w:hAnsi="Times New Roman"/>
          <w:sz w:val="18"/>
          <w:szCs w:val="18"/>
          <w:color w:val="auto"/>
        </w:rPr>
        <w:t>International income before tax decreased from $21.0 billion in 2023 to $19.5 billion in 2024. This $1.6 billion decrease in income was primarily driven by lower downstream margins, lower upstream realizations, higher operating expenses and lower sales volumes, partially offset by favorable foreign exchange impacts. The increase of $1.5 billion in international income tax expense between year-over-year periods, from $6.4 billion in 2023 to $7.9 billion in 2024, was primarily driven by the tax impacts of the asset sales in Canada, partially offset by the decrease in income before tax.</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Refer also to the discussion of the effective income tax rate in </w:t>
      </w:r>
      <w:r>
        <w:rPr>
          <w:rFonts w:ascii="Times New Roman" w:cs="Times New Roman" w:eastAsia="Times New Roman" w:hAnsi="Times New Roman"/>
          <w:sz w:val="18"/>
          <w:szCs w:val="18"/>
          <w:u w:val="single" w:color="auto"/>
          <w:color w:val="0000FF"/>
        </w:rPr>
        <w:t>Note 17 Taxes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414" w:right="339" w:bottom="1440" w:gutter="0" w:footer="0" w:header="0"/>
        </w:sectPr>
      </w:pPr>
    </w:p>
    <w:bookmarkStart w:id="47" w:name="page48"/>
    <w:bookmarkEnd w:id="47"/>
    <w:p>
      <w:pPr>
        <w:spacing w:after="0"/>
        <w:tabs>
          <w:tab w:leader="none" w:pos="9400" w:val="left"/>
        </w:tabs>
        <w:rPr>
          <w:sz w:val="20"/>
          <w:szCs w:val="20"/>
          <w:color w:val="auto"/>
        </w:rPr>
      </w:pPr>
      <w:r>
        <w:rPr>
          <w:rFonts w:ascii="Arial" w:cs="Arial" w:eastAsia="Arial" w:hAnsi="Arial"/>
          <w:sz w:val="14"/>
          <w:szCs w:val="14"/>
          <w:color w:val="0077C0"/>
        </w:rPr>
        <w:t>Management’s Discussion and Analysis of Financial Condition and Results of Operations</w:t>
      </w:r>
      <w:r>
        <w:rPr>
          <w:sz w:val="20"/>
          <w:szCs w:val="20"/>
          <w:color w:val="auto"/>
        </w:rPr>
        <w:tab/>
      </w:r>
      <w:r>
        <w:rPr>
          <w:rFonts w:ascii="Arial" w:cs="Arial" w:eastAsia="Arial" w:hAnsi="Arial"/>
          <w:sz w:val="14"/>
          <w:szCs w:val="14"/>
          <w:color w:val="0077C0"/>
        </w:rPr>
        <w:t>Financial 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77C0"/>
        </w:rPr>
        <w:t>Selected Operating Data</w:t>
      </w:r>
      <w:r>
        <w:rPr>
          <w:rFonts w:ascii="Arial" w:cs="Arial" w:eastAsia="Arial" w:hAnsi="Arial"/>
          <w:sz w:val="23"/>
          <w:szCs w:val="23"/>
          <w:b w:val="1"/>
          <w:bCs w:val="1"/>
          <w:color w:val="0077C0"/>
          <w:vertAlign w:val="superscript"/>
        </w:rPr>
        <w:t>1,2</w:t>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214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5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2023</w:t>
            </w:r>
          </w:p>
        </w:tc>
        <w:tc>
          <w:tcPr>
            <w:tcW w:w="6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3"/>
        </w:trPr>
        <w:tc>
          <w:tcPr>
            <w:tcW w:w="4560" w:type="dxa"/>
            <w:vAlign w:val="bottom"/>
            <w:tcBorders>
              <w:bottom w:val="single" w:sz="8" w:color="0077C0"/>
            </w:tcBorders>
          </w:tcPr>
          <w:p>
            <w:pPr>
              <w:spacing w:after="0"/>
              <w:rPr>
                <w:sz w:val="2"/>
                <w:szCs w:val="2"/>
                <w:color w:val="auto"/>
              </w:rPr>
            </w:pPr>
          </w:p>
        </w:tc>
        <w:tc>
          <w:tcPr>
            <w:tcW w:w="2140" w:type="dxa"/>
            <w:vAlign w:val="bottom"/>
            <w:tcBorders>
              <w:bottom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U.S. Upstream</w:t>
            </w:r>
          </w:p>
        </w:tc>
        <w:tc>
          <w:tcPr>
            <w:tcW w:w="2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Borders>
              <w:right w:val="single" w:sz="8" w:color="0077C0"/>
            </w:tcBorders>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Crude Oil and Natural Gas Liquids (NGLs) Production</w:t>
            </w:r>
          </w:p>
        </w:tc>
        <w:tc>
          <w:tcPr>
            <w:tcW w:w="2140" w:type="dxa"/>
            <w:vAlign w:val="bottom"/>
          </w:tcPr>
          <w:p>
            <w:pPr>
              <w:jc w:val="center"/>
              <w:ind w:left="608"/>
              <w:spacing w:after="0"/>
              <w:rPr>
                <w:sz w:val="20"/>
                <w:szCs w:val="20"/>
                <w:color w:val="auto"/>
              </w:rPr>
            </w:pPr>
            <w:r>
              <w:rPr>
                <w:rFonts w:ascii="Times New Roman" w:cs="Times New Roman" w:eastAsia="Times New Roman" w:hAnsi="Times New Roman"/>
                <w:sz w:val="14"/>
                <w:szCs w:val="14"/>
                <w:color w:val="auto"/>
              </w:rPr>
              <w:t>MBD</w:t>
            </w:r>
          </w:p>
        </w:tc>
        <w:tc>
          <w:tcPr>
            <w:tcW w:w="560" w:type="dxa"/>
            <w:vAlign w:val="bottom"/>
          </w:tcPr>
          <w:p>
            <w:pPr>
              <w:spacing w:after="0"/>
              <w:rPr>
                <w:sz w:val="16"/>
                <w:szCs w:val="16"/>
                <w:color w:val="auto"/>
              </w:rPr>
            </w:pPr>
          </w:p>
        </w:tc>
        <w:tc>
          <w:tcPr>
            <w:tcW w:w="90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1,152</w:t>
            </w:r>
          </w:p>
        </w:tc>
        <w:tc>
          <w:tcPr>
            <w:tcW w:w="6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997</w:t>
            </w:r>
          </w:p>
        </w:tc>
        <w:tc>
          <w:tcPr>
            <w:tcW w:w="6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0" w:type="dxa"/>
            <w:vAlign w:val="bottom"/>
          </w:tcPr>
          <w:p>
            <w:pPr>
              <w:spacing w:after="0"/>
              <w:rPr>
                <w:sz w:val="1"/>
                <w:szCs w:val="1"/>
                <w:color w:val="auto"/>
              </w:rPr>
            </w:pPr>
          </w:p>
        </w:tc>
      </w:tr>
      <w:tr>
        <w:trPr>
          <w:trHeight w:val="215"/>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Natural Gas Production</w:t>
            </w:r>
            <w:r>
              <w:rPr>
                <w:rFonts w:ascii="Times New Roman" w:cs="Times New Roman" w:eastAsia="Times New Roman" w:hAnsi="Times New Roman"/>
                <w:sz w:val="18"/>
                <w:szCs w:val="18"/>
                <w:color w:val="auto"/>
                <w:vertAlign w:val="superscript"/>
              </w:rPr>
              <w:t>3</w:t>
            </w:r>
          </w:p>
        </w:tc>
        <w:tc>
          <w:tcPr>
            <w:tcW w:w="2140" w:type="dxa"/>
            <w:vAlign w:val="bottom"/>
          </w:tcPr>
          <w:p>
            <w:pPr>
              <w:jc w:val="center"/>
              <w:ind w:left="608"/>
              <w:spacing w:after="0"/>
              <w:rPr>
                <w:sz w:val="20"/>
                <w:szCs w:val="20"/>
                <w:color w:val="auto"/>
              </w:rPr>
            </w:pPr>
            <w:r>
              <w:rPr>
                <w:rFonts w:ascii="Times New Roman" w:cs="Times New Roman" w:eastAsia="Times New Roman" w:hAnsi="Times New Roman"/>
                <w:sz w:val="14"/>
                <w:szCs w:val="14"/>
                <w:color w:val="auto"/>
              </w:rPr>
              <w:t>MMCFD</w:t>
            </w:r>
          </w:p>
        </w:tc>
        <w:tc>
          <w:tcPr>
            <w:tcW w:w="560" w:type="dxa"/>
            <w:vAlign w:val="bottom"/>
          </w:tcPr>
          <w:p>
            <w:pPr>
              <w:spacing w:after="0"/>
              <w:rPr>
                <w:sz w:val="18"/>
                <w:szCs w:val="18"/>
                <w:color w:val="auto"/>
              </w:rPr>
            </w:pPr>
          </w:p>
        </w:tc>
        <w:tc>
          <w:tcPr>
            <w:tcW w:w="90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2,684</w:t>
            </w:r>
          </w:p>
        </w:tc>
        <w:tc>
          <w:tcPr>
            <w:tcW w:w="660" w:type="dxa"/>
            <w:vAlign w:val="bottom"/>
          </w:tcPr>
          <w:p>
            <w:pPr>
              <w:spacing w:after="0"/>
              <w:rPr>
                <w:sz w:val="18"/>
                <w:szCs w:val="18"/>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2,112</w:t>
            </w:r>
          </w:p>
        </w:tc>
        <w:tc>
          <w:tcPr>
            <w:tcW w:w="6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1,758</w:t>
            </w:r>
          </w:p>
        </w:tc>
        <w:tc>
          <w:tcPr>
            <w:tcW w:w="0" w:type="dxa"/>
            <w:vAlign w:val="bottom"/>
          </w:tcPr>
          <w:p>
            <w:pPr>
              <w:spacing w:after="0"/>
              <w:rPr>
                <w:sz w:val="1"/>
                <w:szCs w:val="1"/>
                <w:color w:val="auto"/>
              </w:rPr>
            </w:pPr>
          </w:p>
        </w:tc>
      </w:tr>
      <w:tr>
        <w:trPr>
          <w:trHeight w:val="190"/>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Oil-Equivalent Production</w:t>
            </w:r>
          </w:p>
        </w:tc>
        <w:tc>
          <w:tcPr>
            <w:tcW w:w="2140" w:type="dxa"/>
            <w:vAlign w:val="bottom"/>
          </w:tcPr>
          <w:p>
            <w:pPr>
              <w:jc w:val="center"/>
              <w:ind w:left="588"/>
              <w:spacing w:after="0"/>
              <w:rPr>
                <w:sz w:val="20"/>
                <w:szCs w:val="20"/>
                <w:color w:val="auto"/>
              </w:rPr>
            </w:pPr>
            <w:r>
              <w:rPr>
                <w:rFonts w:ascii="Times New Roman" w:cs="Times New Roman" w:eastAsia="Times New Roman" w:hAnsi="Times New Roman"/>
                <w:sz w:val="14"/>
                <w:szCs w:val="14"/>
                <w:color w:val="auto"/>
              </w:rPr>
              <w:t>MBOED</w:t>
            </w:r>
          </w:p>
        </w:tc>
        <w:tc>
          <w:tcPr>
            <w:tcW w:w="560" w:type="dxa"/>
            <w:vAlign w:val="bottom"/>
          </w:tcPr>
          <w:p>
            <w:pPr>
              <w:spacing w:after="0"/>
              <w:rPr>
                <w:sz w:val="16"/>
                <w:szCs w:val="16"/>
                <w:color w:val="auto"/>
              </w:rPr>
            </w:pPr>
          </w:p>
        </w:tc>
        <w:tc>
          <w:tcPr>
            <w:tcW w:w="90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1,599</w:t>
            </w:r>
          </w:p>
        </w:tc>
        <w:tc>
          <w:tcPr>
            <w:tcW w:w="6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1,349</w:t>
            </w:r>
          </w:p>
        </w:tc>
        <w:tc>
          <w:tcPr>
            <w:tcW w:w="6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1,181</w:t>
            </w:r>
          </w:p>
        </w:tc>
        <w:tc>
          <w:tcPr>
            <w:tcW w:w="0" w:type="dxa"/>
            <w:vAlign w:val="bottom"/>
          </w:tcPr>
          <w:p>
            <w:pPr>
              <w:spacing w:after="0"/>
              <w:rPr>
                <w:sz w:val="1"/>
                <w:szCs w:val="1"/>
                <w:color w:val="auto"/>
              </w:rPr>
            </w:pPr>
          </w:p>
        </w:tc>
      </w:tr>
      <w:tr>
        <w:trPr>
          <w:trHeight w:val="215"/>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of Natural Gas</w:t>
            </w:r>
            <w:r>
              <w:rPr>
                <w:rFonts w:ascii="Times New Roman" w:cs="Times New Roman" w:eastAsia="Times New Roman" w:hAnsi="Times New Roman"/>
                <w:sz w:val="18"/>
                <w:szCs w:val="18"/>
                <w:color w:val="auto"/>
                <w:vertAlign w:val="superscript"/>
              </w:rPr>
              <w:t>4</w:t>
            </w:r>
          </w:p>
        </w:tc>
        <w:tc>
          <w:tcPr>
            <w:tcW w:w="2140" w:type="dxa"/>
            <w:vAlign w:val="bottom"/>
          </w:tcPr>
          <w:p>
            <w:pPr>
              <w:jc w:val="center"/>
              <w:ind w:left="608"/>
              <w:spacing w:after="0"/>
              <w:rPr>
                <w:sz w:val="20"/>
                <w:szCs w:val="20"/>
                <w:color w:val="auto"/>
              </w:rPr>
            </w:pPr>
            <w:r>
              <w:rPr>
                <w:rFonts w:ascii="Times New Roman" w:cs="Times New Roman" w:eastAsia="Times New Roman" w:hAnsi="Times New Roman"/>
                <w:sz w:val="14"/>
                <w:szCs w:val="14"/>
                <w:color w:val="auto"/>
              </w:rPr>
              <w:t>MMCFD</w:t>
            </w:r>
          </w:p>
        </w:tc>
        <w:tc>
          <w:tcPr>
            <w:tcW w:w="560" w:type="dxa"/>
            <w:vAlign w:val="bottom"/>
          </w:tcPr>
          <w:p>
            <w:pPr>
              <w:spacing w:after="0"/>
              <w:rPr>
                <w:sz w:val="18"/>
                <w:szCs w:val="18"/>
                <w:color w:val="auto"/>
              </w:rPr>
            </w:pPr>
          </w:p>
        </w:tc>
        <w:tc>
          <w:tcPr>
            <w:tcW w:w="90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5,172</w:t>
            </w:r>
          </w:p>
        </w:tc>
        <w:tc>
          <w:tcPr>
            <w:tcW w:w="660" w:type="dxa"/>
            <w:vAlign w:val="bottom"/>
          </w:tcPr>
          <w:p>
            <w:pPr>
              <w:spacing w:after="0"/>
              <w:rPr>
                <w:sz w:val="18"/>
                <w:szCs w:val="18"/>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4,637</w:t>
            </w:r>
          </w:p>
        </w:tc>
        <w:tc>
          <w:tcPr>
            <w:tcW w:w="6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4,354</w:t>
            </w:r>
          </w:p>
        </w:tc>
        <w:tc>
          <w:tcPr>
            <w:tcW w:w="0" w:type="dxa"/>
            <w:vAlign w:val="bottom"/>
          </w:tcPr>
          <w:p>
            <w:pPr>
              <w:spacing w:after="0"/>
              <w:rPr>
                <w:sz w:val="1"/>
                <w:szCs w:val="1"/>
                <w:color w:val="auto"/>
              </w:rPr>
            </w:pPr>
          </w:p>
        </w:tc>
      </w:tr>
      <w:tr>
        <w:trPr>
          <w:trHeight w:val="190"/>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of Natural Gas Liquids</w:t>
            </w:r>
          </w:p>
        </w:tc>
        <w:tc>
          <w:tcPr>
            <w:tcW w:w="2140" w:type="dxa"/>
            <w:vAlign w:val="bottom"/>
          </w:tcPr>
          <w:p>
            <w:pPr>
              <w:jc w:val="center"/>
              <w:ind w:left="608"/>
              <w:spacing w:after="0"/>
              <w:rPr>
                <w:sz w:val="20"/>
                <w:szCs w:val="20"/>
                <w:color w:val="auto"/>
              </w:rPr>
            </w:pPr>
            <w:r>
              <w:rPr>
                <w:rFonts w:ascii="Times New Roman" w:cs="Times New Roman" w:eastAsia="Times New Roman" w:hAnsi="Times New Roman"/>
                <w:sz w:val="14"/>
                <w:szCs w:val="14"/>
                <w:color w:val="auto"/>
              </w:rPr>
              <w:t>MBD</w:t>
            </w:r>
          </w:p>
        </w:tc>
        <w:tc>
          <w:tcPr>
            <w:tcW w:w="560" w:type="dxa"/>
            <w:vAlign w:val="bottom"/>
          </w:tcPr>
          <w:p>
            <w:pPr>
              <w:spacing w:after="0"/>
              <w:rPr>
                <w:sz w:val="16"/>
                <w:szCs w:val="16"/>
                <w:color w:val="auto"/>
              </w:rPr>
            </w:pPr>
          </w:p>
        </w:tc>
        <w:tc>
          <w:tcPr>
            <w:tcW w:w="90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490</w:t>
            </w:r>
          </w:p>
        </w:tc>
        <w:tc>
          <w:tcPr>
            <w:tcW w:w="6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354</w:t>
            </w:r>
          </w:p>
        </w:tc>
        <w:tc>
          <w:tcPr>
            <w:tcW w:w="6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0" w:type="dxa"/>
            <w:vAlign w:val="bottom"/>
          </w:tcPr>
          <w:p>
            <w:pPr>
              <w:spacing w:after="0"/>
              <w:rPr>
                <w:sz w:val="1"/>
                <w:szCs w:val="1"/>
                <w:color w:val="auto"/>
              </w:rPr>
            </w:pPr>
          </w:p>
        </w:tc>
      </w:tr>
      <w:tr>
        <w:trPr>
          <w:trHeight w:val="203"/>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Revenues from Net Production</w:t>
            </w:r>
          </w:p>
        </w:tc>
        <w:tc>
          <w:tcPr>
            <w:tcW w:w="2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Borders>
              <w:right w:val="single" w:sz="8" w:color="0077C0"/>
            </w:tcBorders>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Crude</w:t>
            </w:r>
          </w:p>
        </w:tc>
        <w:tc>
          <w:tcPr>
            <w:tcW w:w="2140" w:type="dxa"/>
            <w:vAlign w:val="bottom"/>
          </w:tcPr>
          <w:p>
            <w:pPr>
              <w:jc w:val="center"/>
              <w:ind w:left="608"/>
              <w:spacing w:after="0"/>
              <w:rPr>
                <w:sz w:val="20"/>
                <w:szCs w:val="20"/>
                <w:color w:val="auto"/>
              </w:rPr>
            </w:pPr>
            <w:r>
              <w:rPr>
                <w:rFonts w:ascii="Times New Roman" w:cs="Times New Roman" w:eastAsia="Times New Roman" w:hAnsi="Times New Roman"/>
                <w:sz w:val="14"/>
                <w:szCs w:val="14"/>
                <w:color w:val="auto"/>
                <w:w w:val="99"/>
              </w:rPr>
              <w:t>$/BBL</w:t>
            </w:r>
          </w:p>
        </w:tc>
        <w:tc>
          <w:tcPr>
            <w:tcW w:w="5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73.47</w:t>
            </w:r>
          </w:p>
        </w:tc>
        <w:tc>
          <w:tcPr>
            <w:tcW w:w="66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75.04</w:t>
            </w:r>
          </w:p>
        </w:tc>
        <w:tc>
          <w:tcPr>
            <w:tcW w:w="62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92.41</w:t>
            </w:r>
          </w:p>
        </w:tc>
        <w:tc>
          <w:tcPr>
            <w:tcW w:w="0" w:type="dxa"/>
            <w:vAlign w:val="bottom"/>
          </w:tcPr>
          <w:p>
            <w:pPr>
              <w:spacing w:after="0"/>
              <w:rPr>
                <w:sz w:val="1"/>
                <w:szCs w:val="1"/>
                <w:color w:val="auto"/>
              </w:rPr>
            </w:pPr>
          </w:p>
        </w:tc>
      </w:tr>
      <w:tr>
        <w:trPr>
          <w:trHeight w:val="202"/>
        </w:trPr>
        <w:tc>
          <w:tcPr>
            <w:tcW w:w="4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NGLs</w:t>
            </w:r>
          </w:p>
        </w:tc>
        <w:tc>
          <w:tcPr>
            <w:tcW w:w="2140" w:type="dxa"/>
            <w:vAlign w:val="bottom"/>
          </w:tcPr>
          <w:p>
            <w:pPr>
              <w:jc w:val="center"/>
              <w:ind w:left="608"/>
              <w:spacing w:after="0"/>
              <w:rPr>
                <w:sz w:val="20"/>
                <w:szCs w:val="20"/>
                <w:color w:val="auto"/>
              </w:rPr>
            </w:pPr>
            <w:r>
              <w:rPr>
                <w:rFonts w:ascii="Times New Roman" w:cs="Times New Roman" w:eastAsia="Times New Roman" w:hAnsi="Times New Roman"/>
                <w:sz w:val="14"/>
                <w:szCs w:val="14"/>
                <w:color w:val="auto"/>
                <w:w w:val="99"/>
              </w:rPr>
              <w:t>$/BBL</w:t>
            </w:r>
          </w:p>
        </w:tc>
        <w:tc>
          <w:tcPr>
            <w:tcW w:w="5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19.88</w:t>
            </w:r>
          </w:p>
        </w:tc>
        <w:tc>
          <w:tcPr>
            <w:tcW w:w="66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20.04</w:t>
            </w:r>
          </w:p>
        </w:tc>
        <w:tc>
          <w:tcPr>
            <w:tcW w:w="62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33.80</w:t>
            </w:r>
          </w:p>
        </w:tc>
        <w:tc>
          <w:tcPr>
            <w:tcW w:w="0" w:type="dxa"/>
            <w:vAlign w:val="bottom"/>
          </w:tcPr>
          <w:p>
            <w:pPr>
              <w:spacing w:after="0"/>
              <w:rPr>
                <w:sz w:val="1"/>
                <w:szCs w:val="1"/>
                <w:color w:val="auto"/>
              </w:rPr>
            </w:pPr>
          </w:p>
        </w:tc>
      </w:tr>
      <w:tr>
        <w:trPr>
          <w:trHeight w:val="203"/>
        </w:trPr>
        <w:tc>
          <w:tcPr>
            <w:tcW w:w="4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Liquids (weighted average of Crude and NGLs)</w:t>
            </w:r>
          </w:p>
        </w:tc>
        <w:tc>
          <w:tcPr>
            <w:tcW w:w="2140" w:type="dxa"/>
            <w:vAlign w:val="bottom"/>
          </w:tcPr>
          <w:p>
            <w:pPr>
              <w:jc w:val="center"/>
              <w:ind w:left="608"/>
              <w:spacing w:after="0"/>
              <w:rPr>
                <w:sz w:val="20"/>
                <w:szCs w:val="20"/>
                <w:color w:val="auto"/>
              </w:rPr>
            </w:pPr>
            <w:r>
              <w:rPr>
                <w:rFonts w:ascii="Times New Roman" w:cs="Times New Roman" w:eastAsia="Times New Roman" w:hAnsi="Times New Roman"/>
                <w:sz w:val="14"/>
                <w:szCs w:val="14"/>
                <w:color w:val="auto"/>
                <w:w w:val="99"/>
              </w:rPr>
              <w:t>$/BBL</w:t>
            </w:r>
          </w:p>
        </w:tc>
        <w:tc>
          <w:tcPr>
            <w:tcW w:w="5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56.24</w:t>
            </w:r>
          </w:p>
        </w:tc>
        <w:tc>
          <w:tcPr>
            <w:tcW w:w="66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59.19</w:t>
            </w:r>
          </w:p>
        </w:tc>
        <w:tc>
          <w:tcPr>
            <w:tcW w:w="62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76.71</w:t>
            </w:r>
          </w:p>
        </w:tc>
        <w:tc>
          <w:tcPr>
            <w:tcW w:w="0" w:type="dxa"/>
            <w:vAlign w:val="bottom"/>
          </w:tcPr>
          <w:p>
            <w:pPr>
              <w:spacing w:after="0"/>
              <w:rPr>
                <w:sz w:val="1"/>
                <w:szCs w:val="1"/>
                <w:color w:val="auto"/>
              </w:rPr>
            </w:pPr>
          </w:p>
        </w:tc>
      </w:tr>
      <w:tr>
        <w:trPr>
          <w:trHeight w:val="203"/>
        </w:trPr>
        <w:tc>
          <w:tcPr>
            <w:tcW w:w="4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Natural Gas</w:t>
            </w:r>
          </w:p>
        </w:tc>
        <w:tc>
          <w:tcPr>
            <w:tcW w:w="2140" w:type="dxa"/>
            <w:vAlign w:val="bottom"/>
          </w:tcPr>
          <w:p>
            <w:pPr>
              <w:jc w:val="center"/>
              <w:ind w:left="608"/>
              <w:spacing w:after="0"/>
              <w:rPr>
                <w:sz w:val="20"/>
                <w:szCs w:val="20"/>
                <w:color w:val="auto"/>
              </w:rPr>
            </w:pPr>
            <w:r>
              <w:rPr>
                <w:rFonts w:ascii="Times New Roman" w:cs="Times New Roman" w:eastAsia="Times New Roman" w:hAnsi="Times New Roman"/>
                <w:sz w:val="14"/>
                <w:szCs w:val="14"/>
                <w:color w:val="auto"/>
              </w:rPr>
              <w:t>$/MCF</w:t>
            </w:r>
          </w:p>
        </w:tc>
        <w:tc>
          <w:tcPr>
            <w:tcW w:w="5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1.04</w:t>
            </w:r>
          </w:p>
        </w:tc>
        <w:tc>
          <w:tcPr>
            <w:tcW w:w="66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1.67</w:t>
            </w:r>
          </w:p>
        </w:tc>
        <w:tc>
          <w:tcPr>
            <w:tcW w:w="62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0" w:type="dxa"/>
            <w:vAlign w:val="bottom"/>
          </w:tcPr>
          <w:p>
            <w:pPr>
              <w:spacing w:after="0"/>
              <w:rPr>
                <w:sz w:val="1"/>
                <w:szCs w:val="1"/>
                <w:color w:val="auto"/>
              </w:rPr>
            </w:pPr>
          </w:p>
        </w:tc>
      </w:tr>
      <w:tr>
        <w:trPr>
          <w:trHeight w:val="203"/>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International Upstream</w:t>
            </w:r>
          </w:p>
        </w:tc>
        <w:tc>
          <w:tcPr>
            <w:tcW w:w="2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Borders>
              <w:right w:val="single" w:sz="8" w:color="0077C0"/>
            </w:tcBorders>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Crude Oil and NGLs Production</w:t>
            </w:r>
            <w:r>
              <w:rPr>
                <w:rFonts w:ascii="Times New Roman" w:cs="Times New Roman" w:eastAsia="Times New Roman" w:hAnsi="Times New Roman"/>
                <w:sz w:val="18"/>
                <w:szCs w:val="18"/>
                <w:color w:val="auto"/>
                <w:vertAlign w:val="superscript"/>
              </w:rPr>
              <w:t>5</w:t>
            </w:r>
          </w:p>
        </w:tc>
        <w:tc>
          <w:tcPr>
            <w:tcW w:w="2140" w:type="dxa"/>
            <w:vAlign w:val="bottom"/>
          </w:tcPr>
          <w:p>
            <w:pPr>
              <w:jc w:val="center"/>
              <w:ind w:left="608"/>
              <w:spacing w:after="0"/>
              <w:rPr>
                <w:sz w:val="20"/>
                <w:szCs w:val="20"/>
                <w:color w:val="auto"/>
              </w:rPr>
            </w:pPr>
            <w:r>
              <w:rPr>
                <w:rFonts w:ascii="Times New Roman" w:cs="Times New Roman" w:eastAsia="Times New Roman" w:hAnsi="Times New Roman"/>
                <w:sz w:val="14"/>
                <w:szCs w:val="14"/>
                <w:color w:val="auto"/>
              </w:rPr>
              <w:t>MBD</w:t>
            </w:r>
          </w:p>
        </w:tc>
        <w:tc>
          <w:tcPr>
            <w:tcW w:w="560" w:type="dxa"/>
            <w:vAlign w:val="bottom"/>
          </w:tcPr>
          <w:p>
            <w:pPr>
              <w:spacing w:after="0"/>
              <w:rPr>
                <w:sz w:val="18"/>
                <w:szCs w:val="18"/>
                <w:color w:val="auto"/>
              </w:rPr>
            </w:pPr>
          </w:p>
        </w:tc>
        <w:tc>
          <w:tcPr>
            <w:tcW w:w="90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823</w:t>
            </w:r>
          </w:p>
        </w:tc>
        <w:tc>
          <w:tcPr>
            <w:tcW w:w="660" w:type="dxa"/>
            <w:vAlign w:val="bottom"/>
          </w:tcPr>
          <w:p>
            <w:pPr>
              <w:spacing w:after="0"/>
              <w:rPr>
                <w:sz w:val="18"/>
                <w:szCs w:val="18"/>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833</w:t>
            </w:r>
          </w:p>
        </w:tc>
        <w:tc>
          <w:tcPr>
            <w:tcW w:w="6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0" w:type="dxa"/>
            <w:vAlign w:val="bottom"/>
          </w:tcPr>
          <w:p>
            <w:pPr>
              <w:spacing w:after="0"/>
              <w:rPr>
                <w:sz w:val="1"/>
                <w:szCs w:val="1"/>
                <w:color w:val="auto"/>
              </w:rPr>
            </w:pPr>
          </w:p>
        </w:tc>
      </w:tr>
      <w:tr>
        <w:trPr>
          <w:trHeight w:val="203"/>
        </w:trPr>
        <w:tc>
          <w:tcPr>
            <w:tcW w:w="456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Net Natural Gas Production</w:t>
            </w:r>
            <w:r>
              <w:rPr>
                <w:rFonts w:ascii="Times New Roman" w:cs="Times New Roman" w:eastAsia="Times New Roman" w:hAnsi="Times New Roman"/>
                <w:sz w:val="18"/>
                <w:szCs w:val="18"/>
                <w:color w:val="auto"/>
                <w:vertAlign w:val="superscript"/>
              </w:rPr>
              <w:t>3</w:t>
            </w:r>
          </w:p>
        </w:tc>
        <w:tc>
          <w:tcPr>
            <w:tcW w:w="2140" w:type="dxa"/>
            <w:vAlign w:val="bottom"/>
          </w:tcPr>
          <w:p>
            <w:pPr>
              <w:jc w:val="center"/>
              <w:ind w:left="608"/>
              <w:spacing w:after="0"/>
              <w:rPr>
                <w:sz w:val="20"/>
                <w:szCs w:val="20"/>
                <w:color w:val="auto"/>
              </w:rPr>
            </w:pPr>
            <w:r>
              <w:rPr>
                <w:rFonts w:ascii="Times New Roman" w:cs="Times New Roman" w:eastAsia="Times New Roman" w:hAnsi="Times New Roman"/>
                <w:sz w:val="14"/>
                <w:szCs w:val="14"/>
                <w:color w:val="auto"/>
              </w:rPr>
              <w:t>MMCFD</w:t>
            </w:r>
          </w:p>
        </w:tc>
        <w:tc>
          <w:tcPr>
            <w:tcW w:w="560" w:type="dxa"/>
            <w:vAlign w:val="bottom"/>
          </w:tcPr>
          <w:p>
            <w:pPr>
              <w:spacing w:after="0"/>
              <w:rPr>
                <w:sz w:val="17"/>
                <w:szCs w:val="17"/>
                <w:color w:val="auto"/>
              </w:rPr>
            </w:pPr>
          </w:p>
        </w:tc>
        <w:tc>
          <w:tcPr>
            <w:tcW w:w="90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5,494</w:t>
            </w:r>
          </w:p>
        </w:tc>
        <w:tc>
          <w:tcPr>
            <w:tcW w:w="6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5,632</w:t>
            </w:r>
          </w:p>
        </w:tc>
        <w:tc>
          <w:tcPr>
            <w:tcW w:w="6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5,919</w:t>
            </w:r>
          </w:p>
        </w:tc>
        <w:tc>
          <w:tcPr>
            <w:tcW w:w="0" w:type="dxa"/>
            <w:vAlign w:val="bottom"/>
          </w:tcPr>
          <w:p>
            <w:pPr>
              <w:spacing w:after="0"/>
              <w:rPr>
                <w:sz w:val="1"/>
                <w:szCs w:val="1"/>
                <w:color w:val="auto"/>
              </w:rPr>
            </w:pPr>
          </w:p>
        </w:tc>
      </w:tr>
      <w:tr>
        <w:trPr>
          <w:trHeight w:val="204"/>
        </w:trPr>
        <w:tc>
          <w:tcPr>
            <w:tcW w:w="4560" w:type="dxa"/>
            <w:vAlign w:val="bottom"/>
          </w:tcPr>
          <w:p>
            <w:pPr>
              <w:ind w:left="20"/>
              <w:spacing w:after="0" w:line="204" w:lineRule="exact"/>
              <w:rPr>
                <w:sz w:val="20"/>
                <w:szCs w:val="20"/>
                <w:color w:val="auto"/>
              </w:rPr>
            </w:pPr>
            <w:r>
              <w:rPr>
                <w:rFonts w:ascii="Times New Roman" w:cs="Times New Roman" w:eastAsia="Times New Roman" w:hAnsi="Times New Roman"/>
                <w:sz w:val="14"/>
                <w:szCs w:val="14"/>
                <w:color w:val="auto"/>
              </w:rPr>
              <w:t>Net Oil-Equivalent Production</w:t>
            </w:r>
            <w:r>
              <w:rPr>
                <w:rFonts w:ascii="Times New Roman" w:cs="Times New Roman" w:eastAsia="Times New Roman" w:hAnsi="Times New Roman"/>
                <w:sz w:val="18"/>
                <w:szCs w:val="18"/>
                <w:color w:val="auto"/>
                <w:vertAlign w:val="superscript"/>
              </w:rPr>
              <w:t>5</w:t>
            </w:r>
          </w:p>
        </w:tc>
        <w:tc>
          <w:tcPr>
            <w:tcW w:w="2140" w:type="dxa"/>
            <w:vAlign w:val="bottom"/>
          </w:tcPr>
          <w:p>
            <w:pPr>
              <w:jc w:val="center"/>
              <w:ind w:left="588"/>
              <w:spacing w:after="0"/>
              <w:rPr>
                <w:sz w:val="20"/>
                <w:szCs w:val="20"/>
                <w:color w:val="auto"/>
              </w:rPr>
            </w:pPr>
            <w:r>
              <w:rPr>
                <w:rFonts w:ascii="Times New Roman" w:cs="Times New Roman" w:eastAsia="Times New Roman" w:hAnsi="Times New Roman"/>
                <w:sz w:val="14"/>
                <w:szCs w:val="14"/>
                <w:color w:val="auto"/>
              </w:rPr>
              <w:t>MBOED</w:t>
            </w:r>
          </w:p>
        </w:tc>
        <w:tc>
          <w:tcPr>
            <w:tcW w:w="560" w:type="dxa"/>
            <w:vAlign w:val="bottom"/>
          </w:tcPr>
          <w:p>
            <w:pPr>
              <w:spacing w:after="0"/>
              <w:rPr>
                <w:sz w:val="17"/>
                <w:szCs w:val="17"/>
                <w:color w:val="auto"/>
              </w:rPr>
            </w:pPr>
          </w:p>
        </w:tc>
        <w:tc>
          <w:tcPr>
            <w:tcW w:w="90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1,739</w:t>
            </w:r>
          </w:p>
        </w:tc>
        <w:tc>
          <w:tcPr>
            <w:tcW w:w="6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1,771</w:t>
            </w:r>
          </w:p>
        </w:tc>
        <w:tc>
          <w:tcPr>
            <w:tcW w:w="6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1,818</w:t>
            </w:r>
          </w:p>
        </w:tc>
        <w:tc>
          <w:tcPr>
            <w:tcW w:w="0" w:type="dxa"/>
            <w:vAlign w:val="bottom"/>
          </w:tcPr>
          <w:p>
            <w:pPr>
              <w:spacing w:after="0"/>
              <w:rPr>
                <w:sz w:val="1"/>
                <w:szCs w:val="1"/>
                <w:color w:val="auto"/>
              </w:rPr>
            </w:pPr>
          </w:p>
        </w:tc>
      </w:tr>
      <w:tr>
        <w:trPr>
          <w:trHeight w:val="190"/>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of Natural Gas</w:t>
            </w:r>
          </w:p>
        </w:tc>
        <w:tc>
          <w:tcPr>
            <w:tcW w:w="2140" w:type="dxa"/>
            <w:vAlign w:val="bottom"/>
          </w:tcPr>
          <w:p>
            <w:pPr>
              <w:jc w:val="center"/>
              <w:ind w:left="608"/>
              <w:spacing w:after="0"/>
              <w:rPr>
                <w:sz w:val="20"/>
                <w:szCs w:val="20"/>
                <w:color w:val="auto"/>
              </w:rPr>
            </w:pPr>
            <w:r>
              <w:rPr>
                <w:rFonts w:ascii="Times New Roman" w:cs="Times New Roman" w:eastAsia="Times New Roman" w:hAnsi="Times New Roman"/>
                <w:sz w:val="14"/>
                <w:szCs w:val="14"/>
                <w:color w:val="auto"/>
              </w:rPr>
              <w:t>MMCFD</w:t>
            </w:r>
          </w:p>
        </w:tc>
        <w:tc>
          <w:tcPr>
            <w:tcW w:w="560" w:type="dxa"/>
            <w:vAlign w:val="bottom"/>
          </w:tcPr>
          <w:p>
            <w:pPr>
              <w:spacing w:after="0"/>
              <w:rPr>
                <w:sz w:val="16"/>
                <w:szCs w:val="16"/>
                <w:color w:val="auto"/>
              </w:rPr>
            </w:pPr>
          </w:p>
        </w:tc>
        <w:tc>
          <w:tcPr>
            <w:tcW w:w="90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5,678</w:t>
            </w:r>
          </w:p>
        </w:tc>
        <w:tc>
          <w:tcPr>
            <w:tcW w:w="6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6,025</w:t>
            </w:r>
          </w:p>
        </w:tc>
        <w:tc>
          <w:tcPr>
            <w:tcW w:w="6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5,786</w:t>
            </w:r>
          </w:p>
        </w:tc>
        <w:tc>
          <w:tcPr>
            <w:tcW w:w="0" w:type="dxa"/>
            <w:vAlign w:val="bottom"/>
          </w:tcPr>
          <w:p>
            <w:pPr>
              <w:spacing w:after="0"/>
              <w:rPr>
                <w:sz w:val="1"/>
                <w:szCs w:val="1"/>
                <w:color w:val="auto"/>
              </w:rPr>
            </w:pPr>
          </w:p>
        </w:tc>
      </w:tr>
      <w:tr>
        <w:trPr>
          <w:trHeight w:val="203"/>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of Natural Gas Liquids</w:t>
            </w:r>
          </w:p>
        </w:tc>
        <w:tc>
          <w:tcPr>
            <w:tcW w:w="2140" w:type="dxa"/>
            <w:vAlign w:val="bottom"/>
          </w:tcPr>
          <w:p>
            <w:pPr>
              <w:jc w:val="center"/>
              <w:ind w:left="608"/>
              <w:spacing w:after="0"/>
              <w:rPr>
                <w:sz w:val="20"/>
                <w:szCs w:val="20"/>
                <w:color w:val="auto"/>
              </w:rPr>
            </w:pPr>
            <w:r>
              <w:rPr>
                <w:rFonts w:ascii="Times New Roman" w:cs="Times New Roman" w:eastAsia="Times New Roman" w:hAnsi="Times New Roman"/>
                <w:sz w:val="14"/>
                <w:szCs w:val="14"/>
                <w:color w:val="auto"/>
              </w:rPr>
              <w:t>MBD</w:t>
            </w:r>
          </w:p>
        </w:tc>
        <w:tc>
          <w:tcPr>
            <w:tcW w:w="560" w:type="dxa"/>
            <w:vAlign w:val="bottom"/>
          </w:tcPr>
          <w:p>
            <w:pPr>
              <w:spacing w:after="0"/>
              <w:rPr>
                <w:sz w:val="17"/>
                <w:szCs w:val="17"/>
                <w:color w:val="auto"/>
              </w:rPr>
            </w:pPr>
          </w:p>
        </w:tc>
        <w:tc>
          <w:tcPr>
            <w:tcW w:w="90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132</w:t>
            </w:r>
          </w:p>
        </w:tc>
        <w:tc>
          <w:tcPr>
            <w:tcW w:w="6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94</w:t>
            </w:r>
          </w:p>
        </w:tc>
        <w:tc>
          <w:tcPr>
            <w:tcW w:w="6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203"/>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Revenues from Liftings</w:t>
            </w:r>
          </w:p>
        </w:tc>
        <w:tc>
          <w:tcPr>
            <w:tcW w:w="2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Borders>
              <w:right w:val="single" w:sz="8" w:color="0077C0"/>
            </w:tcBorders>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Crude</w:t>
            </w:r>
          </w:p>
        </w:tc>
        <w:tc>
          <w:tcPr>
            <w:tcW w:w="2140" w:type="dxa"/>
            <w:vAlign w:val="bottom"/>
          </w:tcPr>
          <w:p>
            <w:pPr>
              <w:jc w:val="center"/>
              <w:ind w:left="608"/>
              <w:spacing w:after="0"/>
              <w:rPr>
                <w:sz w:val="20"/>
                <w:szCs w:val="20"/>
                <w:color w:val="auto"/>
              </w:rPr>
            </w:pPr>
            <w:r>
              <w:rPr>
                <w:rFonts w:ascii="Times New Roman" w:cs="Times New Roman" w:eastAsia="Times New Roman" w:hAnsi="Times New Roman"/>
                <w:sz w:val="14"/>
                <w:szCs w:val="14"/>
                <w:color w:val="auto"/>
                <w:w w:val="99"/>
              </w:rPr>
              <w:t>$/BBL</w:t>
            </w:r>
          </w:p>
        </w:tc>
        <w:tc>
          <w:tcPr>
            <w:tcW w:w="5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73.72</w:t>
            </w:r>
          </w:p>
        </w:tc>
        <w:tc>
          <w:tcPr>
            <w:tcW w:w="66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74.29</w:t>
            </w:r>
          </w:p>
        </w:tc>
        <w:tc>
          <w:tcPr>
            <w:tcW w:w="62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93.73</w:t>
            </w:r>
          </w:p>
        </w:tc>
        <w:tc>
          <w:tcPr>
            <w:tcW w:w="0" w:type="dxa"/>
            <w:vAlign w:val="bottom"/>
          </w:tcPr>
          <w:p>
            <w:pPr>
              <w:spacing w:after="0"/>
              <w:rPr>
                <w:sz w:val="1"/>
                <w:szCs w:val="1"/>
                <w:color w:val="auto"/>
              </w:rPr>
            </w:pPr>
          </w:p>
        </w:tc>
      </w:tr>
      <w:tr>
        <w:trPr>
          <w:trHeight w:val="203"/>
        </w:trPr>
        <w:tc>
          <w:tcPr>
            <w:tcW w:w="4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NGLs</w:t>
            </w:r>
          </w:p>
        </w:tc>
        <w:tc>
          <w:tcPr>
            <w:tcW w:w="2140" w:type="dxa"/>
            <w:vAlign w:val="bottom"/>
          </w:tcPr>
          <w:p>
            <w:pPr>
              <w:jc w:val="center"/>
              <w:ind w:left="608"/>
              <w:spacing w:after="0"/>
              <w:rPr>
                <w:sz w:val="20"/>
                <w:szCs w:val="20"/>
                <w:color w:val="auto"/>
              </w:rPr>
            </w:pPr>
            <w:r>
              <w:rPr>
                <w:rFonts w:ascii="Times New Roman" w:cs="Times New Roman" w:eastAsia="Times New Roman" w:hAnsi="Times New Roman"/>
                <w:sz w:val="14"/>
                <w:szCs w:val="14"/>
                <w:color w:val="auto"/>
                <w:w w:val="99"/>
              </w:rPr>
              <w:t>$/BBL</w:t>
            </w:r>
          </w:p>
        </w:tc>
        <w:tc>
          <w:tcPr>
            <w:tcW w:w="5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26.49</w:t>
            </w:r>
          </w:p>
        </w:tc>
        <w:tc>
          <w:tcPr>
            <w:tcW w:w="66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24.01</w:t>
            </w:r>
          </w:p>
        </w:tc>
        <w:tc>
          <w:tcPr>
            <w:tcW w:w="62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37.56</w:t>
            </w:r>
          </w:p>
        </w:tc>
        <w:tc>
          <w:tcPr>
            <w:tcW w:w="0" w:type="dxa"/>
            <w:vAlign w:val="bottom"/>
          </w:tcPr>
          <w:p>
            <w:pPr>
              <w:spacing w:after="0"/>
              <w:rPr>
                <w:sz w:val="1"/>
                <w:szCs w:val="1"/>
                <w:color w:val="auto"/>
              </w:rPr>
            </w:pPr>
          </w:p>
        </w:tc>
      </w:tr>
      <w:tr>
        <w:trPr>
          <w:trHeight w:val="203"/>
        </w:trPr>
        <w:tc>
          <w:tcPr>
            <w:tcW w:w="4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Liquids (weighted average of Crude and NGLs)</w:t>
            </w:r>
          </w:p>
        </w:tc>
        <w:tc>
          <w:tcPr>
            <w:tcW w:w="2140" w:type="dxa"/>
            <w:vAlign w:val="bottom"/>
          </w:tcPr>
          <w:p>
            <w:pPr>
              <w:jc w:val="center"/>
              <w:ind w:left="608"/>
              <w:spacing w:after="0"/>
              <w:rPr>
                <w:sz w:val="20"/>
                <w:szCs w:val="20"/>
                <w:color w:val="auto"/>
              </w:rPr>
            </w:pPr>
            <w:r>
              <w:rPr>
                <w:rFonts w:ascii="Times New Roman" w:cs="Times New Roman" w:eastAsia="Times New Roman" w:hAnsi="Times New Roman"/>
                <w:sz w:val="14"/>
                <w:szCs w:val="14"/>
                <w:color w:val="auto"/>
                <w:w w:val="99"/>
              </w:rPr>
              <w:t>$/BBL</w:t>
            </w:r>
          </w:p>
        </w:tc>
        <w:tc>
          <w:tcPr>
            <w:tcW w:w="5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71.38</w:t>
            </w:r>
          </w:p>
        </w:tc>
        <w:tc>
          <w:tcPr>
            <w:tcW w:w="66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71.70</w:t>
            </w:r>
          </w:p>
        </w:tc>
        <w:tc>
          <w:tcPr>
            <w:tcW w:w="62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90.71</w:t>
            </w:r>
          </w:p>
        </w:tc>
        <w:tc>
          <w:tcPr>
            <w:tcW w:w="0" w:type="dxa"/>
            <w:vAlign w:val="bottom"/>
          </w:tcPr>
          <w:p>
            <w:pPr>
              <w:spacing w:after="0"/>
              <w:rPr>
                <w:sz w:val="1"/>
                <w:szCs w:val="1"/>
                <w:color w:val="auto"/>
              </w:rPr>
            </w:pPr>
          </w:p>
        </w:tc>
      </w:tr>
      <w:tr>
        <w:trPr>
          <w:trHeight w:val="203"/>
        </w:trPr>
        <w:tc>
          <w:tcPr>
            <w:tcW w:w="4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Natural Gas</w:t>
            </w:r>
          </w:p>
        </w:tc>
        <w:tc>
          <w:tcPr>
            <w:tcW w:w="2140" w:type="dxa"/>
            <w:vAlign w:val="bottom"/>
          </w:tcPr>
          <w:p>
            <w:pPr>
              <w:jc w:val="center"/>
              <w:ind w:left="608"/>
              <w:spacing w:after="0"/>
              <w:rPr>
                <w:sz w:val="20"/>
                <w:szCs w:val="20"/>
                <w:color w:val="auto"/>
              </w:rPr>
            </w:pPr>
            <w:r>
              <w:rPr>
                <w:rFonts w:ascii="Times New Roman" w:cs="Times New Roman" w:eastAsia="Times New Roman" w:hAnsi="Times New Roman"/>
                <w:sz w:val="14"/>
                <w:szCs w:val="14"/>
                <w:color w:val="auto"/>
              </w:rPr>
              <w:t>$/MCF</w:t>
            </w:r>
          </w:p>
        </w:tc>
        <w:tc>
          <w:tcPr>
            <w:tcW w:w="5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7.32</w:t>
            </w:r>
          </w:p>
        </w:tc>
        <w:tc>
          <w:tcPr>
            <w:tcW w:w="66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7.69</w:t>
            </w:r>
          </w:p>
        </w:tc>
        <w:tc>
          <w:tcPr>
            <w:tcW w:w="62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0" w:type="dxa"/>
            <w:vAlign w:val="bottom"/>
          </w:tcPr>
          <w:p>
            <w:pPr>
              <w:spacing w:after="0"/>
              <w:rPr>
                <w:sz w:val="1"/>
                <w:szCs w:val="1"/>
                <w:color w:val="auto"/>
              </w:rPr>
            </w:pPr>
          </w:p>
        </w:tc>
      </w:tr>
      <w:tr>
        <w:trPr>
          <w:trHeight w:val="203"/>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Worldwide Upstream</w:t>
            </w:r>
          </w:p>
        </w:tc>
        <w:tc>
          <w:tcPr>
            <w:tcW w:w="2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Borders>
              <w:right w:val="single" w:sz="8" w:color="0077C0"/>
            </w:tcBorders>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Oil-Equivalent Production</w:t>
            </w:r>
            <w:r>
              <w:rPr>
                <w:rFonts w:ascii="Times New Roman" w:cs="Times New Roman" w:eastAsia="Times New Roman" w:hAnsi="Times New Roman"/>
                <w:sz w:val="18"/>
                <w:szCs w:val="18"/>
                <w:color w:val="auto"/>
                <w:vertAlign w:val="superscript"/>
              </w:rPr>
              <w:t>5</w:t>
            </w:r>
          </w:p>
        </w:tc>
        <w:tc>
          <w:tcPr>
            <w:tcW w:w="2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Borders>
              <w:right w:val="single" w:sz="8" w:color="0077C0"/>
            </w:tcBorders>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United States</w:t>
            </w:r>
          </w:p>
        </w:tc>
        <w:tc>
          <w:tcPr>
            <w:tcW w:w="2140" w:type="dxa"/>
            <w:vAlign w:val="bottom"/>
          </w:tcPr>
          <w:p>
            <w:pPr>
              <w:jc w:val="center"/>
              <w:ind w:left="588"/>
              <w:spacing w:after="0"/>
              <w:rPr>
                <w:sz w:val="20"/>
                <w:szCs w:val="20"/>
                <w:color w:val="auto"/>
              </w:rPr>
            </w:pPr>
            <w:r>
              <w:rPr>
                <w:rFonts w:ascii="Times New Roman" w:cs="Times New Roman" w:eastAsia="Times New Roman" w:hAnsi="Times New Roman"/>
                <w:sz w:val="14"/>
                <w:szCs w:val="14"/>
                <w:color w:val="auto"/>
              </w:rPr>
              <w:t>MBOED</w:t>
            </w:r>
          </w:p>
        </w:tc>
        <w:tc>
          <w:tcPr>
            <w:tcW w:w="560" w:type="dxa"/>
            <w:vAlign w:val="bottom"/>
          </w:tcPr>
          <w:p>
            <w:pPr>
              <w:spacing w:after="0"/>
              <w:rPr>
                <w:sz w:val="16"/>
                <w:szCs w:val="16"/>
                <w:color w:val="auto"/>
              </w:rPr>
            </w:pPr>
          </w:p>
        </w:tc>
        <w:tc>
          <w:tcPr>
            <w:tcW w:w="90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1,599</w:t>
            </w:r>
          </w:p>
        </w:tc>
        <w:tc>
          <w:tcPr>
            <w:tcW w:w="6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1,349</w:t>
            </w:r>
          </w:p>
        </w:tc>
        <w:tc>
          <w:tcPr>
            <w:tcW w:w="6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1,181</w:t>
            </w:r>
          </w:p>
        </w:tc>
        <w:tc>
          <w:tcPr>
            <w:tcW w:w="0" w:type="dxa"/>
            <w:vAlign w:val="bottom"/>
          </w:tcPr>
          <w:p>
            <w:pPr>
              <w:spacing w:after="0"/>
              <w:rPr>
                <w:sz w:val="1"/>
                <w:szCs w:val="1"/>
                <w:color w:val="auto"/>
              </w:rPr>
            </w:pPr>
          </w:p>
        </w:tc>
      </w:tr>
      <w:tr>
        <w:trPr>
          <w:trHeight w:val="203"/>
        </w:trPr>
        <w:tc>
          <w:tcPr>
            <w:tcW w:w="4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International</w:t>
            </w:r>
          </w:p>
        </w:tc>
        <w:tc>
          <w:tcPr>
            <w:tcW w:w="2140" w:type="dxa"/>
            <w:vAlign w:val="bottom"/>
          </w:tcPr>
          <w:p>
            <w:pPr>
              <w:jc w:val="center"/>
              <w:ind w:left="588"/>
              <w:spacing w:after="0"/>
              <w:rPr>
                <w:sz w:val="20"/>
                <w:szCs w:val="20"/>
                <w:color w:val="auto"/>
              </w:rPr>
            </w:pPr>
            <w:r>
              <w:rPr>
                <w:rFonts w:ascii="Times New Roman" w:cs="Times New Roman" w:eastAsia="Times New Roman" w:hAnsi="Times New Roman"/>
                <w:sz w:val="14"/>
                <w:szCs w:val="14"/>
                <w:color w:val="auto"/>
              </w:rPr>
              <w:t>MBOED</w:t>
            </w:r>
          </w:p>
        </w:tc>
        <w:tc>
          <w:tcPr>
            <w:tcW w:w="560" w:type="dxa"/>
            <w:vAlign w:val="bottom"/>
          </w:tcPr>
          <w:p>
            <w:pPr>
              <w:spacing w:after="0"/>
              <w:rPr>
                <w:sz w:val="17"/>
                <w:szCs w:val="17"/>
                <w:color w:val="auto"/>
              </w:rPr>
            </w:pPr>
          </w:p>
        </w:tc>
        <w:tc>
          <w:tcPr>
            <w:tcW w:w="90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1,739</w:t>
            </w:r>
          </w:p>
        </w:tc>
        <w:tc>
          <w:tcPr>
            <w:tcW w:w="6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1,771</w:t>
            </w:r>
          </w:p>
        </w:tc>
        <w:tc>
          <w:tcPr>
            <w:tcW w:w="6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1,818</w:t>
            </w:r>
          </w:p>
        </w:tc>
        <w:tc>
          <w:tcPr>
            <w:tcW w:w="0" w:type="dxa"/>
            <w:vAlign w:val="bottom"/>
          </w:tcPr>
          <w:p>
            <w:pPr>
              <w:spacing w:after="0"/>
              <w:rPr>
                <w:sz w:val="1"/>
                <w:szCs w:val="1"/>
                <w:color w:val="auto"/>
              </w:rPr>
            </w:pPr>
          </w:p>
        </w:tc>
      </w:tr>
      <w:tr>
        <w:trPr>
          <w:trHeight w:val="23"/>
        </w:trPr>
        <w:tc>
          <w:tcPr>
            <w:tcW w:w="45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2140" w:type="dxa"/>
            <w:vAlign w:val="bottom"/>
            <w:vMerge w:val="restart"/>
          </w:tcPr>
          <w:p>
            <w:pPr>
              <w:jc w:val="center"/>
              <w:ind w:left="588"/>
              <w:spacing w:after="0"/>
              <w:rPr>
                <w:sz w:val="20"/>
                <w:szCs w:val="20"/>
                <w:color w:val="auto"/>
              </w:rPr>
            </w:pPr>
            <w:r>
              <w:rPr>
                <w:rFonts w:ascii="Times New Roman" w:cs="Times New Roman" w:eastAsia="Times New Roman" w:hAnsi="Times New Roman"/>
                <w:sz w:val="14"/>
                <w:szCs w:val="14"/>
                <w:color w:val="auto"/>
              </w:rPr>
              <w:t>MBOED</w:t>
            </w:r>
          </w:p>
        </w:tc>
        <w:tc>
          <w:tcPr>
            <w:tcW w:w="560" w:type="dxa"/>
            <w:vAlign w:val="bottom"/>
            <w:tcBorders>
              <w:bottom w:val="single" w:sz="8" w:color="0077C0"/>
            </w:tcBorders>
          </w:tcPr>
          <w:p>
            <w:pPr>
              <w:spacing w:after="0"/>
              <w:rPr>
                <w:sz w:val="2"/>
                <w:szCs w:val="2"/>
                <w:color w:val="auto"/>
              </w:rPr>
            </w:pPr>
          </w:p>
        </w:tc>
        <w:tc>
          <w:tcPr>
            <w:tcW w:w="900" w:type="dxa"/>
            <w:vAlign w:val="bottom"/>
            <w:tcBorders>
              <w:bottom w:val="single" w:sz="8" w:color="0077C0"/>
              <w:right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560" w:type="dxa"/>
            <w:vAlign w:val="bottom"/>
            <w:vMerge w:val="continue"/>
          </w:tcPr>
          <w:p>
            <w:pPr>
              <w:spacing w:after="0"/>
              <w:rPr>
                <w:sz w:val="15"/>
                <w:szCs w:val="15"/>
                <w:color w:val="auto"/>
              </w:rPr>
            </w:pPr>
          </w:p>
        </w:tc>
        <w:tc>
          <w:tcPr>
            <w:tcW w:w="214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3,338</w:t>
            </w:r>
          </w:p>
        </w:tc>
        <w:tc>
          <w:tcPr>
            <w:tcW w:w="66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3,120</w:t>
            </w:r>
          </w:p>
        </w:tc>
        <w:tc>
          <w:tcPr>
            <w:tcW w:w="6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2,999</w:t>
            </w:r>
          </w:p>
        </w:tc>
        <w:tc>
          <w:tcPr>
            <w:tcW w:w="0" w:type="dxa"/>
            <w:vAlign w:val="bottom"/>
          </w:tcPr>
          <w:p>
            <w:pPr>
              <w:spacing w:after="0"/>
              <w:rPr>
                <w:sz w:val="1"/>
                <w:szCs w:val="1"/>
                <w:color w:val="auto"/>
              </w:rPr>
            </w:pPr>
          </w:p>
        </w:tc>
      </w:tr>
      <w:tr>
        <w:trPr>
          <w:trHeight w:val="191"/>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U.S. Downstream</w:t>
            </w:r>
          </w:p>
        </w:tc>
        <w:tc>
          <w:tcPr>
            <w:tcW w:w="2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Borders>
              <w:right w:val="single" w:sz="8" w:color="0077C0"/>
            </w:tcBorders>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Gasoline Sales</w:t>
            </w:r>
            <w:r>
              <w:rPr>
                <w:rFonts w:ascii="Times New Roman" w:cs="Times New Roman" w:eastAsia="Times New Roman" w:hAnsi="Times New Roman"/>
                <w:sz w:val="18"/>
                <w:szCs w:val="18"/>
                <w:color w:val="auto"/>
                <w:vertAlign w:val="superscript"/>
              </w:rPr>
              <w:t>6</w:t>
            </w:r>
          </w:p>
        </w:tc>
        <w:tc>
          <w:tcPr>
            <w:tcW w:w="2140" w:type="dxa"/>
            <w:vAlign w:val="bottom"/>
          </w:tcPr>
          <w:p>
            <w:pPr>
              <w:jc w:val="center"/>
              <w:ind w:left="608"/>
              <w:spacing w:after="0"/>
              <w:rPr>
                <w:sz w:val="20"/>
                <w:szCs w:val="20"/>
                <w:color w:val="auto"/>
              </w:rPr>
            </w:pPr>
            <w:r>
              <w:rPr>
                <w:rFonts w:ascii="Times New Roman" w:cs="Times New Roman" w:eastAsia="Times New Roman" w:hAnsi="Times New Roman"/>
                <w:sz w:val="14"/>
                <w:szCs w:val="14"/>
                <w:color w:val="auto"/>
              </w:rPr>
              <w:t>MBD</w:t>
            </w:r>
          </w:p>
        </w:tc>
        <w:tc>
          <w:tcPr>
            <w:tcW w:w="560" w:type="dxa"/>
            <w:vAlign w:val="bottom"/>
          </w:tcPr>
          <w:p>
            <w:pPr>
              <w:spacing w:after="0"/>
              <w:rPr>
                <w:sz w:val="18"/>
                <w:szCs w:val="18"/>
                <w:color w:val="auto"/>
              </w:rPr>
            </w:pPr>
          </w:p>
        </w:tc>
        <w:tc>
          <w:tcPr>
            <w:tcW w:w="90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667</w:t>
            </w:r>
          </w:p>
        </w:tc>
        <w:tc>
          <w:tcPr>
            <w:tcW w:w="660" w:type="dxa"/>
            <w:vAlign w:val="bottom"/>
          </w:tcPr>
          <w:p>
            <w:pPr>
              <w:spacing w:after="0"/>
              <w:rPr>
                <w:sz w:val="18"/>
                <w:szCs w:val="18"/>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642</w:t>
            </w:r>
          </w:p>
        </w:tc>
        <w:tc>
          <w:tcPr>
            <w:tcW w:w="6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0" w:type="dxa"/>
            <w:vAlign w:val="bottom"/>
          </w:tcPr>
          <w:p>
            <w:pPr>
              <w:spacing w:after="0"/>
              <w:rPr>
                <w:sz w:val="1"/>
                <w:szCs w:val="1"/>
                <w:color w:val="auto"/>
              </w:rPr>
            </w:pPr>
          </w:p>
        </w:tc>
      </w:tr>
      <w:tr>
        <w:trPr>
          <w:trHeight w:val="190"/>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Refined Product Sales</w:t>
            </w:r>
          </w:p>
        </w:tc>
        <w:tc>
          <w:tcPr>
            <w:tcW w:w="2140" w:type="dxa"/>
            <w:vAlign w:val="bottom"/>
          </w:tcPr>
          <w:p>
            <w:pPr>
              <w:jc w:val="center"/>
              <w:ind w:left="608"/>
              <w:spacing w:after="0"/>
              <w:rPr>
                <w:sz w:val="20"/>
                <w:szCs w:val="20"/>
                <w:color w:val="auto"/>
              </w:rPr>
            </w:pPr>
            <w:r>
              <w:rPr>
                <w:rFonts w:ascii="Times New Roman" w:cs="Times New Roman" w:eastAsia="Times New Roman" w:hAnsi="Times New Roman"/>
                <w:sz w:val="14"/>
                <w:szCs w:val="14"/>
                <w:color w:val="auto"/>
              </w:rPr>
              <w:t>MBD</w:t>
            </w:r>
          </w:p>
        </w:tc>
        <w:tc>
          <w:tcPr>
            <w:tcW w:w="560" w:type="dxa"/>
            <w:vAlign w:val="bottom"/>
          </w:tcPr>
          <w:p>
            <w:pPr>
              <w:spacing w:after="0"/>
              <w:rPr>
                <w:sz w:val="16"/>
                <w:szCs w:val="16"/>
                <w:color w:val="auto"/>
              </w:rPr>
            </w:pPr>
          </w:p>
        </w:tc>
        <w:tc>
          <w:tcPr>
            <w:tcW w:w="90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619</w:t>
            </w:r>
          </w:p>
        </w:tc>
        <w:tc>
          <w:tcPr>
            <w:tcW w:w="6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645</w:t>
            </w:r>
          </w:p>
        </w:tc>
        <w:tc>
          <w:tcPr>
            <w:tcW w:w="6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0" w:type="dxa"/>
            <w:vAlign w:val="bottom"/>
          </w:tcPr>
          <w:p>
            <w:pPr>
              <w:spacing w:after="0"/>
              <w:rPr>
                <w:sz w:val="1"/>
                <w:szCs w:val="1"/>
                <w:color w:val="auto"/>
              </w:rPr>
            </w:pPr>
          </w:p>
        </w:tc>
      </w:tr>
      <w:tr>
        <w:trPr>
          <w:trHeight w:val="23"/>
        </w:trPr>
        <w:tc>
          <w:tcPr>
            <w:tcW w:w="45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Total Refined Product Sales</w:t>
            </w:r>
          </w:p>
        </w:tc>
        <w:tc>
          <w:tcPr>
            <w:tcW w:w="2140" w:type="dxa"/>
            <w:vAlign w:val="bottom"/>
            <w:vMerge w:val="restart"/>
          </w:tcPr>
          <w:p>
            <w:pPr>
              <w:jc w:val="center"/>
              <w:ind w:left="608"/>
              <w:spacing w:after="0"/>
              <w:rPr>
                <w:sz w:val="20"/>
                <w:szCs w:val="20"/>
                <w:color w:val="auto"/>
              </w:rPr>
            </w:pPr>
            <w:r>
              <w:rPr>
                <w:rFonts w:ascii="Times New Roman" w:cs="Times New Roman" w:eastAsia="Times New Roman" w:hAnsi="Times New Roman"/>
                <w:sz w:val="14"/>
                <w:szCs w:val="14"/>
                <w:color w:val="auto"/>
              </w:rPr>
              <w:t>MBD</w:t>
            </w:r>
          </w:p>
        </w:tc>
        <w:tc>
          <w:tcPr>
            <w:tcW w:w="560" w:type="dxa"/>
            <w:vAlign w:val="bottom"/>
            <w:tcBorders>
              <w:bottom w:val="single" w:sz="8" w:color="0077C0"/>
            </w:tcBorders>
          </w:tcPr>
          <w:p>
            <w:pPr>
              <w:spacing w:after="0"/>
              <w:rPr>
                <w:sz w:val="2"/>
                <w:szCs w:val="2"/>
                <w:color w:val="auto"/>
              </w:rPr>
            </w:pPr>
          </w:p>
        </w:tc>
        <w:tc>
          <w:tcPr>
            <w:tcW w:w="900" w:type="dxa"/>
            <w:vAlign w:val="bottom"/>
            <w:tcBorders>
              <w:bottom w:val="single" w:sz="8" w:color="0077C0"/>
              <w:right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560" w:type="dxa"/>
            <w:vAlign w:val="bottom"/>
            <w:vMerge w:val="continue"/>
          </w:tcPr>
          <w:p>
            <w:pPr>
              <w:spacing w:after="0"/>
              <w:rPr>
                <w:sz w:val="15"/>
                <w:szCs w:val="15"/>
                <w:color w:val="auto"/>
              </w:rPr>
            </w:pPr>
          </w:p>
        </w:tc>
        <w:tc>
          <w:tcPr>
            <w:tcW w:w="214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1,286</w:t>
            </w:r>
          </w:p>
        </w:tc>
        <w:tc>
          <w:tcPr>
            <w:tcW w:w="66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1,287</w:t>
            </w:r>
          </w:p>
        </w:tc>
        <w:tc>
          <w:tcPr>
            <w:tcW w:w="6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w:t>
            </w:r>
          </w:p>
        </w:tc>
        <w:tc>
          <w:tcPr>
            <w:tcW w:w="0" w:type="dxa"/>
            <w:vAlign w:val="bottom"/>
          </w:tcPr>
          <w:p>
            <w:pPr>
              <w:spacing w:after="0"/>
              <w:rPr>
                <w:sz w:val="1"/>
                <w:szCs w:val="1"/>
                <w:color w:val="auto"/>
              </w:rPr>
            </w:pPr>
          </w:p>
        </w:tc>
      </w:tr>
      <w:tr>
        <w:trPr>
          <w:trHeight w:val="204"/>
        </w:trPr>
        <w:tc>
          <w:tcPr>
            <w:tcW w:w="4560" w:type="dxa"/>
            <w:vAlign w:val="bottom"/>
          </w:tcPr>
          <w:p>
            <w:pPr>
              <w:ind w:left="20"/>
              <w:spacing w:after="0" w:line="204" w:lineRule="exact"/>
              <w:rPr>
                <w:sz w:val="20"/>
                <w:szCs w:val="20"/>
                <w:color w:val="auto"/>
              </w:rPr>
            </w:pPr>
            <w:r>
              <w:rPr>
                <w:rFonts w:ascii="Times New Roman" w:cs="Times New Roman" w:eastAsia="Times New Roman" w:hAnsi="Times New Roman"/>
                <w:sz w:val="14"/>
                <w:szCs w:val="14"/>
                <w:color w:val="auto"/>
              </w:rPr>
              <w:t>Sales of Natural Gas</w:t>
            </w:r>
            <w:r>
              <w:rPr>
                <w:rFonts w:ascii="Times New Roman" w:cs="Times New Roman" w:eastAsia="Times New Roman" w:hAnsi="Times New Roman"/>
                <w:sz w:val="18"/>
                <w:szCs w:val="18"/>
                <w:color w:val="auto"/>
                <w:vertAlign w:val="superscript"/>
              </w:rPr>
              <w:t>4</w:t>
            </w:r>
          </w:p>
        </w:tc>
        <w:tc>
          <w:tcPr>
            <w:tcW w:w="2140" w:type="dxa"/>
            <w:vAlign w:val="bottom"/>
          </w:tcPr>
          <w:p>
            <w:pPr>
              <w:jc w:val="center"/>
              <w:ind w:left="608"/>
              <w:spacing w:after="0"/>
              <w:rPr>
                <w:sz w:val="20"/>
                <w:szCs w:val="20"/>
                <w:color w:val="auto"/>
              </w:rPr>
            </w:pPr>
            <w:r>
              <w:rPr>
                <w:rFonts w:ascii="Times New Roman" w:cs="Times New Roman" w:eastAsia="Times New Roman" w:hAnsi="Times New Roman"/>
                <w:sz w:val="14"/>
                <w:szCs w:val="14"/>
                <w:color w:val="auto"/>
              </w:rPr>
              <w:t>MMCFD</w:t>
            </w:r>
          </w:p>
        </w:tc>
        <w:tc>
          <w:tcPr>
            <w:tcW w:w="560" w:type="dxa"/>
            <w:vAlign w:val="bottom"/>
          </w:tcPr>
          <w:p>
            <w:pPr>
              <w:spacing w:after="0"/>
              <w:rPr>
                <w:sz w:val="17"/>
                <w:szCs w:val="17"/>
                <w:color w:val="auto"/>
              </w:rPr>
            </w:pPr>
          </w:p>
        </w:tc>
        <w:tc>
          <w:tcPr>
            <w:tcW w:w="90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w:t>
            </w:r>
          </w:p>
        </w:tc>
        <w:tc>
          <w:tcPr>
            <w:tcW w:w="6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w:t>
            </w:r>
          </w:p>
        </w:tc>
        <w:tc>
          <w:tcPr>
            <w:tcW w:w="6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90"/>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of Natural Gas Liquids</w:t>
            </w:r>
          </w:p>
        </w:tc>
        <w:tc>
          <w:tcPr>
            <w:tcW w:w="2140" w:type="dxa"/>
            <w:vAlign w:val="bottom"/>
          </w:tcPr>
          <w:p>
            <w:pPr>
              <w:jc w:val="center"/>
              <w:ind w:left="608"/>
              <w:spacing w:after="0"/>
              <w:rPr>
                <w:sz w:val="20"/>
                <w:szCs w:val="20"/>
                <w:color w:val="auto"/>
              </w:rPr>
            </w:pPr>
            <w:r>
              <w:rPr>
                <w:rFonts w:ascii="Times New Roman" w:cs="Times New Roman" w:eastAsia="Times New Roman" w:hAnsi="Times New Roman"/>
                <w:sz w:val="14"/>
                <w:szCs w:val="14"/>
                <w:color w:val="auto"/>
              </w:rPr>
              <w:t>MBD</w:t>
            </w:r>
          </w:p>
        </w:tc>
        <w:tc>
          <w:tcPr>
            <w:tcW w:w="560" w:type="dxa"/>
            <w:vAlign w:val="bottom"/>
          </w:tcPr>
          <w:p>
            <w:pPr>
              <w:spacing w:after="0"/>
              <w:rPr>
                <w:sz w:val="16"/>
                <w:szCs w:val="16"/>
                <w:color w:val="auto"/>
              </w:rPr>
            </w:pPr>
          </w:p>
        </w:tc>
        <w:tc>
          <w:tcPr>
            <w:tcW w:w="90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w:t>
            </w:r>
          </w:p>
        </w:tc>
        <w:tc>
          <w:tcPr>
            <w:tcW w:w="6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w:t>
            </w:r>
          </w:p>
        </w:tc>
        <w:tc>
          <w:tcPr>
            <w:tcW w:w="6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26"/>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Refinery Crude Unit Inputs</w:t>
            </w:r>
            <w:r>
              <w:rPr>
                <w:rFonts w:ascii="Times New Roman" w:cs="Times New Roman" w:eastAsia="Times New Roman" w:hAnsi="Times New Roman"/>
                <w:sz w:val="18"/>
                <w:szCs w:val="18"/>
                <w:color w:val="auto"/>
                <w:vertAlign w:val="superscript"/>
              </w:rPr>
              <w:t>8</w:t>
            </w:r>
          </w:p>
        </w:tc>
        <w:tc>
          <w:tcPr>
            <w:tcW w:w="2140" w:type="dxa"/>
            <w:vAlign w:val="bottom"/>
          </w:tcPr>
          <w:p>
            <w:pPr>
              <w:jc w:val="center"/>
              <w:ind w:left="608"/>
              <w:spacing w:after="0"/>
              <w:rPr>
                <w:sz w:val="20"/>
                <w:szCs w:val="20"/>
                <w:color w:val="auto"/>
              </w:rPr>
            </w:pPr>
            <w:r>
              <w:rPr>
                <w:rFonts w:ascii="Times New Roman" w:cs="Times New Roman" w:eastAsia="Times New Roman" w:hAnsi="Times New Roman"/>
                <w:sz w:val="14"/>
                <w:szCs w:val="14"/>
                <w:color w:val="auto"/>
              </w:rPr>
              <w:t>MBD</w:t>
            </w:r>
          </w:p>
        </w:tc>
        <w:tc>
          <w:tcPr>
            <w:tcW w:w="560" w:type="dxa"/>
            <w:vAlign w:val="bottom"/>
          </w:tcPr>
          <w:p>
            <w:pPr>
              <w:spacing w:after="0"/>
              <w:rPr>
                <w:sz w:val="19"/>
                <w:szCs w:val="19"/>
                <w:color w:val="auto"/>
              </w:rPr>
            </w:pPr>
          </w:p>
        </w:tc>
        <w:tc>
          <w:tcPr>
            <w:tcW w:w="90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917</w:t>
            </w:r>
          </w:p>
        </w:tc>
        <w:tc>
          <w:tcPr>
            <w:tcW w:w="660" w:type="dxa"/>
            <w:vAlign w:val="bottom"/>
          </w:tcPr>
          <w:p>
            <w:pPr>
              <w:spacing w:after="0"/>
              <w:rPr>
                <w:sz w:val="19"/>
                <w:szCs w:val="19"/>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962</w:t>
            </w:r>
          </w:p>
        </w:tc>
        <w:tc>
          <w:tcPr>
            <w:tcW w:w="6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w:t>
            </w:r>
          </w:p>
        </w:tc>
        <w:tc>
          <w:tcPr>
            <w:tcW w:w="0" w:type="dxa"/>
            <w:vAlign w:val="bottom"/>
          </w:tcPr>
          <w:p>
            <w:pPr>
              <w:spacing w:after="0"/>
              <w:rPr>
                <w:sz w:val="1"/>
                <w:szCs w:val="1"/>
                <w:color w:val="auto"/>
              </w:rPr>
            </w:pPr>
          </w:p>
        </w:tc>
      </w:tr>
      <w:tr>
        <w:trPr>
          <w:trHeight w:val="190"/>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International Downstream</w:t>
            </w:r>
          </w:p>
        </w:tc>
        <w:tc>
          <w:tcPr>
            <w:tcW w:w="2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560" w:type="dxa"/>
            <w:vAlign w:val="bottom"/>
          </w:tcPr>
          <w:p>
            <w:pPr>
              <w:ind w:left="20"/>
              <w:spacing w:after="0" w:line="204" w:lineRule="exact"/>
              <w:rPr>
                <w:sz w:val="20"/>
                <w:szCs w:val="20"/>
                <w:color w:val="auto"/>
              </w:rPr>
            </w:pPr>
            <w:r>
              <w:rPr>
                <w:rFonts w:ascii="Times New Roman" w:cs="Times New Roman" w:eastAsia="Times New Roman" w:hAnsi="Times New Roman"/>
                <w:sz w:val="14"/>
                <w:szCs w:val="14"/>
                <w:color w:val="auto"/>
              </w:rPr>
              <w:t>Gasoline Sales</w:t>
            </w:r>
            <w:r>
              <w:rPr>
                <w:rFonts w:ascii="Times New Roman" w:cs="Times New Roman" w:eastAsia="Times New Roman" w:hAnsi="Times New Roman"/>
                <w:sz w:val="18"/>
                <w:szCs w:val="18"/>
                <w:color w:val="auto"/>
                <w:vertAlign w:val="superscript"/>
              </w:rPr>
              <w:t>6</w:t>
            </w:r>
          </w:p>
        </w:tc>
        <w:tc>
          <w:tcPr>
            <w:tcW w:w="2140" w:type="dxa"/>
            <w:vAlign w:val="bottom"/>
          </w:tcPr>
          <w:p>
            <w:pPr>
              <w:jc w:val="center"/>
              <w:ind w:left="608"/>
              <w:spacing w:after="0"/>
              <w:rPr>
                <w:sz w:val="20"/>
                <w:szCs w:val="20"/>
                <w:color w:val="auto"/>
              </w:rPr>
            </w:pPr>
            <w:r>
              <w:rPr>
                <w:rFonts w:ascii="Times New Roman" w:cs="Times New Roman" w:eastAsia="Times New Roman" w:hAnsi="Times New Roman"/>
                <w:sz w:val="14"/>
                <w:szCs w:val="14"/>
                <w:color w:val="auto"/>
              </w:rPr>
              <w:t>MBD</w:t>
            </w:r>
          </w:p>
        </w:tc>
        <w:tc>
          <w:tcPr>
            <w:tcW w:w="5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382</w:t>
            </w:r>
          </w:p>
        </w:tc>
        <w:tc>
          <w:tcPr>
            <w:tcW w:w="6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353</w:t>
            </w:r>
          </w:p>
        </w:tc>
        <w:tc>
          <w:tcPr>
            <w:tcW w:w="6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0" w:type="dxa"/>
            <w:vAlign w:val="bottom"/>
          </w:tcPr>
          <w:p>
            <w:pPr>
              <w:spacing w:after="0"/>
              <w:rPr>
                <w:sz w:val="1"/>
                <w:szCs w:val="1"/>
                <w:color w:val="auto"/>
              </w:rPr>
            </w:pPr>
          </w:p>
        </w:tc>
      </w:tr>
      <w:tr>
        <w:trPr>
          <w:trHeight w:val="190"/>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Refined Product Sales</w:t>
            </w:r>
          </w:p>
        </w:tc>
        <w:tc>
          <w:tcPr>
            <w:tcW w:w="2140" w:type="dxa"/>
            <w:vAlign w:val="bottom"/>
          </w:tcPr>
          <w:p>
            <w:pPr>
              <w:jc w:val="center"/>
              <w:ind w:left="608"/>
              <w:spacing w:after="0"/>
              <w:rPr>
                <w:sz w:val="20"/>
                <w:szCs w:val="20"/>
                <w:color w:val="auto"/>
              </w:rPr>
            </w:pPr>
            <w:r>
              <w:rPr>
                <w:rFonts w:ascii="Times New Roman" w:cs="Times New Roman" w:eastAsia="Times New Roman" w:hAnsi="Times New Roman"/>
                <w:sz w:val="14"/>
                <w:szCs w:val="14"/>
                <w:color w:val="auto"/>
              </w:rPr>
              <w:t>MBD</w:t>
            </w:r>
          </w:p>
        </w:tc>
        <w:tc>
          <w:tcPr>
            <w:tcW w:w="5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1,113</w:t>
            </w:r>
          </w:p>
        </w:tc>
        <w:tc>
          <w:tcPr>
            <w:tcW w:w="6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1,092</w:t>
            </w:r>
          </w:p>
        </w:tc>
        <w:tc>
          <w:tcPr>
            <w:tcW w:w="6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0" w:type="dxa"/>
            <w:vAlign w:val="bottom"/>
          </w:tcPr>
          <w:p>
            <w:pPr>
              <w:spacing w:after="0"/>
              <w:rPr>
                <w:sz w:val="1"/>
                <w:szCs w:val="1"/>
                <w:color w:val="auto"/>
              </w:rPr>
            </w:pPr>
          </w:p>
        </w:tc>
      </w:tr>
      <w:tr>
        <w:trPr>
          <w:trHeight w:val="23"/>
        </w:trPr>
        <w:tc>
          <w:tcPr>
            <w:tcW w:w="45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Total Refined Product Sales</w:t>
            </w:r>
            <w:r>
              <w:rPr>
                <w:rFonts w:ascii="Times New Roman" w:cs="Times New Roman" w:eastAsia="Times New Roman" w:hAnsi="Times New Roman"/>
                <w:sz w:val="18"/>
                <w:szCs w:val="18"/>
                <w:color w:val="auto"/>
                <w:vertAlign w:val="superscript"/>
              </w:rPr>
              <w:t>7</w:t>
            </w:r>
          </w:p>
        </w:tc>
        <w:tc>
          <w:tcPr>
            <w:tcW w:w="2140" w:type="dxa"/>
            <w:vAlign w:val="bottom"/>
            <w:vMerge w:val="restart"/>
          </w:tcPr>
          <w:p>
            <w:pPr>
              <w:jc w:val="center"/>
              <w:ind w:left="608"/>
              <w:spacing w:after="0"/>
              <w:rPr>
                <w:sz w:val="20"/>
                <w:szCs w:val="20"/>
                <w:color w:val="auto"/>
              </w:rPr>
            </w:pPr>
            <w:r>
              <w:rPr>
                <w:rFonts w:ascii="Times New Roman" w:cs="Times New Roman" w:eastAsia="Times New Roman" w:hAnsi="Times New Roman"/>
                <w:sz w:val="14"/>
                <w:szCs w:val="14"/>
                <w:color w:val="auto"/>
              </w:rPr>
              <w:t>MBD</w:t>
            </w:r>
          </w:p>
        </w:tc>
        <w:tc>
          <w:tcPr>
            <w:tcW w:w="560" w:type="dxa"/>
            <w:vAlign w:val="bottom"/>
            <w:tcBorders>
              <w:bottom w:val="single" w:sz="8" w:color="0077C0"/>
            </w:tcBorders>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560" w:type="dxa"/>
            <w:vAlign w:val="bottom"/>
            <w:vMerge w:val="continue"/>
          </w:tcPr>
          <w:p>
            <w:pPr>
              <w:spacing w:after="0"/>
              <w:rPr>
                <w:sz w:val="15"/>
                <w:szCs w:val="15"/>
                <w:color w:val="auto"/>
              </w:rPr>
            </w:pPr>
          </w:p>
        </w:tc>
        <w:tc>
          <w:tcPr>
            <w:tcW w:w="214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1,495</w:t>
            </w:r>
          </w:p>
        </w:tc>
        <w:tc>
          <w:tcPr>
            <w:tcW w:w="66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1,445</w:t>
            </w:r>
          </w:p>
        </w:tc>
        <w:tc>
          <w:tcPr>
            <w:tcW w:w="6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1,386</w:t>
            </w:r>
          </w:p>
        </w:tc>
        <w:tc>
          <w:tcPr>
            <w:tcW w:w="0" w:type="dxa"/>
            <w:vAlign w:val="bottom"/>
          </w:tcPr>
          <w:p>
            <w:pPr>
              <w:spacing w:after="0"/>
              <w:rPr>
                <w:sz w:val="1"/>
                <w:szCs w:val="1"/>
                <w:color w:val="auto"/>
              </w:rPr>
            </w:pPr>
          </w:p>
        </w:tc>
      </w:tr>
      <w:tr>
        <w:trPr>
          <w:trHeight w:val="204"/>
        </w:trPr>
        <w:tc>
          <w:tcPr>
            <w:tcW w:w="4560" w:type="dxa"/>
            <w:vAlign w:val="bottom"/>
          </w:tcPr>
          <w:p>
            <w:pPr>
              <w:ind w:left="20"/>
              <w:spacing w:after="0" w:line="204" w:lineRule="exact"/>
              <w:rPr>
                <w:sz w:val="20"/>
                <w:szCs w:val="20"/>
                <w:color w:val="auto"/>
              </w:rPr>
            </w:pPr>
            <w:r>
              <w:rPr>
                <w:rFonts w:ascii="Times New Roman" w:cs="Times New Roman" w:eastAsia="Times New Roman" w:hAnsi="Times New Roman"/>
                <w:sz w:val="14"/>
                <w:szCs w:val="14"/>
                <w:color w:val="auto"/>
              </w:rPr>
              <w:t>Sales of Natural Gas</w:t>
            </w:r>
            <w:r>
              <w:rPr>
                <w:rFonts w:ascii="Times New Roman" w:cs="Times New Roman" w:eastAsia="Times New Roman" w:hAnsi="Times New Roman"/>
                <w:sz w:val="18"/>
                <w:szCs w:val="18"/>
                <w:color w:val="auto"/>
                <w:vertAlign w:val="superscript"/>
              </w:rPr>
              <w:t>4</w:t>
            </w:r>
          </w:p>
        </w:tc>
        <w:tc>
          <w:tcPr>
            <w:tcW w:w="2140" w:type="dxa"/>
            <w:vAlign w:val="bottom"/>
          </w:tcPr>
          <w:p>
            <w:pPr>
              <w:jc w:val="center"/>
              <w:ind w:left="608"/>
              <w:spacing w:after="0"/>
              <w:rPr>
                <w:sz w:val="20"/>
                <w:szCs w:val="20"/>
                <w:color w:val="auto"/>
              </w:rPr>
            </w:pPr>
            <w:r>
              <w:rPr>
                <w:rFonts w:ascii="Times New Roman" w:cs="Times New Roman" w:eastAsia="Times New Roman" w:hAnsi="Times New Roman"/>
                <w:sz w:val="14"/>
                <w:szCs w:val="14"/>
                <w:color w:val="auto"/>
              </w:rPr>
              <w:t>MMCFD</w:t>
            </w:r>
          </w:p>
        </w:tc>
        <w:tc>
          <w:tcPr>
            <w:tcW w:w="5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6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0"/>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of Natural Gas Liquids</w:t>
            </w:r>
          </w:p>
        </w:tc>
        <w:tc>
          <w:tcPr>
            <w:tcW w:w="2140" w:type="dxa"/>
            <w:vAlign w:val="bottom"/>
          </w:tcPr>
          <w:p>
            <w:pPr>
              <w:jc w:val="center"/>
              <w:ind w:left="608"/>
              <w:spacing w:after="0"/>
              <w:rPr>
                <w:sz w:val="20"/>
                <w:szCs w:val="20"/>
                <w:color w:val="auto"/>
              </w:rPr>
            </w:pPr>
            <w:r>
              <w:rPr>
                <w:rFonts w:ascii="Times New Roman" w:cs="Times New Roman" w:eastAsia="Times New Roman" w:hAnsi="Times New Roman"/>
                <w:sz w:val="14"/>
                <w:szCs w:val="14"/>
                <w:color w:val="auto"/>
              </w:rPr>
              <w:t>MBD</w:t>
            </w:r>
          </w:p>
        </w:tc>
        <w:tc>
          <w:tcPr>
            <w:tcW w:w="5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136</w:t>
            </w:r>
          </w:p>
        </w:tc>
        <w:tc>
          <w:tcPr>
            <w:tcW w:w="6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153</w:t>
            </w:r>
          </w:p>
        </w:tc>
        <w:tc>
          <w:tcPr>
            <w:tcW w:w="6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234"/>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Refinery Crude Unit Inputs</w:t>
            </w:r>
            <w:r>
              <w:rPr>
                <w:rFonts w:ascii="Times New Roman" w:cs="Times New Roman" w:eastAsia="Times New Roman" w:hAnsi="Times New Roman"/>
                <w:sz w:val="18"/>
                <w:szCs w:val="18"/>
                <w:color w:val="auto"/>
                <w:vertAlign w:val="superscript"/>
              </w:rPr>
              <w:t>8</w:t>
            </w:r>
          </w:p>
        </w:tc>
        <w:tc>
          <w:tcPr>
            <w:tcW w:w="2140" w:type="dxa"/>
            <w:vAlign w:val="bottom"/>
          </w:tcPr>
          <w:p>
            <w:pPr>
              <w:jc w:val="center"/>
              <w:ind w:left="608"/>
              <w:spacing w:after="0"/>
              <w:rPr>
                <w:sz w:val="20"/>
                <w:szCs w:val="20"/>
                <w:color w:val="auto"/>
              </w:rPr>
            </w:pPr>
            <w:r>
              <w:rPr>
                <w:rFonts w:ascii="Times New Roman" w:cs="Times New Roman" w:eastAsia="Times New Roman" w:hAnsi="Times New Roman"/>
                <w:sz w:val="14"/>
                <w:szCs w:val="14"/>
                <w:color w:val="auto"/>
              </w:rPr>
              <w:t>MBD</w:t>
            </w: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646</w:t>
            </w:r>
          </w:p>
        </w:tc>
        <w:tc>
          <w:tcPr>
            <w:tcW w:w="660" w:type="dxa"/>
            <w:vAlign w:val="bottom"/>
          </w:tcPr>
          <w:p>
            <w:pPr>
              <w:spacing w:after="0"/>
              <w:rPr>
                <w:sz w:val="20"/>
                <w:szCs w:val="20"/>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636</w:t>
            </w:r>
          </w:p>
        </w:tc>
        <w:tc>
          <w:tcPr>
            <w:tcW w:w="6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-784860</wp:posOffset>
            </wp:positionV>
            <wp:extent cx="7132320" cy="7886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788670"/>
                    </a:xfrm>
                    <a:prstGeom prst="rect">
                      <a:avLst/>
                    </a:prstGeom>
                    <a:noFill/>
                  </pic:spPr>
                </pic:pic>
              </a:graphicData>
            </a:graphic>
          </wp:anchor>
        </w:drawing>
      </w:r>
    </w:p>
    <w:p>
      <w:pPr>
        <w:ind w:left="100" w:hanging="54"/>
        <w:spacing w:after="0" w:line="215" w:lineRule="auto"/>
        <w:tabs>
          <w:tab w:leader="none" w:pos="100" w:val="left"/>
        </w:tabs>
        <w:numPr>
          <w:ilvl w:val="0"/>
          <w:numId w:val="2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Includes company share of equity affiliates.</w:t>
      </w:r>
    </w:p>
    <w:p>
      <w:pPr>
        <w:spacing w:after="0" w:line="52" w:lineRule="exact"/>
        <w:rPr>
          <w:sz w:val="20"/>
          <w:szCs w:val="20"/>
          <w:color w:val="auto"/>
        </w:rPr>
      </w:pPr>
    </w:p>
    <w:p>
      <w:pPr>
        <w:ind w:left="200" w:right="920" w:hanging="154"/>
        <w:spacing w:after="0" w:line="220" w:lineRule="auto"/>
        <w:tabs>
          <w:tab w:leader="none" w:pos="99" w:val="left"/>
        </w:tabs>
        <w:numPr>
          <w:ilvl w:val="0"/>
          <w:numId w:val="22"/>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MBD – thousands of barrels per day; MMCFD – millions of cubic feet per day; MBOED – thousands of barrels of oil-equivalents per day; Bbl – barrel; MCF – thousands of cubic feet. Oil-equivalent gas (OEG) conversion ratio is 6,000 cubic feet of natural gas = 1 barrel of crude oil; MBOED - thousands of barrels of oil-equivalent per day.</w:t>
      </w:r>
    </w:p>
    <w:p>
      <w:pPr>
        <w:spacing w:after="0" w:line="33" w:lineRule="exact"/>
        <w:rPr>
          <w:sz w:val="20"/>
          <w:szCs w:val="20"/>
          <w:color w:val="auto"/>
        </w:rPr>
      </w:pPr>
    </w:p>
    <w:p>
      <w:pPr>
        <w:ind w:left="100" w:hanging="54"/>
        <w:spacing w:after="0"/>
        <w:tabs>
          <w:tab w:leader="none" w:pos="100" w:val="left"/>
        </w:tabs>
        <w:numPr>
          <w:ilvl w:val="0"/>
          <w:numId w:val="2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Includes natural gas consumed in operations:</w:t>
      </w:r>
    </w:p>
    <w:p>
      <w:pPr>
        <w:spacing w:after="0" w:line="50" w:lineRule="exact"/>
        <w:rPr>
          <w:sz w:val="20"/>
          <w:szCs w:val="20"/>
          <w:color w:val="auto"/>
        </w:rPr>
      </w:pPr>
    </w:p>
    <w:tbl>
      <w:tblPr>
        <w:tblLayout w:type="fixed"/>
        <w:tblInd w:w="320" w:type="dxa"/>
        <w:tblCellMar>
          <w:top w:w="0" w:type="dxa"/>
          <w:left w:w="0" w:type="dxa"/>
          <w:bottom w:w="0" w:type="dxa"/>
          <w:right w:w="0" w:type="dxa"/>
        </w:tblCellMar>
      </w:tblPr>
      <w:tr>
        <w:trPr>
          <w:trHeight w:val="166"/>
        </w:trPr>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United States</w:t>
            </w:r>
          </w:p>
        </w:tc>
        <w:tc>
          <w:tcPr>
            <w:tcW w:w="3680" w:type="dxa"/>
            <w:vAlign w:val="bottom"/>
          </w:tcPr>
          <w:p>
            <w:pPr>
              <w:ind w:left="2380"/>
              <w:spacing w:after="0"/>
              <w:rPr>
                <w:sz w:val="20"/>
                <w:szCs w:val="20"/>
                <w:color w:val="auto"/>
              </w:rPr>
            </w:pPr>
            <w:r>
              <w:rPr>
                <w:rFonts w:ascii="Times New Roman" w:cs="Times New Roman" w:eastAsia="Times New Roman" w:hAnsi="Times New Roman"/>
                <w:sz w:val="13"/>
                <w:szCs w:val="13"/>
                <w:color w:val="auto"/>
              </w:rPr>
              <w:t>MMCFD</w:t>
            </w:r>
          </w:p>
        </w:tc>
        <w:tc>
          <w:tcPr>
            <w:tcW w:w="1720" w:type="dxa"/>
            <w:vAlign w:val="bottom"/>
          </w:tcPr>
          <w:p>
            <w:pPr>
              <w:jc w:val="right"/>
              <w:ind w:right="617"/>
              <w:spacing w:after="0"/>
              <w:rPr>
                <w:sz w:val="20"/>
                <w:szCs w:val="20"/>
                <w:color w:val="auto"/>
              </w:rPr>
            </w:pPr>
            <w:r>
              <w:rPr>
                <w:rFonts w:ascii="Times New Roman" w:cs="Times New Roman" w:eastAsia="Times New Roman" w:hAnsi="Times New Roman"/>
                <w:sz w:val="13"/>
                <w:szCs w:val="13"/>
                <w:b w:val="1"/>
                <w:bCs w:val="1"/>
                <w:color w:val="auto"/>
              </w:rPr>
              <w:t>60</w:t>
            </w:r>
          </w:p>
        </w:tc>
        <w:tc>
          <w:tcPr>
            <w:tcW w:w="1560" w:type="dxa"/>
            <w:vAlign w:val="bottom"/>
          </w:tcPr>
          <w:p>
            <w:pPr>
              <w:jc w:val="right"/>
              <w:ind w:right="637"/>
              <w:spacing w:after="0"/>
              <w:rPr>
                <w:sz w:val="20"/>
                <w:szCs w:val="20"/>
                <w:color w:val="auto"/>
              </w:rPr>
            </w:pPr>
            <w:r>
              <w:rPr>
                <w:rFonts w:ascii="Times New Roman" w:cs="Times New Roman" w:eastAsia="Times New Roman" w:hAnsi="Times New Roman"/>
                <w:sz w:val="13"/>
                <w:szCs w:val="13"/>
                <w:color w:val="auto"/>
              </w:rPr>
              <w:t>64</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175"/>
        </w:trPr>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International</w:t>
            </w:r>
          </w:p>
        </w:tc>
        <w:tc>
          <w:tcPr>
            <w:tcW w:w="3680" w:type="dxa"/>
            <w:vAlign w:val="bottom"/>
          </w:tcPr>
          <w:p>
            <w:pPr>
              <w:ind w:left="2380"/>
              <w:spacing w:after="0"/>
              <w:rPr>
                <w:sz w:val="20"/>
                <w:szCs w:val="20"/>
                <w:color w:val="auto"/>
              </w:rPr>
            </w:pPr>
            <w:r>
              <w:rPr>
                <w:rFonts w:ascii="Times New Roman" w:cs="Times New Roman" w:eastAsia="Times New Roman" w:hAnsi="Times New Roman"/>
                <w:sz w:val="13"/>
                <w:szCs w:val="13"/>
                <w:color w:val="auto"/>
              </w:rPr>
              <w:t>MMCFD</w:t>
            </w:r>
          </w:p>
        </w:tc>
        <w:tc>
          <w:tcPr>
            <w:tcW w:w="1720" w:type="dxa"/>
            <w:vAlign w:val="bottom"/>
          </w:tcPr>
          <w:p>
            <w:pPr>
              <w:jc w:val="right"/>
              <w:ind w:right="617"/>
              <w:spacing w:after="0"/>
              <w:rPr>
                <w:sz w:val="20"/>
                <w:szCs w:val="20"/>
                <w:color w:val="auto"/>
              </w:rPr>
            </w:pPr>
            <w:r>
              <w:rPr>
                <w:rFonts w:ascii="Times New Roman" w:cs="Times New Roman" w:eastAsia="Times New Roman" w:hAnsi="Times New Roman"/>
                <w:sz w:val="13"/>
                <w:szCs w:val="13"/>
                <w:b w:val="1"/>
                <w:bCs w:val="1"/>
                <w:color w:val="auto"/>
              </w:rPr>
              <w:t>549</w:t>
            </w:r>
          </w:p>
        </w:tc>
        <w:tc>
          <w:tcPr>
            <w:tcW w:w="1560" w:type="dxa"/>
            <w:vAlign w:val="bottom"/>
          </w:tcPr>
          <w:p>
            <w:pPr>
              <w:jc w:val="right"/>
              <w:ind w:right="637"/>
              <w:spacing w:after="0"/>
              <w:rPr>
                <w:sz w:val="20"/>
                <w:szCs w:val="20"/>
                <w:color w:val="auto"/>
              </w:rPr>
            </w:pPr>
            <w:r>
              <w:rPr>
                <w:rFonts w:ascii="Times New Roman" w:cs="Times New Roman" w:eastAsia="Times New Roman" w:hAnsi="Times New Roman"/>
                <w:sz w:val="13"/>
                <w:szCs w:val="13"/>
                <w:color w:val="auto"/>
              </w:rPr>
              <w:t>532</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w:t>
            </w:r>
          </w:p>
        </w:tc>
      </w:tr>
    </w:tbl>
    <w:p>
      <w:pPr>
        <w:ind w:left="100" w:hanging="54"/>
        <w:spacing w:after="0" w:line="228" w:lineRule="auto"/>
        <w:tabs>
          <w:tab w:leader="none" w:pos="100" w:val="left"/>
        </w:tabs>
        <w:numPr>
          <w:ilvl w:val="0"/>
          <w:numId w:val="2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Downstream sales of Natural Gas separately identified from Upstream.</w:t>
      </w:r>
    </w:p>
    <w:p>
      <w:pPr>
        <w:spacing w:after="0" w:line="43" w:lineRule="exact"/>
        <w:rPr>
          <w:rFonts w:ascii="Times New Roman" w:cs="Times New Roman" w:eastAsia="Times New Roman" w:hAnsi="Times New Roman"/>
          <w:sz w:val="16"/>
          <w:szCs w:val="16"/>
          <w:color w:val="auto"/>
          <w:vertAlign w:val="superscript"/>
        </w:rPr>
      </w:pPr>
    </w:p>
    <w:p>
      <w:pPr>
        <w:ind w:left="40"/>
        <w:spacing w:after="0"/>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6"/>
          <w:szCs w:val="16"/>
          <w:color w:val="auto"/>
          <w:vertAlign w:val="superscript"/>
        </w:rPr>
        <w:t>5</w:t>
      </w:r>
      <w:r>
        <w:rPr>
          <w:rFonts w:ascii="Times New Roman" w:cs="Times New Roman" w:eastAsia="Times New Roman" w:hAnsi="Times New Roman"/>
          <w:sz w:val="13"/>
          <w:szCs w:val="13"/>
          <w:color w:val="auto"/>
        </w:rPr>
        <w:t xml:space="preserve"> Includes net production of synthetic oil:</w:t>
      </w:r>
    </w:p>
    <w:p>
      <w:pPr>
        <w:spacing w:after="0" w:line="39" w:lineRule="exact"/>
        <w:rPr>
          <w:sz w:val="20"/>
          <w:szCs w:val="20"/>
          <w:color w:val="auto"/>
        </w:rPr>
      </w:pPr>
    </w:p>
    <w:p>
      <w:pPr>
        <w:ind w:left="320"/>
        <w:spacing w:after="0"/>
        <w:tabs>
          <w:tab w:leader="none" w:pos="5820" w:val="left"/>
          <w:tab w:leader="none" w:pos="7960" w:val="left"/>
          <w:tab w:leader="none" w:pos="9500" w:val="left"/>
          <w:tab w:leader="none" w:pos="11060" w:val="left"/>
        </w:tabs>
        <w:rPr>
          <w:sz w:val="20"/>
          <w:szCs w:val="20"/>
          <w:color w:val="auto"/>
        </w:rPr>
      </w:pPr>
      <w:r>
        <w:rPr>
          <w:rFonts w:ascii="Times New Roman" w:cs="Times New Roman" w:eastAsia="Times New Roman" w:hAnsi="Times New Roman"/>
          <w:sz w:val="13"/>
          <w:szCs w:val="13"/>
          <w:color w:val="auto"/>
        </w:rPr>
        <w:t>Canada</w:t>
      </w:r>
      <w:r>
        <w:rPr>
          <w:sz w:val="20"/>
          <w:szCs w:val="20"/>
          <w:color w:val="auto"/>
        </w:rPr>
        <w:tab/>
      </w:r>
      <w:r>
        <w:rPr>
          <w:rFonts w:ascii="Times New Roman" w:cs="Times New Roman" w:eastAsia="Times New Roman" w:hAnsi="Times New Roman"/>
          <w:sz w:val="13"/>
          <w:szCs w:val="13"/>
          <w:color w:val="auto"/>
        </w:rPr>
        <w:t>MBD</w:t>
      </w:r>
      <w:r>
        <w:rPr>
          <w:sz w:val="20"/>
          <w:szCs w:val="20"/>
          <w:color w:val="auto"/>
        </w:rPr>
        <w:tab/>
      </w:r>
      <w:r>
        <w:rPr>
          <w:rFonts w:ascii="Times New Roman" w:cs="Times New Roman" w:eastAsia="Times New Roman" w:hAnsi="Times New Roman"/>
          <w:sz w:val="13"/>
          <w:szCs w:val="13"/>
          <w:b w:val="1"/>
          <w:bCs w:val="1"/>
          <w:color w:val="auto"/>
        </w:rPr>
        <w:t>46</w:t>
      </w:r>
      <w:r>
        <w:rPr>
          <w:sz w:val="20"/>
          <w:szCs w:val="20"/>
          <w:color w:val="auto"/>
        </w:rPr>
        <w:tab/>
      </w:r>
      <w:r>
        <w:rPr>
          <w:rFonts w:ascii="Times New Roman" w:cs="Times New Roman" w:eastAsia="Times New Roman" w:hAnsi="Times New Roman"/>
          <w:sz w:val="13"/>
          <w:szCs w:val="13"/>
          <w:color w:val="auto"/>
        </w:rPr>
        <w:t>51</w:t>
      </w:r>
      <w:r>
        <w:rPr>
          <w:sz w:val="20"/>
          <w:szCs w:val="20"/>
          <w:color w:val="auto"/>
        </w:rPr>
        <w:tab/>
      </w:r>
      <w:r>
        <w:rPr>
          <w:rFonts w:ascii="Times New Roman" w:cs="Times New Roman" w:eastAsia="Times New Roman" w:hAnsi="Times New Roman"/>
          <w:sz w:val="12"/>
          <w:szCs w:val="12"/>
          <w:color w:val="auto"/>
        </w:rPr>
        <w:t>45</w:t>
      </w:r>
    </w:p>
    <w:p>
      <w:pPr>
        <w:spacing w:after="0" w:line="8" w:lineRule="exact"/>
        <w:rPr>
          <w:sz w:val="20"/>
          <w:szCs w:val="20"/>
          <w:color w:val="auto"/>
        </w:rPr>
      </w:pPr>
    </w:p>
    <w:p>
      <w:pPr>
        <w:ind w:left="100" w:hanging="54"/>
        <w:spacing w:after="0"/>
        <w:tabs>
          <w:tab w:leader="none" w:pos="100" w:val="left"/>
        </w:tabs>
        <w:numPr>
          <w:ilvl w:val="0"/>
          <w:numId w:val="2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Includes branded and unbranded gasoline.</w:t>
      </w:r>
    </w:p>
    <w:p>
      <w:pPr>
        <w:ind w:left="40"/>
        <w:spacing w:after="0"/>
        <w:tabs>
          <w:tab w:leader="none" w:pos="5820" w:val="left"/>
          <w:tab w:leader="none" w:pos="7880" w:val="left"/>
          <w:tab w:leader="none" w:pos="9440" w:val="left"/>
          <w:tab w:leader="none" w:pos="11000" w:val="left"/>
        </w:tabs>
        <w:rPr>
          <w:sz w:val="20"/>
          <w:szCs w:val="20"/>
          <w:color w:val="auto"/>
        </w:rPr>
      </w:pPr>
      <w:r>
        <w:rPr>
          <w:rFonts w:ascii="Times New Roman" w:cs="Times New Roman" w:eastAsia="Times New Roman" w:hAnsi="Times New Roman"/>
          <w:sz w:val="16"/>
          <w:szCs w:val="16"/>
          <w:color w:val="auto"/>
          <w:vertAlign w:val="superscript"/>
        </w:rPr>
        <w:t>7</w:t>
      </w:r>
      <w:r>
        <w:rPr>
          <w:rFonts w:ascii="Times New Roman" w:cs="Times New Roman" w:eastAsia="Times New Roman" w:hAnsi="Times New Roman"/>
          <w:sz w:val="13"/>
          <w:szCs w:val="13"/>
          <w:color w:val="auto"/>
        </w:rPr>
        <w:t xml:space="preserve"> Includes sales of affiliates:</w:t>
      </w:r>
      <w:r>
        <w:rPr>
          <w:sz w:val="20"/>
          <w:szCs w:val="20"/>
          <w:color w:val="auto"/>
        </w:rPr>
        <w:tab/>
      </w:r>
      <w:r>
        <w:rPr>
          <w:rFonts w:ascii="Times New Roman" w:cs="Times New Roman" w:eastAsia="Times New Roman" w:hAnsi="Times New Roman"/>
          <w:sz w:val="25"/>
          <w:szCs w:val="25"/>
          <w:color w:val="auto"/>
          <w:vertAlign w:val="subscript"/>
        </w:rPr>
        <w:t>MBD</w:t>
      </w:r>
      <w:r>
        <w:rPr>
          <w:sz w:val="20"/>
          <w:szCs w:val="20"/>
          <w:color w:val="auto"/>
        </w:rPr>
        <w:tab/>
      </w:r>
      <w:r>
        <w:rPr>
          <w:rFonts w:ascii="Times New Roman" w:cs="Times New Roman" w:eastAsia="Times New Roman" w:hAnsi="Times New Roman"/>
          <w:sz w:val="25"/>
          <w:szCs w:val="25"/>
          <w:b w:val="1"/>
          <w:bCs w:val="1"/>
          <w:color w:val="auto"/>
          <w:vertAlign w:val="subscript"/>
        </w:rPr>
        <w:t>386</w:t>
      </w:r>
      <w:r>
        <w:rPr>
          <w:sz w:val="20"/>
          <w:szCs w:val="20"/>
          <w:color w:val="auto"/>
        </w:rPr>
        <w:tab/>
      </w:r>
      <w:r>
        <w:rPr>
          <w:rFonts w:ascii="Times New Roman" w:cs="Times New Roman" w:eastAsia="Times New Roman" w:hAnsi="Times New Roman"/>
          <w:sz w:val="25"/>
          <w:szCs w:val="25"/>
          <w:color w:val="auto"/>
          <w:vertAlign w:val="subscript"/>
        </w:rPr>
        <w:t>389</w:t>
      </w:r>
      <w:r>
        <w:rPr>
          <w:sz w:val="20"/>
          <w:szCs w:val="20"/>
          <w:color w:val="auto"/>
        </w:rPr>
        <w:tab/>
      </w:r>
      <w:r>
        <w:rPr>
          <w:rFonts w:ascii="Times New Roman" w:cs="Times New Roman" w:eastAsia="Times New Roman" w:hAnsi="Times New Roman"/>
          <w:sz w:val="18"/>
          <w:szCs w:val="18"/>
          <w:color w:val="auto"/>
          <w:vertAlign w:val="subscript"/>
        </w:rPr>
        <w:t>389</w:t>
      </w:r>
    </w:p>
    <w:p>
      <w:pPr>
        <w:ind w:left="100" w:hanging="54"/>
        <w:spacing w:after="0" w:line="229" w:lineRule="auto"/>
        <w:tabs>
          <w:tab w:leader="none" w:pos="100" w:val="left"/>
        </w:tabs>
        <w:numPr>
          <w:ilvl w:val="0"/>
          <w:numId w:val="2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Includes crude oil and other inputs.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414" w:right="339" w:bottom="1440" w:gutter="0" w:footer="0" w:header="0"/>
        </w:sectPr>
      </w:pPr>
    </w:p>
    <w:bookmarkStart w:id="48" w:name="page49"/>
    <w:bookmarkEnd w:id="48"/>
    <w:p>
      <w:pPr>
        <w:spacing w:after="0"/>
        <w:tabs>
          <w:tab w:leader="none" w:pos="9400" w:val="left"/>
        </w:tabs>
        <w:rPr>
          <w:sz w:val="20"/>
          <w:szCs w:val="20"/>
          <w:color w:val="auto"/>
        </w:rPr>
      </w:pPr>
      <w:r>
        <w:rPr>
          <w:rFonts w:ascii="Arial" w:cs="Arial" w:eastAsia="Arial" w:hAnsi="Arial"/>
          <w:sz w:val="14"/>
          <w:szCs w:val="14"/>
          <w:color w:val="0077C0"/>
        </w:rPr>
        <w:t>Management’s Discussion and Analysis of Financial Condition and Results of Operations</w:t>
      </w:r>
      <w:r>
        <w:rPr>
          <w:sz w:val="20"/>
          <w:szCs w:val="20"/>
          <w:color w:val="auto"/>
        </w:rPr>
        <w:tab/>
      </w:r>
      <w:r>
        <w:rPr>
          <w:rFonts w:ascii="Arial" w:cs="Arial" w:eastAsia="Arial" w:hAnsi="Arial"/>
          <w:sz w:val="14"/>
          <w:szCs w:val="14"/>
          <w:color w:val="0077C0"/>
        </w:rPr>
        <w:t>Financial Table of Contents</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77C0"/>
        </w:rPr>
        <w:t>Liquidity and Capital Resources</w:t>
      </w:r>
    </w:p>
    <w:p>
      <w:pPr>
        <w:spacing w:after="0" w:line="127" w:lineRule="exact"/>
        <w:rPr>
          <w:sz w:val="20"/>
          <w:szCs w:val="20"/>
          <w:color w:val="auto"/>
        </w:rPr>
      </w:pPr>
    </w:p>
    <w:p>
      <w:pPr>
        <w:jc w:val="both"/>
        <w:ind w:left="20"/>
        <w:spacing w:after="0" w:line="286"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Sources and Uses of Cash </w:t>
      </w:r>
      <w:r>
        <w:rPr>
          <w:rFonts w:ascii="Times New Roman" w:cs="Times New Roman" w:eastAsia="Times New Roman" w:hAnsi="Times New Roman"/>
          <w:sz w:val="18"/>
          <w:szCs w:val="18"/>
          <w:color w:val="000000"/>
        </w:rPr>
        <w:t>The strength of the company’s balance sheet enables it to fund any timing differences throughout the year between cash inflows</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and outflows.</w:t>
      </w:r>
    </w:p>
    <w:p>
      <w:pPr>
        <w:spacing w:after="0" w:line="47"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Cash, Cash Equivalents and Marketable Securities </w:t>
      </w:r>
      <w:r>
        <w:rPr>
          <w:rFonts w:ascii="Times New Roman" w:cs="Times New Roman" w:eastAsia="Times New Roman" w:hAnsi="Times New Roman"/>
          <w:sz w:val="18"/>
          <w:szCs w:val="18"/>
          <w:color w:val="000000"/>
        </w:rPr>
        <w:t>Total balances were $6.8 billion and $8.2 billion at December 31, 2024 and 2023, respectively. The</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company holds its cash with a diverse group of major financial institutions and has processes and safeguards in place designed to manage its cash balances and mitigate the risk of loss. Cash provided by operating activities in 2024 was $31.5 billion, compared to $35.6 billion in 2023, primarily due to lower earnings and higher payments related to asset retirement obligations. Cash provided by operating activities was net of contributions to employee pension plans of approximately $844 million in 2024 and $1.1 billion in 2023. Capital expenditures totaled $16.4 billion in 2024 compared to $15.8 billion in 2023. Proceeds and deposits related to asset sales and return of investments totaled $7.7 billion in 2024 compared to $669 million in 2023 primarily related to proceeds from asset sales in Canada. Cash flow from financing activities includes proceeds from shares issued for stock options of $330 million in 2024, compared with $261 million in 2023.</w:t>
      </w:r>
    </w:p>
    <w:p>
      <w:pPr>
        <w:spacing w:after="0" w:line="73" w:lineRule="exact"/>
        <w:rPr>
          <w:sz w:val="20"/>
          <w:szCs w:val="20"/>
          <w:color w:val="auto"/>
        </w:rPr>
      </w:pPr>
    </w:p>
    <w:p>
      <w:pPr>
        <w:jc w:val="both"/>
        <w:ind w:left="20"/>
        <w:spacing w:after="0" w:line="271" w:lineRule="auto"/>
        <w:rPr>
          <w:sz w:val="20"/>
          <w:szCs w:val="20"/>
          <w:color w:val="auto"/>
        </w:rPr>
      </w:pPr>
      <w:r>
        <w:rPr>
          <w:rFonts w:ascii="Times New Roman" w:cs="Times New Roman" w:eastAsia="Times New Roman" w:hAnsi="Times New Roman"/>
          <w:sz w:val="18"/>
          <w:szCs w:val="18"/>
          <w:color w:val="auto"/>
        </w:rPr>
        <w:t>Restricted cash of $1.5 billion and $1.1 billion at December 31, 2024 and 2023, respectively, was held in cash and short-term marketable securities and recorded as “Deferred charges and other assets” and “Prepaid expenses and other current assets” on the Consolidated Balance Sheet. These amounts are generally associated with upstream decommissioning activities, tax payments and funds held in escrow for tax-deferred exchanges. The increase of restricted cash in 2024 is mainly due to increase in funds for tax-deferred exchanges.</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FF0000"/>
        </w:rPr>
        <w:t xml:space="preserve">Dividends </w:t>
      </w:r>
      <w:r>
        <w:rPr>
          <w:rFonts w:ascii="Times New Roman" w:cs="Times New Roman" w:eastAsia="Times New Roman" w:hAnsi="Times New Roman"/>
          <w:sz w:val="18"/>
          <w:szCs w:val="18"/>
          <w:color w:val="000000"/>
        </w:rPr>
        <w:t>Dividends paid to common stockholders were $11.8 billion in 2024 and $11.3 billion in 2023.</w:t>
      </w:r>
    </w:p>
    <w:p>
      <w:pPr>
        <w:spacing w:after="0" w:line="104" w:lineRule="exact"/>
        <w:rPr>
          <w:sz w:val="20"/>
          <w:szCs w:val="20"/>
          <w:color w:val="auto"/>
        </w:rPr>
      </w:pPr>
    </w:p>
    <w:p>
      <w:pPr>
        <w:jc w:val="both"/>
        <w:ind w:left="20"/>
        <w:spacing w:after="0" w:line="302"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Debt and Finance Lease Liabilities </w:t>
      </w:r>
      <w:r>
        <w:rPr>
          <w:rFonts w:ascii="Times New Roman" w:cs="Times New Roman" w:eastAsia="Times New Roman" w:hAnsi="Times New Roman"/>
          <w:sz w:val="18"/>
          <w:szCs w:val="18"/>
          <w:color w:val="000000"/>
        </w:rPr>
        <w:t>Total debt and finance lease liabilities were $24.5 billion at December 31, 2024, up from $20.8 billion at year-end</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2023 as the company issued commercial paper and tax-exempt bonds and retired public bonds.</w:t>
      </w:r>
    </w:p>
    <w:p>
      <w:pPr>
        <w:spacing w:after="0" w:line="23" w:lineRule="exact"/>
        <w:rPr>
          <w:sz w:val="20"/>
          <w:szCs w:val="20"/>
          <w:color w:val="auto"/>
        </w:rPr>
      </w:pPr>
    </w:p>
    <w:p>
      <w:pPr>
        <w:jc w:val="both"/>
        <w:ind w:left="20"/>
        <w:spacing w:after="0" w:line="270" w:lineRule="auto"/>
        <w:rPr>
          <w:sz w:val="20"/>
          <w:szCs w:val="20"/>
          <w:color w:val="auto"/>
        </w:rPr>
      </w:pPr>
      <w:r>
        <w:rPr>
          <w:rFonts w:ascii="Times New Roman" w:cs="Times New Roman" w:eastAsia="Times New Roman" w:hAnsi="Times New Roman"/>
          <w:sz w:val="18"/>
          <w:szCs w:val="18"/>
          <w:color w:val="auto"/>
        </w:rPr>
        <w:t>The $3.7 billion increase in total debt and finance lease liabilities during 2024 was primarily due to the issuance of commercial paper. The company’s debt and finance lease liabilities due within one year, consisting primarily of the current portion of long-term debt and redeemable long-term obligations, totaled $12.7 billion at December 31, 2024, compared with $5.1 billion at year-end 2023. Of these amounts, $8.3 billion and $4.5 billion were reclassified to long-term debt at the end of 2024 and 2023, respectively, since settlement of these obligations was not expected to require the use of working capital within one year, as the company had the intent and the ability, as evidenced by committed credit facilities, to continue refinancing them.</w:t>
      </w:r>
    </w:p>
    <w:p>
      <w:pPr>
        <w:spacing w:after="0" w:line="51" w:lineRule="exact"/>
        <w:rPr>
          <w:sz w:val="20"/>
          <w:szCs w:val="20"/>
          <w:color w:val="auto"/>
        </w:rPr>
      </w:pPr>
    </w:p>
    <w:p>
      <w:pPr>
        <w:jc w:val="both"/>
        <w:ind w:left="20"/>
        <w:spacing w:after="0" w:line="297" w:lineRule="auto"/>
        <w:rPr>
          <w:sz w:val="20"/>
          <w:szCs w:val="20"/>
          <w:color w:val="auto"/>
        </w:rPr>
      </w:pPr>
      <w:r>
        <w:rPr>
          <w:rFonts w:ascii="Times New Roman" w:cs="Times New Roman" w:eastAsia="Times New Roman" w:hAnsi="Times New Roman"/>
          <w:sz w:val="18"/>
          <w:szCs w:val="18"/>
          <w:color w:val="auto"/>
        </w:rPr>
        <w:t>The company has access to a commercial paper program as a financing source for working capital or other short-term needs. The company had $5.4 billion of commercial paper outstanding as of December 31, 2024, and there was no commercial paper outstanding at December 31, 2023.</w:t>
      </w:r>
    </w:p>
    <w:p>
      <w:pPr>
        <w:spacing w:after="0" w:line="28" w:lineRule="exact"/>
        <w:rPr>
          <w:sz w:val="20"/>
          <w:szCs w:val="20"/>
          <w:color w:val="auto"/>
        </w:rPr>
      </w:pPr>
    </w:p>
    <w:p>
      <w:pPr>
        <w:jc w:val="both"/>
        <w:ind w:left="20"/>
        <w:spacing w:after="0" w:line="297" w:lineRule="auto"/>
        <w:rPr>
          <w:sz w:val="20"/>
          <w:szCs w:val="20"/>
          <w:color w:val="auto"/>
        </w:rPr>
      </w:pPr>
      <w:r>
        <w:rPr>
          <w:rFonts w:ascii="Times New Roman" w:cs="Times New Roman" w:eastAsia="Times New Roman" w:hAnsi="Times New Roman"/>
          <w:sz w:val="18"/>
          <w:szCs w:val="18"/>
          <w:color w:val="auto"/>
        </w:rPr>
        <w:t>The company has an automatic shelf registration statement that expires in November 2027 for an unspecified amount of nonconvertible debt securities issued by Chevron Corporation or Chevron U.S.A. Inc. (CUSA).</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414" w:right="339" w:bottom="1440" w:gutter="0" w:footer="0" w:header="0"/>
        </w:sectPr>
      </w:pPr>
    </w:p>
    <w:bookmarkStart w:id="49" w:name="page50"/>
    <w:bookmarkEnd w:id="49"/>
    <w:p>
      <w:pPr>
        <w:spacing w:after="0"/>
        <w:tabs>
          <w:tab w:leader="none" w:pos="9400" w:val="left"/>
        </w:tabs>
        <w:rPr>
          <w:sz w:val="20"/>
          <w:szCs w:val="20"/>
          <w:color w:val="auto"/>
        </w:rPr>
      </w:pPr>
      <w:r>
        <w:rPr>
          <w:rFonts w:ascii="Arial" w:cs="Arial" w:eastAsia="Arial" w:hAnsi="Arial"/>
          <w:sz w:val="14"/>
          <w:szCs w:val="14"/>
          <w:color w:val="0077C0"/>
        </w:rPr>
        <w:t>Management’s Discussion and Analysis of Financial Condition and Results of Operations</w:t>
      </w:r>
      <w:r>
        <w:rPr>
          <w:sz w:val="20"/>
          <w:szCs w:val="20"/>
          <w:color w:val="auto"/>
        </w:rPr>
        <w:tab/>
      </w:r>
      <w:r>
        <w:rPr>
          <w:rFonts w:ascii="Arial" w:cs="Arial" w:eastAsia="Arial" w:hAnsi="Arial"/>
          <w:sz w:val="14"/>
          <w:szCs w:val="14"/>
          <w:color w:val="0077C0"/>
        </w:rPr>
        <w:t>Financial 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0"/>
        <w:spacing w:after="0"/>
        <w:rPr>
          <w:sz w:val="20"/>
          <w:szCs w:val="20"/>
          <w:color w:val="auto"/>
        </w:rPr>
      </w:pPr>
      <w:r>
        <w:rPr>
          <w:rFonts w:ascii="Arial" w:cs="Arial" w:eastAsia="Arial" w:hAnsi="Arial"/>
          <w:sz w:val="11"/>
          <w:szCs w:val="11"/>
          <w:color w:val="auto"/>
        </w:rPr>
        <w:t>Cash from operating</w:t>
      </w:r>
    </w:p>
    <w:p>
      <w:pPr>
        <w:ind w:left="40"/>
        <w:spacing w:after="0" w:line="204" w:lineRule="auto"/>
        <w:rPr>
          <w:sz w:val="20"/>
          <w:szCs w:val="20"/>
          <w:color w:val="auto"/>
        </w:rPr>
      </w:pPr>
      <w:r>
        <w:rPr>
          <w:rFonts w:ascii="Arial" w:cs="Arial" w:eastAsia="Arial" w:hAnsi="Arial"/>
          <w:sz w:val="11"/>
          <w:szCs w:val="11"/>
          <w:color w:val="auto"/>
        </w:rPr>
        <w:t>activities compared with</w:t>
      </w:r>
    </w:p>
    <w:p>
      <w:pPr>
        <w:ind w:left="40"/>
        <w:spacing w:after="0" w:line="205" w:lineRule="auto"/>
        <w:rPr>
          <w:sz w:val="20"/>
          <w:szCs w:val="20"/>
          <w:color w:val="auto"/>
        </w:rPr>
      </w:pPr>
      <w:r>
        <w:rPr>
          <w:rFonts w:ascii="Arial" w:cs="Arial" w:eastAsia="Arial" w:hAnsi="Arial"/>
          <w:sz w:val="11"/>
          <w:szCs w:val="11"/>
          <w:color w:val="auto"/>
        </w:rPr>
        <w:t>capital expenditures and</w:t>
      </w:r>
    </w:p>
    <w:p>
      <w:pPr>
        <w:ind w:left="40"/>
        <w:spacing w:after="0" w:line="205" w:lineRule="auto"/>
        <w:rPr>
          <w:sz w:val="20"/>
          <w:szCs w:val="20"/>
          <w:color w:val="auto"/>
        </w:rPr>
      </w:pPr>
      <w:r>
        <w:rPr>
          <w:rFonts w:ascii="Arial" w:cs="Arial" w:eastAsia="Arial" w:hAnsi="Arial"/>
          <w:sz w:val="11"/>
          <w:szCs w:val="11"/>
          <w:color w:val="auto"/>
        </w:rPr>
        <w:t>cash returned to</w:t>
      </w:r>
    </w:p>
    <w:p>
      <w:pPr>
        <w:ind w:left="40"/>
        <w:spacing w:after="0" w:line="211" w:lineRule="auto"/>
        <w:rPr>
          <w:sz w:val="20"/>
          <w:szCs w:val="20"/>
          <w:color w:val="auto"/>
        </w:rPr>
      </w:pPr>
      <w:r>
        <w:rPr>
          <w:rFonts w:ascii="Arial" w:cs="Arial" w:eastAsia="Arial" w:hAnsi="Arial"/>
          <w:sz w:val="11"/>
          <w:szCs w:val="11"/>
          <w:color w:val="auto"/>
        </w:rPr>
        <w:t>shareholders</w:t>
      </w:r>
    </w:p>
    <w:p>
      <w:pPr>
        <w:ind w:left="40"/>
        <w:spacing w:after="0"/>
        <w:rPr>
          <w:sz w:val="20"/>
          <w:szCs w:val="20"/>
          <w:color w:val="auto"/>
        </w:rPr>
      </w:pPr>
      <w:r>
        <w:rPr>
          <w:rFonts w:ascii="Arial" w:cs="Arial" w:eastAsia="Arial" w:hAnsi="Arial"/>
          <w:sz w:val="9"/>
          <w:szCs w:val="9"/>
          <w:color w:val="auto"/>
        </w:rPr>
        <w:t>Billions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20320</wp:posOffset>
            </wp:positionV>
            <wp:extent cx="916940" cy="1431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16940" cy="1431290"/>
                    </a:xfrm>
                    <a:prstGeom prst="rect">
                      <a:avLst/>
                    </a:prstGeom>
                    <a:noFill/>
                  </pic:spPr>
                </pic:pic>
              </a:graphicData>
            </a:graphic>
          </wp:anchor>
        </w:drawing>
      </w:r>
    </w:p>
    <w:p>
      <w:pPr>
        <w:spacing w:after="0" w:line="277" w:lineRule="exact"/>
        <w:rPr>
          <w:sz w:val="20"/>
          <w:szCs w:val="20"/>
          <w:color w:val="auto"/>
        </w:rPr>
      </w:pPr>
    </w:p>
    <w:tbl>
      <w:tblPr>
        <w:tblLayout w:type="fixed"/>
        <w:tblInd w:w="2400" w:type="dxa"/>
        <w:tblCellMar>
          <w:top w:w="0" w:type="dxa"/>
          <w:left w:w="0" w:type="dxa"/>
          <w:bottom w:w="0" w:type="dxa"/>
          <w:right w:w="0" w:type="dxa"/>
        </w:tblCellMar>
      </w:tblPr>
      <w:tr>
        <w:trPr>
          <w:trHeight w:val="126"/>
        </w:trPr>
        <w:tc>
          <w:tcPr>
            <w:tcW w:w="1440" w:type="dxa"/>
            <w:vAlign w:val="bottom"/>
          </w:tcPr>
          <w:p>
            <w:pPr>
              <w:ind w:left="20"/>
              <w:spacing w:after="0"/>
              <w:rPr>
                <w:sz w:val="20"/>
                <w:szCs w:val="20"/>
                <w:color w:val="auto"/>
              </w:rPr>
            </w:pPr>
            <w:r>
              <w:rPr>
                <w:rFonts w:ascii="Arial" w:cs="Arial" w:eastAsia="Arial" w:hAnsi="Arial"/>
                <w:sz w:val="11"/>
                <w:szCs w:val="11"/>
                <w:color w:val="auto"/>
              </w:rPr>
              <w:t>Capital expenditures by</w:t>
            </w:r>
          </w:p>
        </w:tc>
        <w:tc>
          <w:tcPr>
            <w:tcW w:w="940" w:type="dxa"/>
            <w:vAlign w:val="bottom"/>
          </w:tcPr>
          <w:p>
            <w:pPr>
              <w:spacing w:after="0"/>
              <w:rPr>
                <w:sz w:val="10"/>
                <w:szCs w:val="10"/>
                <w:color w:val="auto"/>
              </w:rPr>
            </w:pPr>
          </w:p>
        </w:tc>
        <w:tc>
          <w:tcPr>
            <w:tcW w:w="3660" w:type="dxa"/>
            <w:vAlign w:val="bottom"/>
            <w:gridSpan w:val="3"/>
          </w:tcPr>
          <w:p>
            <w:pPr>
              <w:ind w:left="20"/>
              <w:spacing w:after="0"/>
              <w:rPr>
                <w:sz w:val="20"/>
                <w:szCs w:val="20"/>
                <w:color w:val="auto"/>
              </w:rPr>
            </w:pPr>
            <w:r>
              <w:rPr>
                <w:rFonts w:ascii="Arial" w:cs="Arial" w:eastAsia="Arial" w:hAnsi="Arial"/>
                <w:sz w:val="11"/>
                <w:szCs w:val="11"/>
                <w:color w:val="auto"/>
              </w:rPr>
              <w:t>Affiliate capital expenditure</w:t>
            </w:r>
          </w:p>
        </w:tc>
        <w:tc>
          <w:tcPr>
            <w:tcW w:w="9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440" w:type="dxa"/>
            <w:vAlign w:val="bottom"/>
          </w:tcPr>
          <w:p>
            <w:pPr>
              <w:ind w:left="20"/>
              <w:spacing w:after="0" w:line="113" w:lineRule="exact"/>
              <w:rPr>
                <w:sz w:val="20"/>
                <w:szCs w:val="20"/>
                <w:color w:val="auto"/>
              </w:rPr>
            </w:pPr>
            <w:r>
              <w:rPr>
                <w:rFonts w:ascii="Arial" w:cs="Arial" w:eastAsia="Arial" w:hAnsi="Arial"/>
                <w:sz w:val="11"/>
                <w:szCs w:val="11"/>
                <w:color w:val="auto"/>
              </w:rPr>
              <w:t>segment</w:t>
            </w:r>
          </w:p>
        </w:tc>
        <w:tc>
          <w:tcPr>
            <w:tcW w:w="940" w:type="dxa"/>
            <w:vAlign w:val="bottom"/>
          </w:tcPr>
          <w:p>
            <w:pPr>
              <w:spacing w:after="0"/>
              <w:rPr>
                <w:sz w:val="9"/>
                <w:szCs w:val="9"/>
                <w:color w:val="auto"/>
              </w:rPr>
            </w:pPr>
          </w:p>
        </w:tc>
        <w:tc>
          <w:tcPr>
            <w:tcW w:w="3660" w:type="dxa"/>
            <w:vAlign w:val="bottom"/>
            <w:gridSpan w:val="3"/>
          </w:tcPr>
          <w:p>
            <w:pPr>
              <w:ind w:left="20"/>
              <w:spacing w:after="0"/>
              <w:rPr>
                <w:sz w:val="20"/>
                <w:szCs w:val="20"/>
                <w:color w:val="auto"/>
              </w:rPr>
            </w:pPr>
            <w:r>
              <w:rPr>
                <w:rFonts w:ascii="Arial" w:cs="Arial" w:eastAsia="Arial" w:hAnsi="Arial"/>
                <w:sz w:val="9"/>
                <w:szCs w:val="9"/>
                <w:color w:val="auto"/>
              </w:rPr>
              <w:t>Billions of dollars</w:t>
            </w:r>
          </w:p>
        </w:tc>
        <w:tc>
          <w:tcPr>
            <w:tcW w:w="9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
        </w:trPr>
        <w:tc>
          <w:tcPr>
            <w:tcW w:w="1440" w:type="dxa"/>
            <w:vAlign w:val="bottom"/>
            <w:vMerge w:val="restart"/>
          </w:tcPr>
          <w:p>
            <w:pPr>
              <w:ind w:left="20"/>
              <w:spacing w:after="0"/>
              <w:rPr>
                <w:sz w:val="20"/>
                <w:szCs w:val="20"/>
                <w:color w:val="auto"/>
              </w:rPr>
            </w:pPr>
            <w:r>
              <w:rPr>
                <w:rFonts w:ascii="Arial" w:cs="Arial" w:eastAsia="Arial" w:hAnsi="Arial"/>
                <w:sz w:val="9"/>
                <w:szCs w:val="9"/>
                <w:color w:val="auto"/>
              </w:rPr>
              <w:t>Billions of dollars</w:t>
            </w:r>
          </w:p>
        </w:tc>
        <w:tc>
          <w:tcPr>
            <w:tcW w:w="940" w:type="dxa"/>
            <w:vAlign w:val="bottom"/>
          </w:tcPr>
          <w:p>
            <w:pPr>
              <w:spacing w:after="0"/>
              <w:rPr>
                <w:sz w:val="3"/>
                <w:szCs w:val="3"/>
                <w:color w:val="auto"/>
              </w:rPr>
            </w:pPr>
          </w:p>
        </w:tc>
        <w:tc>
          <w:tcPr>
            <w:tcW w:w="1440" w:type="dxa"/>
            <w:vAlign w:val="bottom"/>
            <w:tcBorders>
              <w:bottom w:val="single" w:sz="8" w:color="DBDCDD"/>
            </w:tcBorders>
          </w:tcPr>
          <w:p>
            <w:pPr>
              <w:spacing w:after="0"/>
              <w:rPr>
                <w:sz w:val="3"/>
                <w:szCs w:val="3"/>
                <w:color w:val="auto"/>
              </w:rPr>
            </w:pPr>
          </w:p>
        </w:tc>
        <w:tc>
          <w:tcPr>
            <w:tcW w:w="920" w:type="dxa"/>
            <w:vAlign w:val="bottom"/>
            <w:vMerge w:val="restart"/>
          </w:tcPr>
          <w:p>
            <w:pPr>
              <w:spacing w:after="0"/>
              <w:rPr>
                <w:sz w:val="3"/>
                <w:szCs w:val="3"/>
                <w:color w:val="auto"/>
              </w:rPr>
            </w:pPr>
          </w:p>
        </w:tc>
        <w:tc>
          <w:tcPr>
            <w:tcW w:w="1300" w:type="dxa"/>
            <w:vAlign w:val="bottom"/>
            <w:vMerge w:val="restart"/>
          </w:tcPr>
          <w:p>
            <w:pPr>
              <w:ind w:left="20"/>
              <w:spacing w:after="0"/>
              <w:rPr>
                <w:sz w:val="20"/>
                <w:szCs w:val="20"/>
                <w:color w:val="auto"/>
              </w:rPr>
            </w:pPr>
            <w:r>
              <w:rPr>
                <w:rFonts w:ascii="Arial" w:cs="Arial" w:eastAsia="Arial" w:hAnsi="Arial"/>
                <w:sz w:val="11"/>
                <w:szCs w:val="11"/>
                <w:color w:val="auto"/>
              </w:rPr>
              <w:t>Debt at year-end</w:t>
            </w:r>
          </w:p>
        </w:tc>
        <w:tc>
          <w:tcPr>
            <w:tcW w:w="920" w:type="dxa"/>
            <w:vAlign w:val="bottom"/>
            <w:vMerge w:val="restart"/>
          </w:tcPr>
          <w:p>
            <w:pPr>
              <w:spacing w:after="0"/>
              <w:rPr>
                <w:sz w:val="3"/>
                <w:szCs w:val="3"/>
                <w:color w:val="auto"/>
              </w:rPr>
            </w:pPr>
          </w:p>
        </w:tc>
        <w:tc>
          <w:tcPr>
            <w:tcW w:w="1580" w:type="dxa"/>
            <w:vAlign w:val="bottom"/>
            <w:vMerge w:val="restart"/>
          </w:tcPr>
          <w:p>
            <w:pPr>
              <w:ind w:left="20"/>
              <w:spacing w:after="0"/>
              <w:rPr>
                <w:sz w:val="20"/>
                <w:szCs w:val="20"/>
                <w:color w:val="auto"/>
              </w:rPr>
            </w:pPr>
            <w:r>
              <w:rPr>
                <w:rFonts w:ascii="Arial" w:cs="Arial" w:eastAsia="Arial" w:hAnsi="Arial"/>
                <w:sz w:val="11"/>
                <w:szCs w:val="11"/>
                <w:color w:val="auto"/>
              </w:rPr>
              <w:t>Debt ratios</w:t>
            </w:r>
          </w:p>
        </w:tc>
        <w:tc>
          <w:tcPr>
            <w:tcW w:w="0" w:type="dxa"/>
            <w:vAlign w:val="bottom"/>
          </w:tcPr>
          <w:p>
            <w:pPr>
              <w:spacing w:after="0"/>
              <w:rPr>
                <w:sz w:val="1"/>
                <w:szCs w:val="1"/>
                <w:color w:val="auto"/>
              </w:rPr>
            </w:pPr>
          </w:p>
        </w:tc>
      </w:tr>
      <w:tr>
        <w:trPr>
          <w:trHeight w:val="87"/>
        </w:trPr>
        <w:tc>
          <w:tcPr>
            <w:tcW w:w="1440" w:type="dxa"/>
            <w:vAlign w:val="bottom"/>
            <w:tcBorders>
              <w:bottom w:val="single" w:sz="8" w:color="DBDCDD"/>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14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00" w:type="dxa"/>
            <w:vAlign w:val="bottom"/>
          </w:tcPr>
          <w:p>
            <w:pPr>
              <w:ind w:left="20"/>
              <w:spacing w:after="0" w:line="96" w:lineRule="exact"/>
              <w:rPr>
                <w:sz w:val="20"/>
                <w:szCs w:val="20"/>
                <w:color w:val="auto"/>
              </w:rPr>
            </w:pPr>
            <w:r>
              <w:rPr>
                <w:rFonts w:ascii="Arial" w:cs="Arial" w:eastAsia="Arial" w:hAnsi="Arial"/>
                <w:sz w:val="9"/>
                <w:szCs w:val="9"/>
                <w:color w:val="auto"/>
              </w:rPr>
              <w:t>Billions of dollars</w:t>
            </w:r>
          </w:p>
        </w:tc>
        <w:tc>
          <w:tcPr>
            <w:tcW w:w="920" w:type="dxa"/>
            <w:vAlign w:val="bottom"/>
          </w:tcPr>
          <w:p>
            <w:pPr>
              <w:spacing w:after="0"/>
              <w:rPr>
                <w:sz w:val="8"/>
                <w:szCs w:val="8"/>
                <w:color w:val="auto"/>
              </w:rPr>
            </w:pPr>
          </w:p>
        </w:tc>
        <w:tc>
          <w:tcPr>
            <w:tcW w:w="1580" w:type="dxa"/>
            <w:vAlign w:val="bottom"/>
          </w:tcPr>
          <w:p>
            <w:pPr>
              <w:ind w:left="20"/>
              <w:spacing w:after="0" w:line="96" w:lineRule="exact"/>
              <w:rPr>
                <w:sz w:val="20"/>
                <w:szCs w:val="20"/>
                <w:color w:val="auto"/>
              </w:rPr>
            </w:pPr>
            <w:r>
              <w:rPr>
                <w:rFonts w:ascii="Arial" w:cs="Arial" w:eastAsia="Arial" w:hAnsi="Arial"/>
                <w:sz w:val="9"/>
                <w:szCs w:val="9"/>
                <w:color w:val="auto"/>
              </w:rPr>
              <w:t>Percent</w:t>
            </w:r>
          </w:p>
        </w:tc>
        <w:tc>
          <w:tcPr>
            <w:tcW w:w="0" w:type="dxa"/>
            <w:vAlign w:val="bottom"/>
          </w:tcPr>
          <w:p>
            <w:pPr>
              <w:spacing w:after="0"/>
              <w:rPr>
                <w:sz w:val="1"/>
                <w:szCs w:val="1"/>
                <w:color w:val="auto"/>
              </w:rPr>
            </w:pPr>
          </w:p>
        </w:tc>
      </w:tr>
      <w:tr>
        <w:trPr>
          <w:trHeight w:val="26"/>
        </w:trPr>
        <w:tc>
          <w:tcPr>
            <w:tcW w:w="1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00" w:type="dxa"/>
            <w:vAlign w:val="bottom"/>
            <w:tcBorders>
              <w:bottom w:val="single" w:sz="8" w:color="DBDCDD"/>
            </w:tcBorders>
          </w:tcPr>
          <w:p>
            <w:pPr>
              <w:spacing w:after="0"/>
              <w:rPr>
                <w:sz w:val="2"/>
                <w:szCs w:val="2"/>
                <w:color w:val="auto"/>
              </w:rPr>
            </w:pPr>
          </w:p>
        </w:tc>
        <w:tc>
          <w:tcPr>
            <w:tcW w:w="920" w:type="dxa"/>
            <w:vAlign w:val="bottom"/>
          </w:tcPr>
          <w:p>
            <w:pPr>
              <w:spacing w:after="0"/>
              <w:rPr>
                <w:sz w:val="2"/>
                <w:szCs w:val="2"/>
                <w:color w:val="auto"/>
              </w:rPr>
            </w:pPr>
          </w:p>
        </w:tc>
        <w:tc>
          <w:tcPr>
            <w:tcW w:w="1580" w:type="dxa"/>
            <w:vAlign w:val="bottom"/>
            <w:tcBorders>
              <w:bottom w:val="single" w:sz="8" w:color="DBDCDD"/>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1526540</wp:posOffset>
            </wp:positionH>
            <wp:positionV relativeFrom="paragraph">
              <wp:posOffset>25400</wp:posOffset>
            </wp:positionV>
            <wp:extent cx="822960" cy="131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2960" cy="1311275"/>
                    </a:xfrm>
                    <a:prstGeom prst="rect">
                      <a:avLst/>
                    </a:prstGeom>
                    <a:noFill/>
                  </pic:spPr>
                </pic:pic>
              </a:graphicData>
            </a:graphic>
          </wp:anchor>
        </w:drawing>
        <w:drawing>
          <wp:anchor simplePos="0" relativeHeight="251657728" behindDoc="1" locked="0" layoutInCell="0" allowOverlap="1">
            <wp:simplePos x="0" y="0"/>
            <wp:positionH relativeFrom="column">
              <wp:posOffset>3035300</wp:posOffset>
            </wp:positionH>
            <wp:positionV relativeFrom="paragraph">
              <wp:posOffset>-42545</wp:posOffset>
            </wp:positionV>
            <wp:extent cx="822960" cy="131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2960" cy="1311910"/>
                    </a:xfrm>
                    <a:prstGeom prst="rect">
                      <a:avLst/>
                    </a:prstGeom>
                    <a:noFill/>
                  </pic:spPr>
                </pic:pic>
              </a:graphicData>
            </a:graphic>
          </wp:anchor>
        </w:drawing>
        <w:drawing>
          <wp:anchor simplePos="0" relativeHeight="251657728" behindDoc="1" locked="0" layoutInCell="0" allowOverlap="1">
            <wp:simplePos x="0" y="0"/>
            <wp:positionH relativeFrom="column">
              <wp:posOffset>4535170</wp:posOffset>
            </wp:positionH>
            <wp:positionV relativeFrom="paragraph">
              <wp:posOffset>111125</wp:posOffset>
            </wp:positionV>
            <wp:extent cx="822960" cy="131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2960" cy="1311275"/>
                    </a:xfrm>
                    <a:prstGeom prst="rect">
                      <a:avLst/>
                    </a:prstGeom>
                    <a:noFill/>
                  </pic:spPr>
                </pic:pic>
              </a:graphicData>
            </a:graphic>
          </wp:anchor>
        </w:drawing>
        <w:drawing>
          <wp:anchor simplePos="0" relativeHeight="251657728" behindDoc="1" locked="0" layoutInCell="0" allowOverlap="1">
            <wp:simplePos x="0" y="0"/>
            <wp:positionH relativeFrom="column">
              <wp:posOffset>5941060</wp:posOffset>
            </wp:positionH>
            <wp:positionV relativeFrom="paragraph">
              <wp:posOffset>111125</wp:posOffset>
            </wp:positionV>
            <wp:extent cx="822960" cy="131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2960"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120" w:type="dxa"/>
            <w:vAlign w:val="bottom"/>
            <w:tcBorders>
              <w:top w:val="single" w:sz="8" w:color="DBDCDD"/>
            </w:tcBorders>
          </w:tcPr>
          <w:p>
            <w:pPr>
              <w:spacing w:after="0"/>
              <w:rPr>
                <w:sz w:val="12"/>
                <w:szCs w:val="12"/>
                <w:color w:val="auto"/>
              </w:rPr>
            </w:pPr>
          </w:p>
        </w:tc>
        <w:tc>
          <w:tcPr>
            <w:tcW w:w="100" w:type="dxa"/>
            <w:vAlign w:val="bottom"/>
            <w:tcBorders>
              <w:top w:val="single" w:sz="8" w:color="DBDCDD"/>
              <w:bottom w:val="single" w:sz="8" w:color="0B2D71"/>
            </w:tcBorders>
          </w:tcPr>
          <w:p>
            <w:pPr>
              <w:spacing w:after="0"/>
              <w:rPr>
                <w:sz w:val="12"/>
                <w:szCs w:val="12"/>
                <w:color w:val="auto"/>
              </w:rPr>
            </w:pPr>
          </w:p>
        </w:tc>
        <w:tc>
          <w:tcPr>
            <w:tcW w:w="1120" w:type="dxa"/>
            <w:vAlign w:val="bottom"/>
            <w:tcBorders>
              <w:top w:val="single" w:sz="8" w:color="DBDCDD"/>
              <w:bottom w:val="single" w:sz="8" w:color="DBDCDD"/>
            </w:tcBorders>
          </w:tcPr>
          <w:p>
            <w:pPr>
              <w:ind w:left="160"/>
              <w:spacing w:after="0"/>
              <w:rPr>
                <w:sz w:val="20"/>
                <w:szCs w:val="20"/>
                <w:color w:val="auto"/>
              </w:rPr>
            </w:pPr>
            <w:r>
              <w:rPr>
                <w:rFonts w:ascii="Arial" w:cs="Arial" w:eastAsia="Arial" w:hAnsi="Arial"/>
                <w:sz w:val="9"/>
                <w:szCs w:val="9"/>
                <w:color w:val="auto"/>
              </w:rPr>
              <w:t>Stock repurchases</w:t>
            </w:r>
          </w:p>
        </w:tc>
        <w:tc>
          <w:tcPr>
            <w:tcW w:w="2360" w:type="dxa"/>
            <w:vAlign w:val="bottom"/>
            <w:gridSpan w:val="4"/>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20" w:type="dxa"/>
            <w:vAlign w:val="bottom"/>
          </w:tcPr>
          <w:p>
            <w:pPr>
              <w:spacing w:after="0"/>
              <w:rPr>
                <w:sz w:val="11"/>
                <w:szCs w:val="11"/>
                <w:color w:val="auto"/>
              </w:rPr>
            </w:pPr>
          </w:p>
        </w:tc>
        <w:tc>
          <w:tcPr>
            <w:tcW w:w="100" w:type="dxa"/>
            <w:vAlign w:val="bottom"/>
            <w:tcBorders>
              <w:bottom w:val="single" w:sz="8" w:color="026DCE"/>
            </w:tcBorders>
          </w:tcPr>
          <w:p>
            <w:pPr>
              <w:spacing w:after="0"/>
              <w:rPr>
                <w:sz w:val="11"/>
                <w:szCs w:val="11"/>
                <w:color w:val="auto"/>
              </w:rPr>
            </w:pPr>
          </w:p>
        </w:tc>
        <w:tc>
          <w:tcPr>
            <w:tcW w:w="3480" w:type="dxa"/>
            <w:vAlign w:val="bottom"/>
            <w:gridSpan w:val="5"/>
          </w:tcPr>
          <w:p>
            <w:pPr>
              <w:ind w:left="160"/>
              <w:spacing w:after="0"/>
              <w:rPr>
                <w:sz w:val="20"/>
                <w:szCs w:val="20"/>
                <w:color w:val="auto"/>
              </w:rPr>
            </w:pPr>
            <w:r>
              <w:rPr>
                <w:rFonts w:ascii="Arial" w:cs="Arial" w:eastAsia="Arial" w:hAnsi="Arial"/>
                <w:sz w:val="9"/>
                <w:szCs w:val="9"/>
                <w:color w:val="auto"/>
              </w:rPr>
              <w:t>Capital expenditures</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20" w:type="dxa"/>
            <w:vAlign w:val="bottom"/>
          </w:tcPr>
          <w:p>
            <w:pPr>
              <w:spacing w:after="0"/>
              <w:rPr>
                <w:sz w:val="11"/>
                <w:szCs w:val="11"/>
                <w:color w:val="auto"/>
              </w:rPr>
            </w:pPr>
          </w:p>
        </w:tc>
        <w:tc>
          <w:tcPr>
            <w:tcW w:w="100" w:type="dxa"/>
            <w:vAlign w:val="bottom"/>
            <w:tcBorders>
              <w:bottom w:val="single" w:sz="8" w:color="8C8F93"/>
            </w:tcBorders>
          </w:tcPr>
          <w:p>
            <w:pPr>
              <w:spacing w:after="0"/>
              <w:rPr>
                <w:sz w:val="11"/>
                <w:szCs w:val="11"/>
                <w:color w:val="auto"/>
              </w:rPr>
            </w:pPr>
          </w:p>
        </w:tc>
        <w:tc>
          <w:tcPr>
            <w:tcW w:w="3480" w:type="dxa"/>
            <w:vAlign w:val="bottom"/>
            <w:gridSpan w:val="5"/>
          </w:tcPr>
          <w:p>
            <w:pPr>
              <w:ind w:left="160"/>
              <w:spacing w:after="0"/>
              <w:rPr>
                <w:sz w:val="20"/>
                <w:szCs w:val="20"/>
                <w:color w:val="auto"/>
              </w:rPr>
            </w:pPr>
            <w:r>
              <w:rPr>
                <w:rFonts w:ascii="Arial" w:cs="Arial" w:eastAsia="Arial" w:hAnsi="Arial"/>
                <w:sz w:val="9"/>
                <w:szCs w:val="9"/>
                <w:color w:val="auto"/>
              </w:rPr>
              <w:t>Dividends</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80" w:type="dxa"/>
            <w:vAlign w:val="bottom"/>
            <w:gridSpan w:val="5"/>
          </w:tcPr>
          <w:p>
            <w:pPr>
              <w:ind w:left="160"/>
              <w:spacing w:after="0" w:line="75" w:lineRule="exact"/>
              <w:rPr>
                <w:sz w:val="20"/>
                <w:szCs w:val="20"/>
                <w:color w:val="auto"/>
              </w:rPr>
            </w:pPr>
            <w:r>
              <w:rPr>
                <w:rFonts w:ascii="Arial" w:cs="Arial" w:eastAsia="Arial" w:hAnsi="Arial"/>
                <w:sz w:val="8"/>
                <w:szCs w:val="8"/>
                <w:color w:val="auto"/>
              </w:rPr>
              <w:t>Cash from operating</w:t>
            </w:r>
          </w:p>
        </w:tc>
        <w:tc>
          <w:tcPr>
            <w:tcW w:w="1060" w:type="dxa"/>
            <w:vAlign w:val="bottom"/>
          </w:tcPr>
          <w:p>
            <w:pPr>
              <w:spacing w:after="0"/>
              <w:rPr>
                <w:sz w:val="7"/>
                <w:szCs w:val="7"/>
                <w:color w:val="auto"/>
              </w:rPr>
            </w:pPr>
          </w:p>
        </w:tc>
        <w:tc>
          <w:tcPr>
            <w:tcW w:w="100" w:type="dxa"/>
            <w:vAlign w:val="bottom"/>
            <w:tcBorders>
              <w:bottom w:val="single" w:sz="8" w:color="DBDCDD"/>
            </w:tcBorders>
          </w:tcPr>
          <w:p>
            <w:pPr>
              <w:spacing w:after="0"/>
              <w:rPr>
                <w:sz w:val="7"/>
                <w:szCs w:val="7"/>
                <w:color w:val="auto"/>
              </w:rPr>
            </w:pPr>
          </w:p>
        </w:tc>
        <w:tc>
          <w:tcPr>
            <w:tcW w:w="120" w:type="dxa"/>
            <w:vAlign w:val="bottom"/>
            <w:tcBorders>
              <w:bottom w:val="single" w:sz="8" w:color="DBDCDD"/>
            </w:tcBorders>
          </w:tcPr>
          <w:p>
            <w:pPr>
              <w:spacing w:after="0"/>
              <w:rPr>
                <w:sz w:val="7"/>
                <w:szCs w:val="7"/>
                <w:color w:val="auto"/>
              </w:rPr>
            </w:pPr>
          </w:p>
        </w:tc>
        <w:tc>
          <w:tcPr>
            <w:tcW w:w="1100" w:type="dxa"/>
            <w:vAlign w:val="bottom"/>
            <w:tcBorders>
              <w:bottom w:val="single" w:sz="8" w:color="DBDCDD"/>
            </w:tcBorders>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100" w:type="dxa"/>
            <w:vAlign w:val="bottom"/>
            <w:shd w:val="clear" w:color="auto" w:fill="009DD9"/>
          </w:tcPr>
          <w:p>
            <w:pPr>
              <w:spacing w:after="0"/>
              <w:rPr>
                <w:sz w:val="10"/>
                <w:szCs w:val="10"/>
                <w:color w:val="auto"/>
              </w:rPr>
            </w:pPr>
          </w:p>
        </w:tc>
        <w:tc>
          <w:tcPr>
            <w:tcW w:w="3480" w:type="dxa"/>
            <w:vAlign w:val="bottom"/>
            <w:gridSpan w:val="5"/>
          </w:tcPr>
          <w:p>
            <w:pPr>
              <w:ind w:left="160"/>
              <w:spacing w:after="0" w:line="75" w:lineRule="exact"/>
              <w:rPr>
                <w:sz w:val="20"/>
                <w:szCs w:val="20"/>
                <w:color w:val="auto"/>
              </w:rPr>
            </w:pPr>
            <w:r>
              <w:rPr>
                <w:rFonts w:ascii="Arial" w:cs="Arial" w:eastAsia="Arial" w:hAnsi="Arial"/>
                <w:sz w:val="8"/>
                <w:szCs w:val="8"/>
                <w:color w:val="auto"/>
              </w:rPr>
              <w:t>activities</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C8F93"/>
            </w:tcBorders>
          </w:tcPr>
          <w:p>
            <w:pPr>
              <w:spacing w:after="0"/>
              <w:rPr>
                <w:sz w:val="10"/>
                <w:szCs w:val="10"/>
                <w:color w:val="auto"/>
              </w:rPr>
            </w:pPr>
          </w:p>
        </w:tc>
        <w:tc>
          <w:tcPr>
            <w:tcW w:w="1100" w:type="dxa"/>
            <w:vAlign w:val="bottom"/>
          </w:tcPr>
          <w:p>
            <w:pPr>
              <w:ind w:left="140"/>
              <w:spacing w:after="0" w:line="75" w:lineRule="exact"/>
              <w:rPr>
                <w:sz w:val="20"/>
                <w:szCs w:val="20"/>
                <w:color w:val="auto"/>
              </w:rPr>
            </w:pPr>
            <w:r>
              <w:rPr>
                <w:rFonts w:ascii="Arial" w:cs="Arial" w:eastAsia="Arial" w:hAnsi="Arial"/>
                <w:sz w:val="8"/>
                <w:szCs w:val="8"/>
                <w:color w:val="auto"/>
              </w:rPr>
              <w:t>All Other</w:t>
            </w: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Borders>
              <w:top w:val="single" w:sz="8" w:color="DBDCDD"/>
            </w:tcBorders>
          </w:tcPr>
          <w:p>
            <w:pPr>
              <w:spacing w:after="0"/>
              <w:rPr>
                <w:sz w:val="11"/>
                <w:szCs w:val="11"/>
                <w:color w:val="auto"/>
              </w:rPr>
            </w:pPr>
          </w:p>
        </w:tc>
        <w:tc>
          <w:tcPr>
            <w:tcW w:w="100" w:type="dxa"/>
            <w:vAlign w:val="bottom"/>
            <w:tcBorders>
              <w:top w:val="single" w:sz="8" w:color="DBDCDD"/>
              <w:bottom w:val="single" w:sz="8" w:color="8C8F93"/>
            </w:tcBorders>
          </w:tcPr>
          <w:p>
            <w:pPr>
              <w:spacing w:after="0"/>
              <w:rPr>
                <w:sz w:val="11"/>
                <w:szCs w:val="11"/>
                <w:color w:val="auto"/>
              </w:rPr>
            </w:pPr>
          </w:p>
        </w:tc>
        <w:tc>
          <w:tcPr>
            <w:tcW w:w="1100" w:type="dxa"/>
            <w:vAlign w:val="bottom"/>
            <w:tcBorders>
              <w:top w:val="single" w:sz="8" w:color="DBDCDD"/>
              <w:bottom w:val="single" w:sz="8" w:color="DBDCDD"/>
            </w:tcBorders>
          </w:tcPr>
          <w:p>
            <w:pPr>
              <w:ind w:left="160"/>
              <w:spacing w:after="0" w:line="68" w:lineRule="exact"/>
              <w:rPr>
                <w:sz w:val="20"/>
                <w:szCs w:val="20"/>
                <w:color w:val="auto"/>
              </w:rPr>
            </w:pPr>
            <w:r>
              <w:rPr>
                <w:rFonts w:ascii="Arial" w:cs="Arial" w:eastAsia="Arial" w:hAnsi="Arial"/>
                <w:sz w:val="7"/>
                <w:szCs w:val="7"/>
                <w:color w:val="auto"/>
              </w:rPr>
              <w:t>All Other</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8C8F93"/>
              <w:bottom w:val="single" w:sz="8" w:color="0066B2"/>
            </w:tcBorders>
          </w:tcPr>
          <w:p>
            <w:pPr>
              <w:spacing w:after="0"/>
              <w:rPr>
                <w:sz w:val="11"/>
                <w:szCs w:val="11"/>
                <w:color w:val="auto"/>
              </w:rPr>
            </w:pPr>
          </w:p>
        </w:tc>
        <w:tc>
          <w:tcPr>
            <w:tcW w:w="1100" w:type="dxa"/>
            <w:vAlign w:val="bottom"/>
          </w:tcPr>
          <w:p>
            <w:pPr>
              <w:ind w:left="140"/>
              <w:spacing w:after="0" w:line="81" w:lineRule="exact"/>
              <w:rPr>
                <w:sz w:val="20"/>
                <w:szCs w:val="20"/>
                <w:color w:val="auto"/>
              </w:rPr>
            </w:pPr>
            <w:r>
              <w:rPr>
                <w:rFonts w:ascii="Arial" w:cs="Arial" w:eastAsia="Arial" w:hAnsi="Arial"/>
                <w:sz w:val="9"/>
                <w:szCs w:val="9"/>
                <w:color w:val="auto"/>
              </w:rPr>
              <w:t>Downstream</w:t>
            </w:r>
          </w:p>
        </w:tc>
        <w:tc>
          <w:tcPr>
            <w:tcW w:w="1040" w:type="dxa"/>
            <w:vAlign w:val="bottom"/>
          </w:tcPr>
          <w:p>
            <w:pPr>
              <w:spacing w:after="0"/>
              <w:rPr>
                <w:sz w:val="11"/>
                <w:szCs w:val="11"/>
                <w:color w:val="auto"/>
              </w:rPr>
            </w:pPr>
          </w:p>
        </w:tc>
        <w:tc>
          <w:tcPr>
            <w:tcW w:w="120" w:type="dxa"/>
            <w:vAlign w:val="bottom"/>
            <w:tcBorders>
              <w:bottom w:val="single" w:sz="8" w:color="DBDCDD"/>
            </w:tcBorders>
          </w:tcPr>
          <w:p>
            <w:pPr>
              <w:spacing w:after="0"/>
              <w:rPr>
                <w:sz w:val="11"/>
                <w:szCs w:val="11"/>
                <w:color w:val="auto"/>
              </w:rPr>
            </w:pPr>
          </w:p>
        </w:tc>
        <w:tc>
          <w:tcPr>
            <w:tcW w:w="100" w:type="dxa"/>
            <w:vAlign w:val="bottom"/>
            <w:tcBorders>
              <w:bottom w:val="single" w:sz="8" w:color="DBDCDD"/>
            </w:tcBorders>
          </w:tcPr>
          <w:p>
            <w:pPr>
              <w:spacing w:after="0"/>
              <w:rPr>
                <w:sz w:val="11"/>
                <w:szCs w:val="11"/>
                <w:color w:val="auto"/>
              </w:rPr>
            </w:pPr>
          </w:p>
        </w:tc>
        <w:tc>
          <w:tcPr>
            <w:tcW w:w="980" w:type="dxa"/>
            <w:vAlign w:val="bottom"/>
            <w:tcBorders>
              <w:bottom w:val="single" w:sz="8" w:color="DBDCDD"/>
            </w:tcBorders>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Borders>
              <w:bottom w:val="single" w:sz="8" w:color="DBDCDD"/>
            </w:tcBorders>
          </w:tcPr>
          <w:p>
            <w:pPr>
              <w:spacing w:after="0"/>
              <w:rPr>
                <w:sz w:val="11"/>
                <w:szCs w:val="11"/>
                <w:color w:val="auto"/>
              </w:rPr>
            </w:pPr>
          </w:p>
        </w:tc>
        <w:tc>
          <w:tcPr>
            <w:tcW w:w="120" w:type="dxa"/>
            <w:vAlign w:val="bottom"/>
            <w:tcBorders>
              <w:bottom w:val="single" w:sz="8" w:color="DBDCDD"/>
            </w:tcBorders>
          </w:tcPr>
          <w:p>
            <w:pPr>
              <w:spacing w:after="0"/>
              <w:rPr>
                <w:sz w:val="11"/>
                <w:szCs w:val="11"/>
                <w:color w:val="auto"/>
              </w:rPr>
            </w:pPr>
          </w:p>
        </w:tc>
        <w:tc>
          <w:tcPr>
            <w:tcW w:w="1220" w:type="dxa"/>
            <w:vAlign w:val="bottom"/>
            <w:tcBorders>
              <w:bottom w:val="single" w:sz="8" w:color="DBDCDD"/>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0066B2"/>
            </w:tcBorders>
          </w:tcPr>
          <w:p>
            <w:pPr>
              <w:spacing w:after="0"/>
              <w:rPr>
                <w:sz w:val="11"/>
                <w:szCs w:val="11"/>
                <w:color w:val="auto"/>
              </w:rPr>
            </w:pPr>
          </w:p>
        </w:tc>
        <w:tc>
          <w:tcPr>
            <w:tcW w:w="1100" w:type="dxa"/>
            <w:vAlign w:val="bottom"/>
          </w:tcPr>
          <w:p>
            <w:pPr>
              <w:ind w:left="160"/>
              <w:spacing w:after="0" w:line="68" w:lineRule="exact"/>
              <w:rPr>
                <w:sz w:val="20"/>
                <w:szCs w:val="20"/>
                <w:color w:val="auto"/>
              </w:rPr>
            </w:pPr>
            <w:r>
              <w:rPr>
                <w:rFonts w:ascii="Arial" w:cs="Arial" w:eastAsia="Arial" w:hAnsi="Arial"/>
                <w:sz w:val="7"/>
                <w:szCs w:val="7"/>
                <w:color w:val="auto"/>
              </w:rPr>
              <w:t>Downstream</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009DD9"/>
            </w:tcBorders>
          </w:tcPr>
          <w:p>
            <w:pPr>
              <w:spacing w:after="0"/>
              <w:rPr>
                <w:sz w:val="11"/>
                <w:szCs w:val="11"/>
                <w:color w:val="auto"/>
              </w:rPr>
            </w:pPr>
          </w:p>
        </w:tc>
        <w:tc>
          <w:tcPr>
            <w:tcW w:w="1100" w:type="dxa"/>
            <w:vAlign w:val="bottom"/>
          </w:tcPr>
          <w:p>
            <w:pPr>
              <w:ind w:left="140"/>
              <w:spacing w:after="0" w:line="75" w:lineRule="exact"/>
              <w:rPr>
                <w:sz w:val="20"/>
                <w:szCs w:val="20"/>
                <w:color w:val="auto"/>
              </w:rPr>
            </w:pPr>
            <w:r>
              <w:rPr>
                <w:rFonts w:ascii="Arial" w:cs="Arial" w:eastAsia="Arial" w:hAnsi="Arial"/>
                <w:sz w:val="8"/>
                <w:szCs w:val="8"/>
                <w:color w:val="auto"/>
              </w:rPr>
              <w:t>Upstream</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009DD9"/>
            </w:tcBorders>
          </w:tcPr>
          <w:p>
            <w:pPr>
              <w:spacing w:after="0"/>
              <w:rPr>
                <w:sz w:val="11"/>
                <w:szCs w:val="11"/>
                <w:color w:val="auto"/>
              </w:rPr>
            </w:pPr>
          </w:p>
        </w:tc>
        <w:tc>
          <w:tcPr>
            <w:tcW w:w="980" w:type="dxa"/>
            <w:vAlign w:val="bottom"/>
          </w:tcPr>
          <w:p>
            <w:pPr>
              <w:ind w:left="160"/>
              <w:spacing w:after="0" w:line="68" w:lineRule="exact"/>
              <w:rPr>
                <w:sz w:val="20"/>
                <w:szCs w:val="20"/>
                <w:color w:val="auto"/>
              </w:rPr>
            </w:pPr>
            <w:r>
              <w:rPr>
                <w:rFonts w:ascii="Arial" w:cs="Arial" w:eastAsia="Arial" w:hAnsi="Arial"/>
                <w:sz w:val="7"/>
                <w:szCs w:val="7"/>
                <w:color w:val="auto"/>
              </w:rPr>
              <w:t>Total debt</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009DD9"/>
            </w:tcBorders>
          </w:tcPr>
          <w:p>
            <w:pPr>
              <w:spacing w:after="0"/>
              <w:rPr>
                <w:sz w:val="11"/>
                <w:szCs w:val="11"/>
                <w:color w:val="auto"/>
              </w:rPr>
            </w:pPr>
          </w:p>
        </w:tc>
        <w:tc>
          <w:tcPr>
            <w:tcW w:w="1220" w:type="dxa"/>
            <w:vAlign w:val="bottom"/>
          </w:tcPr>
          <w:p>
            <w:pPr>
              <w:ind w:left="160"/>
              <w:spacing w:after="0" w:line="68" w:lineRule="exact"/>
              <w:rPr>
                <w:sz w:val="20"/>
                <w:szCs w:val="20"/>
                <w:color w:val="auto"/>
              </w:rPr>
            </w:pPr>
            <w:r>
              <w:rPr>
                <w:rFonts w:ascii="Arial" w:cs="Arial" w:eastAsia="Arial" w:hAnsi="Arial"/>
                <w:sz w:val="7"/>
                <w:szCs w:val="7"/>
                <w:color w:val="auto"/>
              </w:rPr>
              <w:t>Debt ratio</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vMerge w:val="restart"/>
          </w:tcPr>
          <w:p>
            <w:pPr>
              <w:ind w:left="160"/>
              <w:spacing w:after="0" w:line="82" w:lineRule="exact"/>
              <w:rPr>
                <w:sz w:val="20"/>
                <w:szCs w:val="20"/>
                <w:color w:val="auto"/>
              </w:rPr>
            </w:pPr>
            <w:r>
              <w:rPr>
                <w:rFonts w:ascii="Arial" w:cs="Arial" w:eastAsia="Arial" w:hAnsi="Arial"/>
                <w:sz w:val="9"/>
                <w:szCs w:val="9"/>
                <w:color w:val="auto"/>
              </w:rPr>
              <w:t>Upstream</w:t>
            </w: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vMerge w:val="restart"/>
          </w:tcPr>
          <w:p>
            <w:pPr>
              <w:ind w:left="160"/>
              <w:spacing w:after="0" w:line="69" w:lineRule="exact"/>
              <w:rPr>
                <w:sz w:val="20"/>
                <w:szCs w:val="20"/>
                <w:color w:val="auto"/>
              </w:rPr>
            </w:pPr>
            <w:r>
              <w:rPr>
                <w:rFonts w:ascii="Arial" w:cs="Arial" w:eastAsia="Arial" w:hAnsi="Arial"/>
                <w:sz w:val="7"/>
                <w:szCs w:val="7"/>
                <w:color w:val="auto"/>
              </w:rPr>
              <w:t>Net debt*</w:t>
            </w:r>
          </w:p>
        </w:tc>
        <w:tc>
          <w:tcPr>
            <w:tcW w:w="10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vMerge w:val="restart"/>
          </w:tcPr>
          <w:p>
            <w:pPr>
              <w:ind w:left="160"/>
              <w:spacing w:after="0" w:line="69" w:lineRule="exact"/>
              <w:rPr>
                <w:sz w:val="20"/>
                <w:szCs w:val="20"/>
                <w:color w:val="auto"/>
              </w:rPr>
            </w:pPr>
            <w:r>
              <w:rPr>
                <w:rFonts w:ascii="Arial" w:cs="Arial" w:eastAsia="Arial" w:hAnsi="Arial"/>
                <w:sz w:val="7"/>
                <w:szCs w:val="7"/>
                <w:color w:val="auto"/>
              </w:rPr>
              <w:t>Net debt ratio*</w:t>
            </w:r>
          </w:p>
        </w:tc>
        <w:tc>
          <w:tcPr>
            <w:tcW w:w="0" w:type="dxa"/>
            <w:vAlign w:val="bottom"/>
          </w:tcPr>
          <w:p>
            <w:pPr>
              <w:spacing w:after="0" w:line="20" w:lineRule="exact"/>
              <w:rPr>
                <w:sz w:val="1"/>
                <w:szCs w:val="1"/>
                <w:color w:val="auto"/>
              </w:rPr>
            </w:pPr>
          </w:p>
        </w:tc>
      </w:tr>
      <w:tr>
        <w:trPr>
          <w:trHeight w:val="88"/>
        </w:trPr>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shd w:val="clear" w:color="auto" w:fill="009DD9"/>
          </w:tcPr>
          <w:p>
            <w:pPr>
              <w:spacing w:after="0"/>
              <w:rPr>
                <w:sz w:val="7"/>
                <w:szCs w:val="7"/>
                <w:color w:val="auto"/>
              </w:rPr>
            </w:pPr>
          </w:p>
        </w:tc>
        <w:tc>
          <w:tcPr>
            <w:tcW w:w="110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shd w:val="clear" w:color="auto" w:fill="0A2299"/>
          </w:tcPr>
          <w:p>
            <w:pPr>
              <w:spacing w:after="0"/>
              <w:rPr>
                <w:sz w:val="7"/>
                <w:szCs w:val="7"/>
                <w:color w:val="auto"/>
              </w:rPr>
            </w:pPr>
          </w:p>
        </w:tc>
        <w:tc>
          <w:tcPr>
            <w:tcW w:w="98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shd w:val="clear" w:color="auto" w:fill="0A2299"/>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ectPr>
          <w:pgSz w:w="11900" w:h="16838" w:orient="portrait"/>
          <w:cols w:equalWidth="0" w:num="1">
            <w:col w:w="11260"/>
          </w:cols>
          <w:pgMar w:left="300" w:top="414" w:right="339" w:bottom="1440" w:gutter="0" w:footer="0" w:header="0"/>
        </w:sectPr>
      </w:pPr>
    </w:p>
    <w:p>
      <w:pPr>
        <w:ind w:left="7160"/>
        <w:spacing w:after="0"/>
        <w:rPr>
          <w:sz w:val="20"/>
          <w:szCs w:val="20"/>
          <w:color w:val="auto"/>
        </w:rPr>
      </w:pPr>
      <w:r>
        <w:rPr>
          <w:rFonts w:ascii="Arial" w:cs="Arial" w:eastAsia="Arial" w:hAnsi="Arial"/>
          <w:sz w:val="9"/>
          <w:szCs w:val="9"/>
          <w:color w:val="auto"/>
        </w:rPr>
        <w:t>*Refer to pages 52-53 for</w:t>
      </w:r>
    </w:p>
    <w:p>
      <w:pPr>
        <w:ind w:left="7160"/>
        <w:spacing w:after="0"/>
        <w:rPr>
          <w:sz w:val="20"/>
          <w:szCs w:val="20"/>
          <w:color w:val="auto"/>
        </w:rPr>
      </w:pPr>
      <w:r>
        <w:rPr>
          <w:rFonts w:ascii="Arial" w:cs="Arial" w:eastAsia="Arial" w:hAnsi="Arial"/>
          <w:sz w:val="8"/>
          <w:szCs w:val="8"/>
          <w:color w:val="auto"/>
        </w:rPr>
        <w:t>calculations of debt ratio and</w:t>
      </w:r>
    </w:p>
    <w:p>
      <w:pPr>
        <w:spacing w:after="0" w:line="3" w:lineRule="exact"/>
        <w:rPr>
          <w:sz w:val="20"/>
          <w:szCs w:val="20"/>
          <w:color w:val="auto"/>
        </w:rPr>
      </w:pPr>
    </w:p>
    <w:p>
      <w:pPr>
        <w:ind w:left="7160"/>
        <w:spacing w:after="0"/>
        <w:rPr>
          <w:sz w:val="20"/>
          <w:szCs w:val="20"/>
          <w:color w:val="auto"/>
        </w:rPr>
      </w:pPr>
      <w:r>
        <w:rPr>
          <w:rFonts w:ascii="Arial" w:cs="Arial" w:eastAsia="Arial" w:hAnsi="Arial"/>
          <w:sz w:val="9"/>
          <w:szCs w:val="9"/>
          <w:color w:val="auto"/>
        </w:rPr>
        <w:t>net debt ratio</w:t>
      </w:r>
    </w:p>
    <w:p>
      <w:pPr>
        <w:spacing w:after="0" w:line="20" w:lineRule="exact"/>
        <w:rPr>
          <w:sz w:val="20"/>
          <w:szCs w:val="20"/>
          <w:color w:val="auto"/>
        </w:rPr>
      </w:pPr>
      <w:r>
        <w:rPr>
          <w:sz w:val="20"/>
          <w:szCs w:val="20"/>
          <w:color w:val="auto"/>
        </w:rPr>
        <w:br w:type="column"/>
      </w:r>
    </w:p>
    <w:p>
      <w:pPr>
        <w:ind w:right="380"/>
        <w:spacing w:after="0" w:line="312" w:lineRule="auto"/>
        <w:rPr>
          <w:sz w:val="20"/>
          <w:szCs w:val="20"/>
          <w:color w:val="auto"/>
        </w:rPr>
      </w:pPr>
      <w:r>
        <w:rPr>
          <w:rFonts w:ascii="Arial" w:cs="Arial" w:eastAsia="Arial" w:hAnsi="Arial"/>
          <w:sz w:val="8"/>
          <w:szCs w:val="8"/>
          <w:color w:val="auto"/>
        </w:rPr>
        <w:t>*Refer to pages 52-53 for calculations of debt ratio and net debt ratio</w:t>
      </w:r>
    </w:p>
    <w:p>
      <w:pPr>
        <w:spacing w:after="0" w:line="261" w:lineRule="exact"/>
        <w:rPr>
          <w:sz w:val="20"/>
          <w:szCs w:val="20"/>
          <w:color w:val="auto"/>
        </w:rPr>
      </w:pPr>
    </w:p>
    <w:p>
      <w:pPr>
        <w:sectPr>
          <w:pgSz w:w="11900" w:h="16838" w:orient="portrait"/>
          <w:cols w:equalWidth="0" w:num="2">
            <w:col w:w="8660" w:space="720"/>
            <w:col w:w="1880"/>
          </w:cols>
          <w:pgMar w:left="300" w:top="414" w:right="339" w:bottom="1440" w:gutter="0" w:footer="0" w:header="0"/>
          <w:type w:val="continuous"/>
        </w:sectPr>
      </w:pPr>
    </w:p>
    <w:p>
      <w:pPr>
        <w:spacing w:after="0" w:line="232"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The major debt rating agencies routinely evaluate the company’s debt, and the company’s cost of borrowing can increase or decrease depending on these debt ratings. The company has outstanding public bonds issued by Chevron Corporation, CUSA, Noble Energy, Inc. (Noble), and Texaco Capital Inc. Most of these securities are the obligations of, or guaranteed by, Chevron Corporation and are rated AA- by Standard and Poor’s Corporation and Aa2 by Moody’s Investors Service. The company’s U.S. commercial paper is rated A-1+ by Standard and Poor’s and P-1 by Moody’s. All of these ratings denote high-quality, investment-grade securities.</w:t>
      </w:r>
    </w:p>
    <w:p>
      <w:pPr>
        <w:spacing w:after="0" w:line="68"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The company’s future debt level is dependent primarily on results of operations, cash that may be generated from asset dispositions, the capital program, acquisitions, investments, lending commitments to affiliates and cash returned to shareholders. Based on its high-quality debt ratings, the company believes that it has substantial borrowing capacity to meet unanticipated cash requirements. During extended periods of low prices for crude oil and natural gas and narrow margins for refined products and commodity chemicals, the company has the ability to modify its capital spending plans and discontinue or curtail the stock repurchase program. This provides the flexibility to continue paying the common stock dividend and remain committed to retaining the company’s high-quality debt ratings.</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FF0000"/>
        </w:rPr>
        <w:t xml:space="preserve">Committed Credit Facilities </w:t>
      </w:r>
      <w:r>
        <w:rPr>
          <w:rFonts w:ascii="Times New Roman" w:cs="Times New Roman" w:eastAsia="Times New Roman" w:hAnsi="Times New Roman"/>
          <w:sz w:val="18"/>
          <w:szCs w:val="18"/>
          <w:color w:val="000000"/>
        </w:rPr>
        <w:t>Information related to committed credit facilities is included in</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u w:val="single" w:color="auto"/>
          <w:color w:val="0000FF"/>
        </w:rPr>
        <w:t>Note 19 Short-Term Debt</w:t>
      </w:r>
      <w:r>
        <w:rPr>
          <w:rFonts w:ascii="Times New Roman" w:cs="Times New Roman" w:eastAsia="Times New Roman" w:hAnsi="Times New Roman"/>
          <w:sz w:val="18"/>
          <w:szCs w:val="18"/>
          <w:color w:val="000000"/>
        </w:rPr>
        <w:t>.</w:t>
      </w:r>
    </w:p>
    <w:p>
      <w:pPr>
        <w:spacing w:after="0" w:line="117"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Summarized Financial Information for Guarantee of Securities of Subsidiaries </w:t>
      </w:r>
      <w:r>
        <w:rPr>
          <w:rFonts w:ascii="Times New Roman" w:cs="Times New Roman" w:eastAsia="Times New Roman" w:hAnsi="Times New Roman"/>
          <w:sz w:val="18"/>
          <w:szCs w:val="18"/>
          <w:color w:val="000000"/>
        </w:rPr>
        <w:t>CUSA issued bonds that are fully and unconditionally guaranteed on an</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unsecured basis by Chevron Corporation (together, the “Obligor Group”). The tables below contain summary financial information for Chevron Corporation, as Guarantor, excluding its consolidated subsidiaries, and CUSA, as the issuer, excluding its consolidated subsidiaries. The summary financial information of the Obligor Group is presented on a combined basis, and transactions between the combined entities have been eliminated. Financial information for non-guarantor entities has been excluded. In the year ended December 31, 2024, the Obligor Group recognized an increase in “Net income (loss)” and reduction in “Current liability - related party” and “Total net equity (deficit)” following the resolution of outstanding balances with subsidiaries outside of the Obligor Group.</w:t>
      </w:r>
    </w:p>
    <w:p>
      <w:pPr>
        <w:spacing w:after="0" w:line="107"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7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At December 31,</w:t>
            </w:r>
          </w:p>
        </w:tc>
      </w:tr>
      <w:tr>
        <w:trPr>
          <w:trHeight w:val="23"/>
        </w:trPr>
        <w:tc>
          <w:tcPr>
            <w:tcW w:w="7480" w:type="dxa"/>
            <w:vAlign w:val="bottom"/>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132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r>
      <w:tr>
        <w:trPr>
          <w:trHeight w:val="190"/>
        </w:trPr>
        <w:tc>
          <w:tcPr>
            <w:tcW w:w="7480" w:type="dxa"/>
            <w:vAlign w:val="bottom"/>
          </w:tcPr>
          <w:p>
            <w:pPr>
              <w:spacing w:after="0"/>
              <w:rPr>
                <w:sz w:val="16"/>
                <w:szCs w:val="16"/>
                <w:color w:val="auto"/>
              </w:rPr>
            </w:pPr>
          </w:p>
        </w:tc>
        <w:tc>
          <w:tcPr>
            <w:tcW w:w="560" w:type="dxa"/>
            <w:vAlign w:val="bottom"/>
            <w:tcBorders>
              <w:bottom w:val="single" w:sz="8" w:color="0077C0"/>
            </w:tcBorders>
          </w:tcPr>
          <w:p>
            <w:pPr>
              <w:spacing w:after="0"/>
              <w:rPr>
                <w:sz w:val="16"/>
                <w:szCs w:val="16"/>
                <w:color w:val="auto"/>
              </w:rPr>
            </w:pPr>
          </w:p>
        </w:tc>
        <w:tc>
          <w:tcPr>
            <w:tcW w:w="13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Borders>
              <w:bottom w:val="single" w:sz="8" w:color="0077C0"/>
            </w:tcBorders>
          </w:tcPr>
          <w:p>
            <w:pPr>
              <w:spacing w:after="0"/>
              <w:rPr>
                <w:sz w:val="16"/>
                <w:szCs w:val="16"/>
                <w:color w:val="auto"/>
              </w:rPr>
            </w:pPr>
          </w:p>
        </w:tc>
        <w:tc>
          <w:tcPr>
            <w:tcW w:w="10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7480" w:type="dxa"/>
            <w:vAlign w:val="bottom"/>
            <w:tcBorders>
              <w:bottom w:val="single" w:sz="8" w:color="0077C0"/>
            </w:tcBorders>
          </w:tcPr>
          <w:p>
            <w:pPr>
              <w:spacing w:after="0"/>
              <w:rPr>
                <w:sz w:val="14"/>
                <w:szCs w:val="14"/>
                <w:color w:val="auto"/>
              </w:rPr>
            </w:pPr>
          </w:p>
        </w:tc>
        <w:tc>
          <w:tcPr>
            <w:tcW w:w="560" w:type="dxa"/>
            <w:vAlign w:val="bottom"/>
            <w:tcBorders>
              <w:bottom w:val="single" w:sz="8" w:color="0077C0"/>
            </w:tcBorders>
          </w:tcPr>
          <w:p>
            <w:pPr>
              <w:spacing w:after="0"/>
              <w:rPr>
                <w:sz w:val="14"/>
                <w:szCs w:val="14"/>
                <w:color w:val="auto"/>
              </w:rPr>
            </w:pPr>
          </w:p>
        </w:tc>
        <w:tc>
          <w:tcPr>
            <w:tcW w:w="2200" w:type="dxa"/>
            <w:vAlign w:val="bottom"/>
            <w:tcBorders>
              <w:bottom w:val="single" w:sz="8" w:color="0077C0"/>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(Millions of dollars) (unaudited)</w:t>
            </w:r>
          </w:p>
        </w:tc>
        <w:tc>
          <w:tcPr>
            <w:tcW w:w="1000" w:type="dxa"/>
            <w:vAlign w:val="bottom"/>
            <w:tcBorders>
              <w:bottom w:val="single" w:sz="8" w:color="0077C0"/>
            </w:tcBorders>
          </w:tcPr>
          <w:p>
            <w:pPr>
              <w:spacing w:after="0"/>
              <w:rPr>
                <w:sz w:val="14"/>
                <w:szCs w:val="14"/>
                <w:color w:val="auto"/>
              </w:rPr>
            </w:pPr>
          </w:p>
        </w:tc>
      </w:tr>
      <w:tr>
        <w:trPr>
          <w:trHeight w:val="188"/>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other operating revenues</w:t>
            </w:r>
          </w:p>
        </w:tc>
        <w:tc>
          <w:tcPr>
            <w:tcW w:w="5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96,035</w:t>
            </w:r>
          </w:p>
        </w:tc>
        <w:tc>
          <w:tcPr>
            <w:tcW w:w="880" w:type="dxa"/>
            <w:vAlign w:val="bottom"/>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100,405</w:t>
            </w:r>
          </w:p>
        </w:tc>
      </w:tr>
      <w:tr>
        <w:trPr>
          <w:trHeight w:val="191"/>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other operating revenues - related party</w:t>
            </w:r>
          </w:p>
        </w:tc>
        <w:tc>
          <w:tcPr>
            <w:tcW w:w="560" w:type="dxa"/>
            <w:vAlign w:val="bottom"/>
          </w:tcPr>
          <w:p>
            <w:pPr>
              <w:spacing w:after="0"/>
              <w:rPr>
                <w:sz w:val="16"/>
                <w:szCs w:val="16"/>
                <w:color w:val="auto"/>
              </w:rPr>
            </w:pP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43,562</w:t>
            </w:r>
          </w:p>
        </w:tc>
        <w:tc>
          <w:tcPr>
            <w:tcW w:w="8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44,553</w:t>
            </w:r>
          </w:p>
        </w:tc>
      </w:tr>
      <w:tr>
        <w:trPr>
          <w:trHeight w:val="203"/>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costs and other deductions</w:t>
            </w:r>
          </w:p>
        </w:tc>
        <w:tc>
          <w:tcPr>
            <w:tcW w:w="560" w:type="dxa"/>
            <w:vAlign w:val="bottom"/>
          </w:tcPr>
          <w:p>
            <w:pPr>
              <w:spacing w:after="0"/>
              <w:rPr>
                <w:sz w:val="17"/>
                <w:szCs w:val="17"/>
                <w:color w:val="auto"/>
              </w:rPr>
            </w:pP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102,116</w:t>
            </w:r>
          </w:p>
        </w:tc>
        <w:tc>
          <w:tcPr>
            <w:tcW w:w="8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102,773</w:t>
            </w:r>
          </w:p>
        </w:tc>
      </w:tr>
      <w:tr>
        <w:trPr>
          <w:trHeight w:val="203"/>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costs and other deductions - related party</w:t>
            </w:r>
          </w:p>
        </w:tc>
        <w:tc>
          <w:tcPr>
            <w:tcW w:w="560" w:type="dxa"/>
            <w:vAlign w:val="bottom"/>
          </w:tcPr>
          <w:p>
            <w:pPr>
              <w:spacing w:after="0"/>
              <w:rPr>
                <w:sz w:val="17"/>
                <w:szCs w:val="17"/>
                <w:color w:val="auto"/>
              </w:rPr>
            </w:pP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35,454</w:t>
            </w:r>
          </w:p>
        </w:tc>
        <w:tc>
          <w:tcPr>
            <w:tcW w:w="8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35,781</w:t>
            </w:r>
          </w:p>
        </w:tc>
      </w:tr>
      <w:tr>
        <w:trPr>
          <w:trHeight w:val="203"/>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5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73,119</w:t>
            </w:r>
          </w:p>
        </w:tc>
        <w:tc>
          <w:tcPr>
            <w:tcW w:w="880" w:type="dxa"/>
            <w:vAlign w:val="bottom"/>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12,190</w:t>
            </w:r>
          </w:p>
        </w:tc>
      </w:tr>
      <w:tr>
        <w:trPr>
          <w:trHeight w:val="24"/>
        </w:trPr>
        <w:tc>
          <w:tcPr>
            <w:tcW w:w="7480" w:type="dxa"/>
            <w:vAlign w:val="bottom"/>
            <w:tcBorders>
              <w:bottom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132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60"/>
          </w:cols>
          <w:pgMar w:left="300" w:top="414" w:right="339" w:bottom="1440" w:gutter="0" w:footer="0" w:header="0"/>
          <w:type w:val="continuous"/>
        </w:sect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414" w:right="339" w:bottom="1440"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190"/>
        </w:trPr>
        <w:tc>
          <w:tcPr>
            <w:tcW w:w="7500" w:type="dxa"/>
            <w:vAlign w:val="bottom"/>
            <w:gridSpan w:val="2"/>
          </w:tcPr>
          <w:p>
            <w:pPr>
              <w:spacing w:after="0"/>
              <w:rPr>
                <w:sz w:val="20"/>
                <w:szCs w:val="20"/>
                <w:color w:val="auto"/>
              </w:rPr>
            </w:pPr>
            <w:r>
              <w:rPr>
                <w:rFonts w:ascii="Arial" w:cs="Arial" w:eastAsia="Arial" w:hAnsi="Arial"/>
                <w:sz w:val="14"/>
                <w:szCs w:val="14"/>
                <w:color w:val="0077C0"/>
              </w:rPr>
              <w:t>Management’s Discussion and Analysis of Financial Condition and Results of Operations</w:t>
            </w:r>
          </w:p>
        </w:tc>
        <w:tc>
          <w:tcPr>
            <w:tcW w:w="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900" w:type="dxa"/>
            <w:vAlign w:val="bottom"/>
            <w:gridSpan w:val="2"/>
          </w:tcPr>
          <w:p>
            <w:pPr>
              <w:jc w:val="right"/>
              <w:ind w:right="28"/>
              <w:spacing w:after="0"/>
              <w:rPr>
                <w:sz w:val="20"/>
                <w:szCs w:val="20"/>
                <w:color w:val="auto"/>
              </w:rPr>
            </w:pPr>
            <w:r>
              <w:rPr>
                <w:rFonts w:ascii="Arial" w:cs="Arial" w:eastAsia="Arial" w:hAnsi="Arial"/>
                <w:sz w:val="14"/>
                <w:szCs w:val="14"/>
                <w:color w:val="0077C0"/>
              </w:rPr>
              <w:t>Financial Table of Contents</w:t>
            </w:r>
          </w:p>
        </w:tc>
      </w:tr>
      <w:tr>
        <w:trPr>
          <w:trHeight w:val="713"/>
        </w:trPr>
        <w:tc>
          <w:tcPr>
            <w:tcW w:w="2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At December 31,</w:t>
            </w:r>
          </w:p>
        </w:tc>
      </w:tr>
      <w:tr>
        <w:trPr>
          <w:trHeight w:val="23"/>
        </w:trPr>
        <w:tc>
          <w:tcPr>
            <w:tcW w:w="20" w:type="dxa"/>
            <w:vAlign w:val="bottom"/>
          </w:tcPr>
          <w:p>
            <w:pPr>
              <w:spacing w:after="0"/>
              <w:rPr>
                <w:sz w:val="2"/>
                <w:szCs w:val="2"/>
                <w:color w:val="auto"/>
              </w:rPr>
            </w:pPr>
          </w:p>
        </w:tc>
        <w:tc>
          <w:tcPr>
            <w:tcW w:w="7480" w:type="dxa"/>
            <w:vAlign w:val="bottom"/>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1300" w:type="dxa"/>
            <w:vAlign w:val="bottom"/>
            <w:tcBorders>
              <w:bottom w:val="single" w:sz="8" w:color="0077C0"/>
            </w:tcBorders>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7480" w:type="dxa"/>
            <w:vAlign w:val="bottom"/>
          </w:tcPr>
          <w:p>
            <w:pPr>
              <w:spacing w:after="0"/>
              <w:rPr>
                <w:sz w:val="16"/>
                <w:szCs w:val="16"/>
                <w:color w:val="auto"/>
              </w:rPr>
            </w:pPr>
          </w:p>
        </w:tc>
        <w:tc>
          <w:tcPr>
            <w:tcW w:w="560" w:type="dxa"/>
            <w:vAlign w:val="bottom"/>
            <w:tcBorders>
              <w:bottom w:val="single" w:sz="8" w:color="0077C0"/>
            </w:tcBorders>
          </w:tcPr>
          <w:p>
            <w:pPr>
              <w:spacing w:after="0"/>
              <w:rPr>
                <w:sz w:val="16"/>
                <w:szCs w:val="16"/>
                <w:color w:val="auto"/>
              </w:rPr>
            </w:pPr>
          </w:p>
        </w:tc>
        <w:tc>
          <w:tcPr>
            <w:tcW w:w="13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Borders>
              <w:bottom w:val="single" w:sz="8" w:color="0077C0"/>
            </w:tcBorders>
          </w:tcPr>
          <w:p>
            <w:pPr>
              <w:spacing w:after="0"/>
              <w:rPr>
                <w:sz w:val="16"/>
                <w:szCs w:val="16"/>
                <w:color w:val="auto"/>
              </w:rPr>
            </w:pPr>
          </w:p>
        </w:tc>
        <w:tc>
          <w:tcPr>
            <w:tcW w:w="10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196"/>
        </w:trPr>
        <w:tc>
          <w:tcPr>
            <w:tcW w:w="20" w:type="dxa"/>
            <w:vAlign w:val="bottom"/>
          </w:tcPr>
          <w:p>
            <w:pPr>
              <w:spacing w:after="0"/>
              <w:rPr>
                <w:sz w:val="17"/>
                <w:szCs w:val="17"/>
                <w:color w:val="auto"/>
              </w:rPr>
            </w:pPr>
          </w:p>
        </w:tc>
        <w:tc>
          <w:tcPr>
            <w:tcW w:w="7480" w:type="dxa"/>
            <w:vAlign w:val="bottom"/>
            <w:tcBorders>
              <w:bottom w:val="single" w:sz="8" w:color="0077C0"/>
            </w:tcBorders>
          </w:tcPr>
          <w:p>
            <w:pPr>
              <w:spacing w:after="0"/>
              <w:rPr>
                <w:sz w:val="17"/>
                <w:szCs w:val="17"/>
                <w:color w:val="auto"/>
              </w:rPr>
            </w:pPr>
          </w:p>
        </w:tc>
        <w:tc>
          <w:tcPr>
            <w:tcW w:w="560" w:type="dxa"/>
            <w:vAlign w:val="bottom"/>
            <w:tcBorders>
              <w:bottom w:val="single" w:sz="8" w:color="0077C0"/>
            </w:tcBorders>
          </w:tcPr>
          <w:p>
            <w:pPr>
              <w:spacing w:after="0"/>
              <w:rPr>
                <w:sz w:val="17"/>
                <w:szCs w:val="17"/>
                <w:color w:val="auto"/>
              </w:rPr>
            </w:pPr>
          </w:p>
        </w:tc>
        <w:tc>
          <w:tcPr>
            <w:tcW w:w="2200" w:type="dxa"/>
            <w:vAlign w:val="bottom"/>
            <w:tcBorders>
              <w:bottom w:val="single" w:sz="8" w:color="0077C0"/>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(Millions of dollars) (unaudited)</w:t>
            </w:r>
          </w:p>
        </w:tc>
        <w:tc>
          <w:tcPr>
            <w:tcW w:w="1000" w:type="dxa"/>
            <w:vAlign w:val="bottom"/>
            <w:tcBorders>
              <w:bottom w:val="single" w:sz="8" w:color="0077C0"/>
            </w:tcBorders>
          </w:tcPr>
          <w:p>
            <w:pPr>
              <w:spacing w:after="0"/>
              <w:rPr>
                <w:sz w:val="17"/>
                <w:szCs w:val="17"/>
                <w:color w:val="auto"/>
              </w:rPr>
            </w:pPr>
          </w:p>
        </w:tc>
      </w:tr>
      <w:tr>
        <w:trPr>
          <w:trHeight w:val="190"/>
        </w:trPr>
        <w:tc>
          <w:tcPr>
            <w:tcW w:w="20" w:type="dxa"/>
            <w:vAlign w:val="bottom"/>
          </w:tcPr>
          <w:p>
            <w:pPr>
              <w:spacing w:after="0"/>
              <w:rPr>
                <w:sz w:val="16"/>
                <w:szCs w:val="16"/>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5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16,918</w:t>
            </w:r>
          </w:p>
        </w:tc>
        <w:tc>
          <w:tcPr>
            <w:tcW w:w="900" w:type="dxa"/>
            <w:vAlign w:val="bottom"/>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19,006</w:t>
            </w:r>
          </w:p>
        </w:tc>
      </w:tr>
      <w:tr>
        <w:trPr>
          <w:trHeight w:val="191"/>
        </w:trPr>
        <w:tc>
          <w:tcPr>
            <w:tcW w:w="20" w:type="dxa"/>
            <w:vAlign w:val="bottom"/>
          </w:tcPr>
          <w:p>
            <w:pPr>
              <w:spacing w:after="0"/>
              <w:rPr>
                <w:sz w:val="16"/>
                <w:szCs w:val="16"/>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 - related party</w:t>
            </w:r>
          </w:p>
        </w:tc>
        <w:tc>
          <w:tcPr>
            <w:tcW w:w="560" w:type="dxa"/>
            <w:vAlign w:val="bottom"/>
          </w:tcPr>
          <w:p>
            <w:pPr>
              <w:spacing w:after="0"/>
              <w:rPr>
                <w:sz w:val="16"/>
                <w:szCs w:val="16"/>
                <w:color w:val="auto"/>
              </w:rPr>
            </w:pP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2,626</w:t>
            </w:r>
          </w:p>
        </w:tc>
        <w:tc>
          <w:tcPr>
            <w:tcW w:w="9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18,375</w:t>
            </w:r>
          </w:p>
        </w:tc>
      </w:tr>
      <w:tr>
        <w:trPr>
          <w:trHeight w:val="203"/>
        </w:trPr>
        <w:tc>
          <w:tcPr>
            <w:tcW w:w="20" w:type="dxa"/>
            <w:vAlign w:val="bottom"/>
          </w:tcPr>
          <w:p>
            <w:pPr>
              <w:spacing w:after="0"/>
              <w:rPr>
                <w:sz w:val="17"/>
                <w:szCs w:val="17"/>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560" w:type="dxa"/>
            <w:vAlign w:val="bottom"/>
          </w:tcPr>
          <w:p>
            <w:pPr>
              <w:spacing w:after="0"/>
              <w:rPr>
                <w:sz w:val="17"/>
                <w:szCs w:val="17"/>
                <w:color w:val="auto"/>
              </w:rPr>
            </w:pP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57,921</w:t>
            </w:r>
          </w:p>
        </w:tc>
        <w:tc>
          <w:tcPr>
            <w:tcW w:w="9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54,558</w:t>
            </w:r>
          </w:p>
        </w:tc>
      </w:tr>
      <w:tr>
        <w:trPr>
          <w:trHeight w:val="203"/>
        </w:trPr>
        <w:tc>
          <w:tcPr>
            <w:tcW w:w="20" w:type="dxa"/>
            <w:vAlign w:val="bottom"/>
          </w:tcPr>
          <w:p>
            <w:pPr>
              <w:spacing w:after="0"/>
              <w:rPr>
                <w:sz w:val="17"/>
                <w:szCs w:val="17"/>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560" w:type="dxa"/>
            <w:vAlign w:val="bottom"/>
          </w:tcPr>
          <w:p>
            <w:pPr>
              <w:spacing w:after="0"/>
              <w:rPr>
                <w:sz w:val="17"/>
                <w:szCs w:val="17"/>
                <w:color w:val="auto"/>
              </w:rPr>
            </w:pP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30,563</w:t>
            </w:r>
          </w:p>
        </w:tc>
        <w:tc>
          <w:tcPr>
            <w:tcW w:w="9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20,512</w:t>
            </w:r>
          </w:p>
        </w:tc>
      </w:tr>
      <w:tr>
        <w:trPr>
          <w:trHeight w:val="203"/>
        </w:trPr>
        <w:tc>
          <w:tcPr>
            <w:tcW w:w="20" w:type="dxa"/>
            <w:vAlign w:val="bottom"/>
          </w:tcPr>
          <w:p>
            <w:pPr>
              <w:spacing w:after="0"/>
              <w:rPr>
                <w:sz w:val="17"/>
                <w:szCs w:val="17"/>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 - related party</w:t>
            </w:r>
          </w:p>
        </w:tc>
        <w:tc>
          <w:tcPr>
            <w:tcW w:w="560" w:type="dxa"/>
            <w:vAlign w:val="bottom"/>
          </w:tcPr>
          <w:p>
            <w:pPr>
              <w:spacing w:after="0"/>
              <w:rPr>
                <w:sz w:val="17"/>
                <w:szCs w:val="17"/>
                <w:color w:val="auto"/>
              </w:rPr>
            </w:pP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22,997</w:t>
            </w:r>
          </w:p>
        </w:tc>
        <w:tc>
          <w:tcPr>
            <w:tcW w:w="9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132,474</w:t>
            </w:r>
          </w:p>
        </w:tc>
      </w:tr>
      <w:tr>
        <w:trPr>
          <w:trHeight w:val="203"/>
        </w:trPr>
        <w:tc>
          <w:tcPr>
            <w:tcW w:w="20" w:type="dxa"/>
            <w:vAlign w:val="bottom"/>
          </w:tcPr>
          <w:p>
            <w:pPr>
              <w:spacing w:after="0"/>
              <w:rPr>
                <w:sz w:val="17"/>
                <w:szCs w:val="17"/>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560" w:type="dxa"/>
            <w:vAlign w:val="bottom"/>
          </w:tcPr>
          <w:p>
            <w:pPr>
              <w:spacing w:after="0"/>
              <w:rPr>
                <w:sz w:val="17"/>
                <w:szCs w:val="17"/>
                <w:color w:val="auto"/>
              </w:rPr>
            </w:pP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23,719</w:t>
            </w:r>
          </w:p>
        </w:tc>
        <w:tc>
          <w:tcPr>
            <w:tcW w:w="9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28,849</w:t>
            </w:r>
          </w:p>
        </w:tc>
      </w:tr>
      <w:tr>
        <w:trPr>
          <w:trHeight w:val="23"/>
        </w:trPr>
        <w:tc>
          <w:tcPr>
            <w:tcW w:w="20" w:type="dxa"/>
            <w:vAlign w:val="bottom"/>
          </w:tcPr>
          <w:p>
            <w:pPr>
              <w:spacing w:after="0"/>
              <w:rPr>
                <w:sz w:val="2"/>
                <w:szCs w:val="2"/>
                <w:color w:val="auto"/>
              </w:rPr>
            </w:pPr>
          </w:p>
        </w:tc>
        <w:tc>
          <w:tcPr>
            <w:tcW w:w="7480" w:type="dxa"/>
            <w:vAlign w:val="bottom"/>
            <w:tcBorders>
              <w:bottom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1300" w:type="dxa"/>
            <w:vAlign w:val="bottom"/>
            <w:tcBorders>
              <w:bottom w:val="single" w:sz="8" w:color="0077C0"/>
            </w:tcBorders>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748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net equity (deficit)</w:t>
            </w:r>
          </w:p>
        </w:tc>
        <w:tc>
          <w:tcPr>
            <w:tcW w:w="560" w:type="dxa"/>
            <w:vAlign w:val="bottom"/>
            <w:tcBorders>
              <w:bottom w:val="single" w:sz="8" w:color="0077C0"/>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bottom w:val="single" w:sz="8" w:color="0077C0"/>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186</w:t>
            </w:r>
          </w:p>
        </w:tc>
        <w:tc>
          <w:tcPr>
            <w:tcW w:w="900" w:type="dxa"/>
            <w:vAlign w:val="bottom"/>
            <w:tcBorders>
              <w:bottom w:val="single" w:sz="8" w:color="0077C0"/>
            </w:tcBorders>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(89,896)</w:t>
            </w:r>
          </w:p>
        </w:tc>
      </w:tr>
    </w:tbl>
    <w:p>
      <w:pPr>
        <w:spacing w:after="0" w:line="383" w:lineRule="exact"/>
        <w:rPr>
          <w:sz w:val="20"/>
          <w:szCs w:val="20"/>
          <w:color w:val="auto"/>
        </w:rPr>
      </w:pPr>
    </w:p>
    <w:p>
      <w:pPr>
        <w:jc w:val="both"/>
        <w:ind w:left="20"/>
        <w:spacing w:after="0" w:line="271"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Common Stock Repurchase Program </w:t>
      </w:r>
      <w:r>
        <w:rPr>
          <w:rFonts w:ascii="Times New Roman" w:cs="Times New Roman" w:eastAsia="Times New Roman" w:hAnsi="Times New Roman"/>
          <w:sz w:val="18"/>
          <w:szCs w:val="18"/>
          <w:color w:val="000000"/>
        </w:rPr>
        <w:t>On January 25, 2023, the Board of Directors authorized the repurchase of the company’s shares of common stock in</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an aggregate amount of $75 billion (the “2023 Program”). The 2023 Program took effect on April 1, 2023, and does not have a fixed expiration date. During 2024, the company purchased a total of 100.4 million shares for $15.2 billion and paid an additional $145 million in excise taxes related to 2023 buybacks. As of December 31, 2024, the company had purchased a total of 170.9 million shares for $26.4 billion excluding excise taxes, resulting in $48.6 billion remaining under the 2023 Program.</w:t>
      </w:r>
    </w:p>
    <w:p>
      <w:pPr>
        <w:spacing w:after="0" w:line="50" w:lineRule="exact"/>
        <w:rPr>
          <w:sz w:val="20"/>
          <w:szCs w:val="20"/>
          <w:color w:val="auto"/>
        </w:rPr>
      </w:pPr>
    </w:p>
    <w:p>
      <w:pPr>
        <w:jc w:val="both"/>
        <w:ind w:left="20"/>
        <w:spacing w:after="0" w:line="271" w:lineRule="auto"/>
        <w:rPr>
          <w:sz w:val="20"/>
          <w:szCs w:val="20"/>
          <w:color w:val="auto"/>
        </w:rPr>
      </w:pPr>
      <w:r>
        <w:rPr>
          <w:rFonts w:ascii="Times New Roman" w:cs="Times New Roman" w:eastAsia="Times New Roman" w:hAnsi="Times New Roman"/>
          <w:sz w:val="18"/>
          <w:szCs w:val="18"/>
          <w:color w:val="auto"/>
        </w:rPr>
        <w:t>Repurchases of shares of the company’s common stock may be made from time to time in the open market, by block purchases, in privately negotiated transactions or in such other manner as determined by the company. The timing of the repurchases and the actual amount repurchased will depend on a variety of factors, including the market price of the company’s shares, general market and economic conditions, and other factors. The stock repurchase program does not obligate the company to acquire any particular amount of common stock and may be suspended or discontinued at any time.</w:t>
      </w:r>
    </w:p>
    <w:p>
      <w:pPr>
        <w:spacing w:after="0" w:line="47" w:lineRule="exact"/>
        <w:rPr>
          <w:sz w:val="20"/>
          <w:szCs w:val="20"/>
          <w:color w:val="auto"/>
        </w:rPr>
      </w:pPr>
    </w:p>
    <w:p>
      <w:pPr>
        <w:jc w:val="both"/>
        <w:ind w:left="20" w:right="20"/>
        <w:spacing w:after="0" w:line="302"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Capital Expenditures </w:t>
      </w:r>
      <w:r>
        <w:rPr>
          <w:rFonts w:ascii="Times New Roman" w:cs="Times New Roman" w:eastAsia="Times New Roman" w:hAnsi="Times New Roman"/>
          <w:sz w:val="18"/>
          <w:szCs w:val="18"/>
          <w:color w:val="000000"/>
        </w:rPr>
        <w:t>Capital expenditures (Capex) primarily includes additions to fixed asset or investment accounts for the company’s consolidated</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subsidiaries and is disclosed in the Consolidated Statement of Cash Flows. Capex by business segment for 2024, 2023 and 2022 is as follows: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3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Year ended December 31</w:t>
            </w: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Capex</w:t>
            </w:r>
          </w:p>
        </w:tc>
        <w:tc>
          <w:tcPr>
            <w:tcW w:w="24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240" w:type="dxa"/>
            <w:vAlign w:val="bottom"/>
            <w:tcBorders>
              <w:bottom w:val="single" w:sz="8" w:color="0077C0"/>
            </w:tcBorders>
          </w:tcPr>
          <w:p>
            <w:pPr>
              <w:spacing w:after="0"/>
              <w:rPr>
                <w:sz w:val="2"/>
                <w:szCs w:val="2"/>
                <w:color w:val="auto"/>
              </w:rPr>
            </w:pPr>
          </w:p>
        </w:tc>
        <w:tc>
          <w:tcPr>
            <w:tcW w:w="760" w:type="dxa"/>
            <w:vAlign w:val="bottom"/>
            <w:tcBorders>
              <w:bottom w:val="single" w:sz="8" w:color="0077C0"/>
            </w:tcBorders>
          </w:tcPr>
          <w:p>
            <w:pPr>
              <w:spacing w:after="0"/>
              <w:rPr>
                <w:sz w:val="2"/>
                <w:szCs w:val="2"/>
                <w:color w:val="auto"/>
              </w:rPr>
            </w:pPr>
          </w:p>
        </w:tc>
        <w:tc>
          <w:tcPr>
            <w:tcW w:w="34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740" w:type="dxa"/>
            <w:vAlign w:val="bottom"/>
            <w:tcBorders>
              <w:bottom w:val="single" w:sz="8" w:color="0077C0"/>
            </w:tcBorders>
          </w:tcPr>
          <w:p>
            <w:pPr>
              <w:spacing w:after="0"/>
              <w:rPr>
                <w:sz w:val="2"/>
                <w:szCs w:val="2"/>
                <w:color w:val="auto"/>
              </w:rPr>
            </w:pPr>
          </w:p>
        </w:tc>
        <w:tc>
          <w:tcPr>
            <w:tcW w:w="38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000" w:type="dxa"/>
            <w:vAlign w:val="bottom"/>
            <w:vMerge w:val="continue"/>
          </w:tcPr>
          <w:p>
            <w:pPr>
              <w:spacing w:after="0"/>
              <w:rPr>
                <w:sz w:val="16"/>
                <w:szCs w:val="16"/>
                <w:color w:val="auto"/>
              </w:rPr>
            </w:pPr>
          </w:p>
        </w:tc>
        <w:tc>
          <w:tcPr>
            <w:tcW w:w="24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spacing w:after="0"/>
              <w:rPr>
                <w:sz w:val="16"/>
                <w:szCs w:val="16"/>
                <w:color w:val="auto"/>
              </w:rPr>
            </w:pPr>
          </w:p>
        </w:tc>
        <w:tc>
          <w:tcPr>
            <w:tcW w:w="280" w:type="dxa"/>
            <w:vAlign w:val="bottom"/>
            <w:tcBorders>
              <w:bottom w:val="single" w:sz="8" w:color="0077C0"/>
            </w:tcBorders>
          </w:tcPr>
          <w:p>
            <w:pPr>
              <w:spacing w:after="0"/>
              <w:rPr>
                <w:sz w:val="16"/>
                <w:szCs w:val="16"/>
                <w:color w:val="auto"/>
              </w:rPr>
            </w:pPr>
          </w:p>
        </w:tc>
        <w:tc>
          <w:tcPr>
            <w:tcW w:w="580" w:type="dxa"/>
            <w:vAlign w:val="bottom"/>
            <w:tcBorders>
              <w:bottom w:val="single" w:sz="8" w:color="0077C0"/>
            </w:tcBorders>
          </w:tcPr>
          <w:p>
            <w:pPr>
              <w:spacing w:after="0"/>
              <w:rPr>
                <w:sz w:val="16"/>
                <w:szCs w:val="16"/>
                <w:color w:val="auto"/>
              </w:rPr>
            </w:pPr>
          </w:p>
        </w:tc>
        <w:tc>
          <w:tcPr>
            <w:tcW w:w="240" w:type="dxa"/>
            <w:vAlign w:val="bottom"/>
            <w:tcBorders>
              <w:bottom w:val="single" w:sz="8" w:color="0077C0"/>
            </w:tcBorders>
          </w:tcPr>
          <w:p>
            <w:pPr>
              <w:spacing w:after="0"/>
              <w:rPr>
                <w:sz w:val="16"/>
                <w:szCs w:val="16"/>
                <w:color w:val="auto"/>
              </w:rPr>
            </w:pPr>
          </w:p>
        </w:tc>
        <w:tc>
          <w:tcPr>
            <w:tcW w:w="760" w:type="dxa"/>
            <w:vAlign w:val="bottom"/>
            <w:tcBorders>
              <w:bottom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spacing w:after="0"/>
              <w:rPr>
                <w:sz w:val="16"/>
                <w:szCs w:val="16"/>
                <w:color w:val="auto"/>
              </w:rPr>
            </w:pPr>
          </w:p>
        </w:tc>
        <w:tc>
          <w:tcPr>
            <w:tcW w:w="280" w:type="dxa"/>
            <w:vAlign w:val="bottom"/>
            <w:tcBorders>
              <w:bottom w:val="single" w:sz="8" w:color="0077C0"/>
            </w:tcBorders>
          </w:tcPr>
          <w:p>
            <w:pPr>
              <w:spacing w:after="0"/>
              <w:rPr>
                <w:sz w:val="16"/>
                <w:szCs w:val="16"/>
                <w:color w:val="auto"/>
              </w:rPr>
            </w:pPr>
          </w:p>
        </w:tc>
        <w:tc>
          <w:tcPr>
            <w:tcW w:w="580" w:type="dxa"/>
            <w:vAlign w:val="bottom"/>
            <w:tcBorders>
              <w:bottom w:val="single" w:sz="8" w:color="0077C0"/>
            </w:tcBorders>
          </w:tcPr>
          <w:p>
            <w:pPr>
              <w:spacing w:after="0"/>
              <w:rPr>
                <w:sz w:val="16"/>
                <w:szCs w:val="16"/>
                <w:color w:val="auto"/>
              </w:rPr>
            </w:pPr>
          </w:p>
        </w:tc>
        <w:tc>
          <w:tcPr>
            <w:tcW w:w="260" w:type="dxa"/>
            <w:vAlign w:val="bottom"/>
            <w:tcBorders>
              <w:bottom w:val="single" w:sz="8" w:color="0077C0"/>
            </w:tcBorders>
          </w:tcPr>
          <w:p>
            <w:pPr>
              <w:spacing w:after="0"/>
              <w:rPr>
                <w:sz w:val="16"/>
                <w:szCs w:val="16"/>
                <w:color w:val="auto"/>
              </w:rPr>
            </w:pPr>
          </w:p>
        </w:tc>
        <w:tc>
          <w:tcPr>
            <w:tcW w:w="74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color w:val="auto"/>
              </w:rPr>
              <w:t>2023</w:t>
            </w:r>
          </w:p>
        </w:tc>
        <w:tc>
          <w:tcPr>
            <w:tcW w:w="380" w:type="dxa"/>
            <w:vAlign w:val="bottom"/>
            <w:tcBorders>
              <w:bottom w:val="single" w:sz="8" w:color="0077C0"/>
            </w:tcBorders>
          </w:tcPr>
          <w:p>
            <w:pPr>
              <w:spacing w:after="0"/>
              <w:rPr>
                <w:sz w:val="16"/>
                <w:szCs w:val="16"/>
                <w:color w:val="auto"/>
              </w:rPr>
            </w:pPr>
          </w:p>
        </w:tc>
        <w:tc>
          <w:tcPr>
            <w:tcW w:w="580" w:type="dxa"/>
            <w:vAlign w:val="bottom"/>
            <w:tcBorders>
              <w:bottom w:val="single" w:sz="8" w:color="0077C0"/>
            </w:tcBorders>
          </w:tcPr>
          <w:p>
            <w:pPr>
              <w:spacing w:after="0"/>
              <w:rPr>
                <w:sz w:val="16"/>
                <w:szCs w:val="16"/>
                <w:color w:val="auto"/>
              </w:rPr>
            </w:pPr>
          </w:p>
        </w:tc>
        <w:tc>
          <w:tcPr>
            <w:tcW w:w="18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spacing w:after="0"/>
              <w:rPr>
                <w:sz w:val="16"/>
                <w:szCs w:val="16"/>
                <w:color w:val="auto"/>
              </w:rPr>
            </w:pPr>
          </w:p>
        </w:tc>
        <w:tc>
          <w:tcPr>
            <w:tcW w:w="26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196"/>
        </w:trPr>
        <w:tc>
          <w:tcPr>
            <w:tcW w:w="300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240" w:type="dxa"/>
            <w:vAlign w:val="bottom"/>
            <w:tcBorders>
              <w:bottom w:val="single" w:sz="8" w:color="0077C0"/>
            </w:tcBorders>
          </w:tcPr>
          <w:p>
            <w:pPr>
              <w:spacing w:after="0"/>
              <w:rPr>
                <w:sz w:val="17"/>
                <w:szCs w:val="17"/>
                <w:color w:val="auto"/>
              </w:rPr>
            </w:pPr>
          </w:p>
        </w:tc>
        <w:tc>
          <w:tcPr>
            <w:tcW w:w="6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U.S.</w:t>
            </w:r>
          </w:p>
        </w:tc>
        <w:tc>
          <w:tcPr>
            <w:tcW w:w="280" w:type="dxa"/>
            <w:vAlign w:val="bottom"/>
            <w:tcBorders>
              <w:bottom w:val="single" w:sz="8" w:color="0077C0"/>
            </w:tcBorders>
          </w:tcPr>
          <w:p>
            <w:pPr>
              <w:spacing w:after="0"/>
              <w:rPr>
                <w:sz w:val="17"/>
                <w:szCs w:val="17"/>
                <w:color w:val="auto"/>
              </w:rPr>
            </w:pPr>
          </w:p>
        </w:tc>
        <w:tc>
          <w:tcPr>
            <w:tcW w:w="5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Int’l.</w:t>
            </w:r>
          </w:p>
        </w:tc>
        <w:tc>
          <w:tcPr>
            <w:tcW w:w="240" w:type="dxa"/>
            <w:vAlign w:val="bottom"/>
            <w:tcBorders>
              <w:bottom w:val="single" w:sz="8" w:color="0077C0"/>
            </w:tcBorders>
          </w:tcPr>
          <w:p>
            <w:pPr>
              <w:spacing w:after="0"/>
              <w:rPr>
                <w:sz w:val="17"/>
                <w:szCs w:val="17"/>
                <w:color w:val="auto"/>
              </w:rPr>
            </w:pPr>
          </w:p>
        </w:tc>
        <w:tc>
          <w:tcPr>
            <w:tcW w:w="760" w:type="dxa"/>
            <w:vAlign w:val="bottom"/>
            <w:tcBorders>
              <w:bottom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color w:val="auto"/>
              </w:rPr>
              <w:t>Total</w:t>
            </w:r>
          </w:p>
        </w:tc>
        <w:tc>
          <w:tcPr>
            <w:tcW w:w="340" w:type="dxa"/>
            <w:vAlign w:val="bottom"/>
            <w:tcBorders>
              <w:bottom w:val="single" w:sz="8" w:color="0077C0"/>
            </w:tcBorders>
          </w:tcPr>
          <w:p>
            <w:pPr>
              <w:spacing w:after="0"/>
              <w:rPr>
                <w:sz w:val="17"/>
                <w:szCs w:val="17"/>
                <w:color w:val="auto"/>
              </w:rPr>
            </w:pPr>
          </w:p>
        </w:tc>
        <w:tc>
          <w:tcPr>
            <w:tcW w:w="6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U.S.</w:t>
            </w:r>
          </w:p>
        </w:tc>
        <w:tc>
          <w:tcPr>
            <w:tcW w:w="280" w:type="dxa"/>
            <w:vAlign w:val="bottom"/>
            <w:tcBorders>
              <w:bottom w:val="single" w:sz="8" w:color="0077C0"/>
            </w:tcBorders>
          </w:tcPr>
          <w:p>
            <w:pPr>
              <w:spacing w:after="0"/>
              <w:rPr>
                <w:sz w:val="17"/>
                <w:szCs w:val="17"/>
                <w:color w:val="auto"/>
              </w:rPr>
            </w:pPr>
          </w:p>
        </w:tc>
        <w:tc>
          <w:tcPr>
            <w:tcW w:w="5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Int’l.</w:t>
            </w:r>
          </w:p>
        </w:tc>
        <w:tc>
          <w:tcPr>
            <w:tcW w:w="260" w:type="dxa"/>
            <w:vAlign w:val="bottom"/>
            <w:tcBorders>
              <w:bottom w:val="single" w:sz="8" w:color="0077C0"/>
            </w:tcBorders>
          </w:tcPr>
          <w:p>
            <w:pPr>
              <w:spacing w:after="0"/>
              <w:rPr>
                <w:sz w:val="17"/>
                <w:szCs w:val="17"/>
                <w:color w:val="auto"/>
              </w:rPr>
            </w:pPr>
          </w:p>
        </w:tc>
        <w:tc>
          <w:tcPr>
            <w:tcW w:w="74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color w:val="auto"/>
              </w:rPr>
              <w:t>Total</w:t>
            </w:r>
          </w:p>
        </w:tc>
        <w:tc>
          <w:tcPr>
            <w:tcW w:w="380" w:type="dxa"/>
            <w:vAlign w:val="bottom"/>
            <w:tcBorders>
              <w:bottom w:val="single" w:sz="8" w:color="0077C0"/>
            </w:tcBorders>
          </w:tcPr>
          <w:p>
            <w:pPr>
              <w:spacing w:after="0"/>
              <w:rPr>
                <w:sz w:val="17"/>
                <w:szCs w:val="17"/>
                <w:color w:val="auto"/>
              </w:rPr>
            </w:pPr>
          </w:p>
        </w:tc>
        <w:tc>
          <w:tcPr>
            <w:tcW w:w="5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U.S.</w:t>
            </w:r>
          </w:p>
        </w:tc>
        <w:tc>
          <w:tcPr>
            <w:tcW w:w="180" w:type="dxa"/>
            <w:vAlign w:val="bottom"/>
            <w:tcBorders>
              <w:bottom w:val="single" w:sz="8" w:color="0077C0"/>
            </w:tcBorders>
          </w:tcPr>
          <w:p>
            <w:pPr>
              <w:spacing w:after="0"/>
              <w:rPr>
                <w:sz w:val="17"/>
                <w:szCs w:val="17"/>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Int’l.</w:t>
            </w:r>
          </w:p>
        </w:tc>
        <w:tc>
          <w:tcPr>
            <w:tcW w:w="260" w:type="dxa"/>
            <w:vAlign w:val="bottom"/>
            <w:tcBorders>
              <w:bottom w:val="single" w:sz="8" w:color="0077C0"/>
            </w:tcBorders>
          </w:tcPr>
          <w:p>
            <w:pPr>
              <w:spacing w:after="0"/>
              <w:rPr>
                <w:sz w:val="17"/>
                <w:szCs w:val="17"/>
                <w:color w:val="auto"/>
              </w:rPr>
            </w:pPr>
          </w:p>
        </w:tc>
        <w:tc>
          <w:tcPr>
            <w:tcW w:w="6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0"/>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Upstream</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9,481</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4,850</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14,331</w:t>
            </w:r>
          </w:p>
        </w:tc>
        <w:tc>
          <w:tcPr>
            <w:tcW w:w="3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9,842</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3,836</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color w:val="auto"/>
              </w:rPr>
              <w:t>13,678</w:t>
            </w:r>
          </w:p>
        </w:tc>
        <w:tc>
          <w:tcPr>
            <w:tcW w:w="3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6,847</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2,718</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9,565</w:t>
            </w:r>
          </w:p>
        </w:tc>
        <w:tc>
          <w:tcPr>
            <w:tcW w:w="0" w:type="dxa"/>
            <w:vAlign w:val="bottom"/>
          </w:tcPr>
          <w:p>
            <w:pPr>
              <w:spacing w:after="0"/>
              <w:rPr>
                <w:sz w:val="1"/>
                <w:szCs w:val="1"/>
                <w:color w:val="auto"/>
              </w:rPr>
            </w:pPr>
          </w:p>
        </w:tc>
      </w:tr>
      <w:tr>
        <w:trPr>
          <w:trHeight w:val="191"/>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Downstream</w:t>
            </w: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1,443</w:t>
            </w:r>
          </w:p>
        </w:tc>
        <w:tc>
          <w:tcPr>
            <w:tcW w:w="2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251</w:t>
            </w:r>
          </w:p>
        </w:tc>
        <w:tc>
          <w:tcPr>
            <w:tcW w:w="240" w:type="dxa"/>
            <w:vAlign w:val="bottom"/>
          </w:tcPr>
          <w:p>
            <w:pPr>
              <w:spacing w:after="0"/>
              <w:rPr>
                <w:sz w:val="16"/>
                <w:szCs w:val="16"/>
                <w:color w:val="auto"/>
              </w:rPr>
            </w:pPr>
          </w:p>
        </w:tc>
        <w:tc>
          <w:tcPr>
            <w:tcW w:w="76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1,694</w:t>
            </w:r>
          </w:p>
        </w:tc>
        <w:tc>
          <w:tcPr>
            <w:tcW w:w="3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1,536</w:t>
            </w:r>
          </w:p>
        </w:tc>
        <w:tc>
          <w:tcPr>
            <w:tcW w:w="2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260" w:type="dxa"/>
            <w:vAlign w:val="bottom"/>
          </w:tcPr>
          <w:p>
            <w:pPr>
              <w:spacing w:after="0"/>
              <w:rPr>
                <w:sz w:val="16"/>
                <w:szCs w:val="16"/>
                <w:color w:val="auto"/>
              </w:rPr>
            </w:pPr>
          </w:p>
        </w:tc>
        <w:tc>
          <w:tcPr>
            <w:tcW w:w="74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color w:val="auto"/>
              </w:rPr>
              <w:t>1,773</w:t>
            </w:r>
          </w:p>
        </w:tc>
        <w:tc>
          <w:tcPr>
            <w:tcW w:w="3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1,699</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2,074</w:t>
            </w:r>
          </w:p>
        </w:tc>
        <w:tc>
          <w:tcPr>
            <w:tcW w:w="0" w:type="dxa"/>
            <w:vAlign w:val="bottom"/>
          </w:tcPr>
          <w:p>
            <w:pPr>
              <w:spacing w:after="0"/>
              <w:rPr>
                <w:sz w:val="1"/>
                <w:szCs w:val="1"/>
                <w:color w:val="auto"/>
              </w:rPr>
            </w:pPr>
          </w:p>
        </w:tc>
      </w:tr>
      <w:tr>
        <w:trPr>
          <w:trHeight w:val="203"/>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 Other</w:t>
            </w: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406</w:t>
            </w: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w:t>
            </w:r>
          </w:p>
        </w:tc>
        <w:tc>
          <w:tcPr>
            <w:tcW w:w="240" w:type="dxa"/>
            <w:vAlign w:val="bottom"/>
          </w:tcPr>
          <w:p>
            <w:pPr>
              <w:spacing w:after="0"/>
              <w:rPr>
                <w:sz w:val="17"/>
                <w:szCs w:val="17"/>
                <w:color w:val="auto"/>
              </w:rPr>
            </w:pPr>
          </w:p>
        </w:tc>
        <w:tc>
          <w:tcPr>
            <w:tcW w:w="76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423</w:t>
            </w:r>
          </w:p>
        </w:tc>
        <w:tc>
          <w:tcPr>
            <w:tcW w:w="3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60" w:type="dxa"/>
            <w:vAlign w:val="bottom"/>
          </w:tcPr>
          <w:p>
            <w:pPr>
              <w:spacing w:after="0"/>
              <w:rPr>
                <w:sz w:val="17"/>
                <w:szCs w:val="17"/>
                <w:color w:val="auto"/>
              </w:rPr>
            </w:pPr>
          </w:p>
        </w:tc>
        <w:tc>
          <w:tcPr>
            <w:tcW w:w="74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color w:val="auto"/>
              </w:rPr>
              <w:t>378</w:t>
            </w:r>
          </w:p>
        </w:tc>
        <w:tc>
          <w:tcPr>
            <w:tcW w:w="3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0" w:type="dxa"/>
            <w:vAlign w:val="bottom"/>
          </w:tcPr>
          <w:p>
            <w:pPr>
              <w:spacing w:after="0"/>
              <w:rPr>
                <w:sz w:val="1"/>
                <w:szCs w:val="1"/>
                <w:color w:val="auto"/>
              </w:rPr>
            </w:pPr>
          </w:p>
        </w:tc>
      </w:tr>
      <w:tr>
        <w:trPr>
          <w:trHeight w:val="23"/>
        </w:trPr>
        <w:tc>
          <w:tcPr>
            <w:tcW w:w="3000" w:type="dxa"/>
            <w:vAlign w:val="bottom"/>
            <w:tcBorders>
              <w:bottom w:val="single" w:sz="8" w:color="0077C0"/>
            </w:tcBorders>
          </w:tcPr>
          <w:p>
            <w:pPr>
              <w:spacing w:after="0"/>
              <w:rPr>
                <w:sz w:val="2"/>
                <w:szCs w:val="2"/>
                <w:color w:val="auto"/>
              </w:rPr>
            </w:pPr>
          </w:p>
        </w:tc>
        <w:tc>
          <w:tcPr>
            <w:tcW w:w="24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240" w:type="dxa"/>
            <w:vAlign w:val="bottom"/>
            <w:tcBorders>
              <w:bottom w:val="single" w:sz="8" w:color="0077C0"/>
            </w:tcBorders>
          </w:tcPr>
          <w:p>
            <w:pPr>
              <w:spacing w:after="0"/>
              <w:rPr>
                <w:sz w:val="2"/>
                <w:szCs w:val="2"/>
                <w:color w:val="auto"/>
              </w:rPr>
            </w:pPr>
          </w:p>
        </w:tc>
        <w:tc>
          <w:tcPr>
            <w:tcW w:w="760" w:type="dxa"/>
            <w:vAlign w:val="bottom"/>
            <w:tcBorders>
              <w:bottom w:val="single" w:sz="8" w:color="0077C0"/>
              <w:right w:val="single" w:sz="8" w:color="0077C0"/>
            </w:tcBorders>
          </w:tcPr>
          <w:p>
            <w:pPr>
              <w:spacing w:after="0"/>
              <w:rPr>
                <w:sz w:val="2"/>
                <w:szCs w:val="2"/>
                <w:color w:val="auto"/>
              </w:rPr>
            </w:pPr>
          </w:p>
        </w:tc>
        <w:tc>
          <w:tcPr>
            <w:tcW w:w="34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740" w:type="dxa"/>
            <w:vAlign w:val="bottom"/>
            <w:tcBorders>
              <w:bottom w:val="single" w:sz="8" w:color="0077C0"/>
              <w:right w:val="single" w:sz="8" w:color="0077C0"/>
            </w:tcBorders>
          </w:tcPr>
          <w:p>
            <w:pPr>
              <w:spacing w:after="0"/>
              <w:rPr>
                <w:sz w:val="2"/>
                <w:szCs w:val="2"/>
                <w:color w:val="auto"/>
              </w:rPr>
            </w:pPr>
          </w:p>
        </w:tc>
        <w:tc>
          <w:tcPr>
            <w:tcW w:w="38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00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Capex</w:t>
            </w:r>
          </w:p>
        </w:tc>
        <w:tc>
          <w:tcPr>
            <w:tcW w:w="240" w:type="dxa"/>
            <w:vAlign w:val="bottom"/>
            <w:tcBorders>
              <w:bottom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11,330</w:t>
            </w:r>
          </w:p>
        </w:tc>
        <w:tc>
          <w:tcPr>
            <w:tcW w:w="280" w:type="dxa"/>
            <w:vAlign w:val="bottom"/>
            <w:tcBorders>
              <w:bottom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5,118</w:t>
            </w:r>
          </w:p>
        </w:tc>
        <w:tc>
          <w:tcPr>
            <w:tcW w:w="240" w:type="dxa"/>
            <w:vAlign w:val="bottom"/>
            <w:tcBorders>
              <w:bottom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0077C0"/>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16,448</w:t>
            </w:r>
          </w:p>
        </w:tc>
        <w:tc>
          <w:tcPr>
            <w:tcW w:w="34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11,729</w:t>
            </w:r>
          </w:p>
        </w:tc>
        <w:tc>
          <w:tcPr>
            <w:tcW w:w="280" w:type="dxa"/>
            <w:vAlign w:val="bottom"/>
            <w:tcBorders>
              <w:bottom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4,100</w:t>
            </w:r>
          </w:p>
        </w:tc>
        <w:tc>
          <w:tcPr>
            <w:tcW w:w="260" w:type="dxa"/>
            <w:vAlign w:val="bottom"/>
            <w:tcBorders>
              <w:bottom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0077C0"/>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color w:val="auto"/>
              </w:rPr>
              <w:t>15,829</w:t>
            </w:r>
          </w:p>
        </w:tc>
        <w:tc>
          <w:tcPr>
            <w:tcW w:w="380" w:type="dxa"/>
            <w:vAlign w:val="bottom"/>
            <w:tcBorders>
              <w:bottom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8,856</w:t>
            </w:r>
          </w:p>
        </w:tc>
        <w:tc>
          <w:tcPr>
            <w:tcW w:w="18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3,118</w:t>
            </w:r>
          </w:p>
        </w:tc>
        <w:tc>
          <w:tcPr>
            <w:tcW w:w="260" w:type="dxa"/>
            <w:vAlign w:val="bottom"/>
            <w:tcBorders>
              <w:bottom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11,974</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Capex for 2024 was $16.4 billion, 4 percent higher than 2023 due to higher investments in the upstream.</w:t>
      </w:r>
    </w:p>
    <w:p>
      <w:pPr>
        <w:spacing w:after="0" w:line="104" w:lineRule="exact"/>
        <w:rPr>
          <w:sz w:val="20"/>
          <w:szCs w:val="20"/>
          <w:color w:val="auto"/>
        </w:rPr>
      </w:pPr>
    </w:p>
    <w:p>
      <w:pPr>
        <w:jc w:val="both"/>
        <w:ind w:left="20"/>
        <w:spacing w:after="0" w:line="270" w:lineRule="auto"/>
        <w:rPr>
          <w:sz w:val="20"/>
          <w:szCs w:val="20"/>
          <w:color w:val="auto"/>
        </w:rPr>
      </w:pPr>
      <w:r>
        <w:rPr>
          <w:rFonts w:ascii="Times New Roman" w:cs="Times New Roman" w:eastAsia="Times New Roman" w:hAnsi="Times New Roman"/>
          <w:sz w:val="18"/>
          <w:szCs w:val="18"/>
          <w:color w:val="auto"/>
        </w:rPr>
        <w:t>The company estimates that 2025 Capex will range from $14.5 to $15.5 billion. Upstream Capex is projected at $13 billion, with two-thirds in the United States. This includes $4.5 to $5 billion for Permian Basin development, with the remaining split between the DJ Basin and the Gulf of America. In international Upstream, about $1 billion is allocated to Australia. Downstream Capex is estimated at $1.2 billion, with two-thirds in the United States. About $1.5 billion of total Capex, which is included within upstream and downstream budgets, is dedicated to lowering the carbon intensity of our operations and growing new energies businesses. Corporate and other Capex is projected to be about $0.7 billion.</w:t>
      </w:r>
    </w:p>
    <w:p>
      <w:pPr>
        <w:spacing w:after="0" w:line="128" w:lineRule="exact"/>
        <w:rPr>
          <w:sz w:val="20"/>
          <w:szCs w:val="20"/>
          <w:color w:val="auto"/>
        </w:rPr>
      </w:pPr>
    </w:p>
    <w:p>
      <w:pPr>
        <w:jc w:val="both"/>
        <w:ind w:left="20"/>
        <w:spacing w:after="0" w:line="286"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Affiliate Capital Expenditures </w:t>
      </w:r>
      <w:r>
        <w:rPr>
          <w:rFonts w:ascii="Times New Roman" w:cs="Times New Roman" w:eastAsia="Times New Roman" w:hAnsi="Times New Roman"/>
          <w:sz w:val="18"/>
          <w:szCs w:val="18"/>
          <w:color w:val="000000"/>
        </w:rPr>
        <w:t>Equity affiliate capital expenditures (Affiliate Capex) primarily includes additions to fixed asset and investment accounts in</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the equity affiliate companies’ financial statements and does not require cash outlays by the company.</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Affiliate Capex by business segment for 2024, 2023 and 2022 is as follows: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414"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90"/>
        </w:trPr>
        <w:tc>
          <w:tcPr>
            <w:tcW w:w="5740" w:type="dxa"/>
            <w:vAlign w:val="bottom"/>
            <w:gridSpan w:val="8"/>
          </w:tcPr>
          <w:p>
            <w:pPr>
              <w:jc w:val="right"/>
              <w:ind w:right="8"/>
              <w:spacing w:after="0"/>
              <w:rPr>
                <w:sz w:val="20"/>
                <w:szCs w:val="20"/>
                <w:color w:val="auto"/>
              </w:rPr>
            </w:pPr>
            <w:r>
              <w:rPr>
                <w:rFonts w:ascii="Arial" w:cs="Arial" w:eastAsia="Arial" w:hAnsi="Arial"/>
                <w:sz w:val="14"/>
                <w:szCs w:val="14"/>
                <w:color w:val="0077C0"/>
              </w:rPr>
              <w:t>Management’s Discussion and Analysis of Financial Condition and Results of Operations</w:t>
            </w: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80" w:type="dxa"/>
            <w:vAlign w:val="bottom"/>
            <w:gridSpan w:val="5"/>
          </w:tcPr>
          <w:p>
            <w:pPr>
              <w:jc w:val="right"/>
              <w:ind w:right="28"/>
              <w:spacing w:after="0"/>
              <w:rPr>
                <w:sz w:val="20"/>
                <w:szCs w:val="20"/>
                <w:color w:val="auto"/>
              </w:rPr>
            </w:pPr>
            <w:r>
              <w:rPr>
                <w:rFonts w:ascii="Arial" w:cs="Arial" w:eastAsia="Arial" w:hAnsi="Arial"/>
                <w:sz w:val="14"/>
                <w:szCs w:val="14"/>
                <w:color w:val="0077C0"/>
              </w:rPr>
              <w:t>Financial Table of Contents</w:t>
            </w:r>
          </w:p>
        </w:tc>
        <w:tc>
          <w:tcPr>
            <w:tcW w:w="0" w:type="dxa"/>
            <w:vAlign w:val="bottom"/>
          </w:tcPr>
          <w:p>
            <w:pPr>
              <w:spacing w:after="0"/>
              <w:rPr>
                <w:sz w:val="1"/>
                <w:szCs w:val="1"/>
                <w:color w:val="auto"/>
              </w:rPr>
            </w:pPr>
          </w:p>
        </w:tc>
      </w:tr>
      <w:tr>
        <w:trPr>
          <w:trHeight w:val="808"/>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Year ended December 31</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Affiliate Capex</w:t>
            </w:r>
          </w:p>
        </w:tc>
        <w:tc>
          <w:tcPr>
            <w:tcW w:w="34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c>
          <w:tcPr>
            <w:tcW w:w="44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720" w:type="dxa"/>
            <w:vAlign w:val="bottom"/>
            <w:tcBorders>
              <w:bottom w:val="single" w:sz="8" w:color="0077C0"/>
            </w:tcBorders>
          </w:tcPr>
          <w:p>
            <w:pPr>
              <w:spacing w:after="0"/>
              <w:rPr>
                <w:sz w:val="2"/>
                <w:szCs w:val="2"/>
                <w:color w:val="auto"/>
              </w:rPr>
            </w:pPr>
          </w:p>
        </w:tc>
        <w:tc>
          <w:tcPr>
            <w:tcW w:w="42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0" w:type="dxa"/>
            <w:vAlign w:val="bottom"/>
            <w:vMerge w:val="continue"/>
          </w:tcPr>
          <w:p>
            <w:pPr>
              <w:spacing w:after="0"/>
              <w:rPr>
                <w:sz w:val="16"/>
                <w:szCs w:val="16"/>
                <w:color w:val="auto"/>
              </w:rPr>
            </w:pPr>
          </w:p>
        </w:tc>
        <w:tc>
          <w:tcPr>
            <w:tcW w:w="340" w:type="dxa"/>
            <w:vAlign w:val="bottom"/>
            <w:tcBorders>
              <w:bottom w:val="single" w:sz="8" w:color="0077C0"/>
            </w:tcBorders>
          </w:tcPr>
          <w:p>
            <w:pPr>
              <w:spacing w:after="0"/>
              <w:rPr>
                <w:sz w:val="16"/>
                <w:szCs w:val="16"/>
                <w:color w:val="auto"/>
              </w:rPr>
            </w:pPr>
          </w:p>
        </w:tc>
        <w:tc>
          <w:tcPr>
            <w:tcW w:w="520" w:type="dxa"/>
            <w:vAlign w:val="bottom"/>
            <w:tcBorders>
              <w:bottom w:val="single" w:sz="8" w:color="0077C0"/>
            </w:tcBorders>
          </w:tcPr>
          <w:p>
            <w:pPr>
              <w:spacing w:after="0"/>
              <w:rPr>
                <w:sz w:val="16"/>
                <w:szCs w:val="16"/>
                <w:color w:val="auto"/>
              </w:rPr>
            </w:pPr>
          </w:p>
        </w:tc>
        <w:tc>
          <w:tcPr>
            <w:tcW w:w="300" w:type="dxa"/>
            <w:vAlign w:val="bottom"/>
            <w:tcBorders>
              <w:bottom w:val="single" w:sz="8" w:color="0077C0"/>
            </w:tcBorders>
          </w:tcPr>
          <w:p>
            <w:pPr>
              <w:spacing w:after="0"/>
              <w:rPr>
                <w:sz w:val="16"/>
                <w:szCs w:val="16"/>
                <w:color w:val="auto"/>
              </w:rPr>
            </w:pPr>
          </w:p>
        </w:tc>
        <w:tc>
          <w:tcPr>
            <w:tcW w:w="580" w:type="dxa"/>
            <w:vAlign w:val="bottom"/>
            <w:tcBorders>
              <w:bottom w:val="single" w:sz="8" w:color="0077C0"/>
            </w:tcBorders>
          </w:tcPr>
          <w:p>
            <w:pPr>
              <w:spacing w:after="0"/>
              <w:rPr>
                <w:sz w:val="16"/>
                <w:szCs w:val="16"/>
                <w:color w:val="auto"/>
              </w:rPr>
            </w:pPr>
          </w:p>
        </w:tc>
        <w:tc>
          <w:tcPr>
            <w:tcW w:w="280" w:type="dxa"/>
            <w:vAlign w:val="bottom"/>
            <w:tcBorders>
              <w:bottom w:val="single" w:sz="8" w:color="0077C0"/>
            </w:tcBorders>
          </w:tcPr>
          <w:p>
            <w:pPr>
              <w:spacing w:after="0"/>
              <w:rPr>
                <w:sz w:val="16"/>
                <w:szCs w:val="16"/>
                <w:color w:val="auto"/>
              </w:rPr>
            </w:pPr>
          </w:p>
        </w:tc>
        <w:tc>
          <w:tcPr>
            <w:tcW w:w="70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0077C0"/>
            </w:tcBorders>
          </w:tcPr>
          <w:p>
            <w:pPr>
              <w:spacing w:after="0"/>
              <w:rPr>
                <w:sz w:val="16"/>
                <w:szCs w:val="16"/>
                <w:color w:val="auto"/>
              </w:rPr>
            </w:pPr>
          </w:p>
        </w:tc>
        <w:tc>
          <w:tcPr>
            <w:tcW w:w="520" w:type="dxa"/>
            <w:vAlign w:val="bottom"/>
            <w:tcBorders>
              <w:bottom w:val="single" w:sz="8" w:color="0077C0"/>
            </w:tcBorders>
          </w:tcPr>
          <w:p>
            <w:pPr>
              <w:spacing w:after="0"/>
              <w:rPr>
                <w:sz w:val="16"/>
                <w:szCs w:val="16"/>
                <w:color w:val="auto"/>
              </w:rPr>
            </w:pPr>
          </w:p>
        </w:tc>
        <w:tc>
          <w:tcPr>
            <w:tcW w:w="280" w:type="dxa"/>
            <w:vAlign w:val="bottom"/>
            <w:tcBorders>
              <w:bottom w:val="single" w:sz="8" w:color="0077C0"/>
            </w:tcBorders>
          </w:tcPr>
          <w:p>
            <w:pPr>
              <w:spacing w:after="0"/>
              <w:rPr>
                <w:sz w:val="16"/>
                <w:szCs w:val="16"/>
                <w:color w:val="auto"/>
              </w:rPr>
            </w:pPr>
          </w:p>
        </w:tc>
        <w:tc>
          <w:tcPr>
            <w:tcW w:w="580" w:type="dxa"/>
            <w:vAlign w:val="bottom"/>
            <w:tcBorders>
              <w:bottom w:val="single" w:sz="8" w:color="0077C0"/>
            </w:tcBorders>
          </w:tcPr>
          <w:p>
            <w:pPr>
              <w:spacing w:after="0"/>
              <w:rPr>
                <w:sz w:val="16"/>
                <w:szCs w:val="16"/>
                <w:color w:val="auto"/>
              </w:rPr>
            </w:pPr>
          </w:p>
        </w:tc>
        <w:tc>
          <w:tcPr>
            <w:tcW w:w="280" w:type="dxa"/>
            <w:vAlign w:val="bottom"/>
            <w:tcBorders>
              <w:bottom w:val="single" w:sz="8" w:color="0077C0"/>
            </w:tcBorders>
          </w:tcPr>
          <w:p>
            <w:pPr>
              <w:spacing w:after="0"/>
              <w:rPr>
                <w:sz w:val="16"/>
                <w:szCs w:val="16"/>
                <w:color w:val="auto"/>
              </w:rPr>
            </w:pPr>
          </w:p>
        </w:tc>
        <w:tc>
          <w:tcPr>
            <w:tcW w:w="720" w:type="dxa"/>
            <w:vAlign w:val="bottom"/>
            <w:tcBorders>
              <w:bottom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color w:val="auto"/>
              </w:rPr>
              <w:t>2023</w:t>
            </w:r>
          </w:p>
        </w:tc>
        <w:tc>
          <w:tcPr>
            <w:tcW w:w="420" w:type="dxa"/>
            <w:vAlign w:val="bottom"/>
            <w:tcBorders>
              <w:bottom w:val="single" w:sz="8" w:color="0077C0"/>
            </w:tcBorders>
          </w:tcPr>
          <w:p>
            <w:pPr>
              <w:spacing w:after="0"/>
              <w:rPr>
                <w:sz w:val="16"/>
                <w:szCs w:val="16"/>
                <w:color w:val="auto"/>
              </w:rPr>
            </w:pPr>
          </w:p>
        </w:tc>
        <w:tc>
          <w:tcPr>
            <w:tcW w:w="520" w:type="dxa"/>
            <w:vAlign w:val="bottom"/>
            <w:tcBorders>
              <w:bottom w:val="single" w:sz="8" w:color="0077C0"/>
            </w:tcBorders>
          </w:tcPr>
          <w:p>
            <w:pPr>
              <w:spacing w:after="0"/>
              <w:rPr>
                <w:sz w:val="16"/>
                <w:szCs w:val="16"/>
                <w:color w:val="auto"/>
              </w:rPr>
            </w:pPr>
          </w:p>
        </w:tc>
        <w:tc>
          <w:tcPr>
            <w:tcW w:w="20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spacing w:after="0"/>
              <w:rPr>
                <w:sz w:val="16"/>
                <w:szCs w:val="16"/>
                <w:color w:val="auto"/>
              </w:rPr>
            </w:pPr>
          </w:p>
        </w:tc>
        <w:tc>
          <w:tcPr>
            <w:tcW w:w="300" w:type="dxa"/>
            <w:vAlign w:val="bottom"/>
            <w:tcBorders>
              <w:bottom w:val="single" w:sz="8" w:color="0077C0"/>
            </w:tcBorders>
          </w:tcPr>
          <w:p>
            <w:pPr>
              <w:spacing w:after="0"/>
              <w:rPr>
                <w:sz w:val="16"/>
                <w:szCs w:val="16"/>
                <w:color w:val="auto"/>
              </w:rPr>
            </w:pPr>
          </w:p>
        </w:tc>
        <w:tc>
          <w:tcPr>
            <w:tcW w:w="5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340" w:type="dxa"/>
            <w:vAlign w:val="bottom"/>
            <w:tcBorders>
              <w:bottom w:val="single" w:sz="8" w:color="0077C0"/>
            </w:tcBorders>
          </w:tcPr>
          <w:p>
            <w:pPr>
              <w:spacing w:after="0"/>
              <w:rPr>
                <w:sz w:val="17"/>
                <w:szCs w:val="17"/>
                <w:color w:val="auto"/>
              </w:rPr>
            </w:pPr>
          </w:p>
        </w:tc>
        <w:tc>
          <w:tcPr>
            <w:tcW w:w="5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U.S.</w:t>
            </w:r>
          </w:p>
        </w:tc>
        <w:tc>
          <w:tcPr>
            <w:tcW w:w="300" w:type="dxa"/>
            <w:vAlign w:val="bottom"/>
            <w:tcBorders>
              <w:bottom w:val="single" w:sz="8" w:color="0077C0"/>
            </w:tcBorders>
          </w:tcPr>
          <w:p>
            <w:pPr>
              <w:spacing w:after="0"/>
              <w:rPr>
                <w:sz w:val="17"/>
                <w:szCs w:val="17"/>
                <w:color w:val="auto"/>
              </w:rPr>
            </w:pPr>
          </w:p>
        </w:tc>
        <w:tc>
          <w:tcPr>
            <w:tcW w:w="5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Int’l.</w:t>
            </w:r>
          </w:p>
        </w:tc>
        <w:tc>
          <w:tcPr>
            <w:tcW w:w="280" w:type="dxa"/>
            <w:vAlign w:val="bottom"/>
            <w:tcBorders>
              <w:bottom w:val="single" w:sz="8" w:color="0077C0"/>
            </w:tcBorders>
          </w:tcPr>
          <w:p>
            <w:pPr>
              <w:spacing w:after="0"/>
              <w:rPr>
                <w:sz w:val="17"/>
                <w:szCs w:val="17"/>
                <w:color w:val="auto"/>
              </w:rPr>
            </w:pPr>
          </w:p>
        </w:tc>
        <w:tc>
          <w:tcPr>
            <w:tcW w:w="70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color w:val="auto"/>
              </w:rPr>
              <w:t>Total</w:t>
            </w:r>
          </w:p>
        </w:tc>
        <w:tc>
          <w:tcPr>
            <w:tcW w:w="440" w:type="dxa"/>
            <w:vAlign w:val="bottom"/>
            <w:tcBorders>
              <w:bottom w:val="single" w:sz="8" w:color="0077C0"/>
            </w:tcBorders>
          </w:tcPr>
          <w:p>
            <w:pPr>
              <w:spacing w:after="0"/>
              <w:rPr>
                <w:sz w:val="17"/>
                <w:szCs w:val="17"/>
                <w:color w:val="auto"/>
              </w:rPr>
            </w:pPr>
          </w:p>
        </w:tc>
        <w:tc>
          <w:tcPr>
            <w:tcW w:w="5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U.S.</w:t>
            </w:r>
          </w:p>
        </w:tc>
        <w:tc>
          <w:tcPr>
            <w:tcW w:w="280" w:type="dxa"/>
            <w:vAlign w:val="bottom"/>
            <w:tcBorders>
              <w:bottom w:val="single" w:sz="8" w:color="0077C0"/>
            </w:tcBorders>
          </w:tcPr>
          <w:p>
            <w:pPr>
              <w:spacing w:after="0"/>
              <w:rPr>
                <w:sz w:val="17"/>
                <w:szCs w:val="17"/>
                <w:color w:val="auto"/>
              </w:rPr>
            </w:pPr>
          </w:p>
        </w:tc>
        <w:tc>
          <w:tcPr>
            <w:tcW w:w="5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Int’l.</w:t>
            </w:r>
          </w:p>
        </w:tc>
        <w:tc>
          <w:tcPr>
            <w:tcW w:w="280" w:type="dxa"/>
            <w:vAlign w:val="bottom"/>
            <w:tcBorders>
              <w:bottom w:val="single" w:sz="8" w:color="0077C0"/>
            </w:tcBorders>
          </w:tcPr>
          <w:p>
            <w:pPr>
              <w:spacing w:after="0"/>
              <w:rPr>
                <w:sz w:val="17"/>
                <w:szCs w:val="17"/>
                <w:color w:val="auto"/>
              </w:rPr>
            </w:pPr>
          </w:p>
        </w:tc>
        <w:tc>
          <w:tcPr>
            <w:tcW w:w="720" w:type="dxa"/>
            <w:vAlign w:val="bottom"/>
            <w:tcBorders>
              <w:bottom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color w:val="auto"/>
              </w:rPr>
              <w:t>Total</w:t>
            </w:r>
          </w:p>
        </w:tc>
        <w:tc>
          <w:tcPr>
            <w:tcW w:w="420" w:type="dxa"/>
            <w:vAlign w:val="bottom"/>
            <w:tcBorders>
              <w:bottom w:val="single" w:sz="8" w:color="0077C0"/>
            </w:tcBorders>
          </w:tcPr>
          <w:p>
            <w:pPr>
              <w:spacing w:after="0"/>
              <w:rPr>
                <w:sz w:val="17"/>
                <w:szCs w:val="17"/>
                <w:color w:val="auto"/>
              </w:rPr>
            </w:pPr>
          </w:p>
        </w:tc>
        <w:tc>
          <w:tcPr>
            <w:tcW w:w="5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U.S.</w:t>
            </w:r>
          </w:p>
        </w:tc>
        <w:tc>
          <w:tcPr>
            <w:tcW w:w="200" w:type="dxa"/>
            <w:vAlign w:val="bottom"/>
            <w:tcBorders>
              <w:bottom w:val="single" w:sz="8" w:color="0077C0"/>
            </w:tcBorders>
          </w:tcPr>
          <w:p>
            <w:pPr>
              <w:spacing w:after="0"/>
              <w:rPr>
                <w:sz w:val="17"/>
                <w:szCs w:val="17"/>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Int’l.</w:t>
            </w:r>
          </w:p>
        </w:tc>
        <w:tc>
          <w:tcPr>
            <w:tcW w:w="300" w:type="dxa"/>
            <w:vAlign w:val="bottom"/>
            <w:tcBorders>
              <w:bottom w:val="single" w:sz="8" w:color="0077C0"/>
            </w:tcBorders>
          </w:tcPr>
          <w:p>
            <w:pPr>
              <w:spacing w:after="0"/>
              <w:rPr>
                <w:sz w:val="17"/>
                <w:szCs w:val="17"/>
                <w:color w:val="auto"/>
              </w:rPr>
            </w:pPr>
          </w:p>
        </w:tc>
        <w:tc>
          <w:tcPr>
            <w:tcW w:w="5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Upstream</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1,451</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1,451</w:t>
            </w:r>
          </w:p>
        </w:tc>
        <w:tc>
          <w:tcPr>
            <w:tcW w:w="4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2,310</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color w:val="auto"/>
              </w:rPr>
              <w:t>2,310</w:t>
            </w:r>
          </w:p>
        </w:tc>
        <w:tc>
          <w:tcPr>
            <w:tcW w:w="4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2,406</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Downstream</w:t>
            </w:r>
          </w:p>
        </w:tc>
        <w:tc>
          <w:tcPr>
            <w:tcW w:w="3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802</w:t>
            </w: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196</w:t>
            </w:r>
          </w:p>
        </w:tc>
        <w:tc>
          <w:tcPr>
            <w:tcW w:w="280" w:type="dxa"/>
            <w:vAlign w:val="bottom"/>
          </w:tcPr>
          <w:p>
            <w:pPr>
              <w:spacing w:after="0"/>
              <w:rPr>
                <w:sz w:val="16"/>
                <w:szCs w:val="16"/>
                <w:color w:val="auto"/>
              </w:rPr>
            </w:pPr>
          </w:p>
        </w:tc>
        <w:tc>
          <w:tcPr>
            <w:tcW w:w="70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998</w:t>
            </w:r>
          </w:p>
        </w:tc>
        <w:tc>
          <w:tcPr>
            <w:tcW w:w="4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2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280" w:type="dxa"/>
            <w:vAlign w:val="bottom"/>
          </w:tcPr>
          <w:p>
            <w:pPr>
              <w:spacing w:after="0"/>
              <w:rPr>
                <w:sz w:val="16"/>
                <w:szCs w:val="16"/>
                <w:color w:val="auto"/>
              </w:rPr>
            </w:pPr>
          </w:p>
        </w:tc>
        <w:tc>
          <w:tcPr>
            <w:tcW w:w="72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color w:val="auto"/>
              </w:rPr>
              <w:t>1,224</w:t>
            </w:r>
          </w:p>
        </w:tc>
        <w:tc>
          <w:tcPr>
            <w:tcW w:w="4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 Other</w:t>
            </w:r>
          </w:p>
        </w:tc>
        <w:tc>
          <w:tcPr>
            <w:tcW w:w="3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7"/>
                <w:szCs w:val="17"/>
                <w:color w:val="auto"/>
              </w:rPr>
            </w:pPr>
          </w:p>
        </w:tc>
        <w:tc>
          <w:tcPr>
            <w:tcW w:w="70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72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000" w:type="dxa"/>
            <w:vAlign w:val="bottom"/>
            <w:tcBorders>
              <w:bottom w:val="single" w:sz="8" w:color="0077C0"/>
            </w:tcBorders>
          </w:tcPr>
          <w:p>
            <w:pPr>
              <w:spacing w:after="0"/>
              <w:rPr>
                <w:sz w:val="2"/>
                <w:szCs w:val="2"/>
                <w:color w:val="auto"/>
              </w:rPr>
            </w:pPr>
          </w:p>
        </w:tc>
        <w:tc>
          <w:tcPr>
            <w:tcW w:w="34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700" w:type="dxa"/>
            <w:vAlign w:val="bottom"/>
            <w:tcBorders>
              <w:bottom w:val="single" w:sz="8" w:color="0077C0"/>
              <w:right w:val="single" w:sz="8" w:color="0077C0"/>
            </w:tcBorders>
          </w:tcPr>
          <w:p>
            <w:pPr>
              <w:spacing w:after="0"/>
              <w:rPr>
                <w:sz w:val="2"/>
                <w:szCs w:val="2"/>
                <w:color w:val="auto"/>
              </w:rPr>
            </w:pPr>
          </w:p>
        </w:tc>
        <w:tc>
          <w:tcPr>
            <w:tcW w:w="44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720" w:type="dxa"/>
            <w:vAlign w:val="bottom"/>
            <w:tcBorders>
              <w:bottom w:val="single" w:sz="8" w:color="0077C0"/>
              <w:right w:val="single" w:sz="8" w:color="0077C0"/>
            </w:tcBorders>
          </w:tcPr>
          <w:p>
            <w:pPr>
              <w:spacing w:after="0"/>
              <w:rPr>
                <w:sz w:val="2"/>
                <w:szCs w:val="2"/>
                <w:color w:val="auto"/>
              </w:rPr>
            </w:pPr>
          </w:p>
        </w:tc>
        <w:tc>
          <w:tcPr>
            <w:tcW w:w="42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0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Affiliate Capex</w:t>
            </w:r>
          </w:p>
        </w:tc>
        <w:tc>
          <w:tcPr>
            <w:tcW w:w="340" w:type="dxa"/>
            <w:vAlign w:val="bottom"/>
            <w:tcBorders>
              <w:bottom w:val="single" w:sz="8" w:color="0077C0"/>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802</w:t>
            </w:r>
          </w:p>
        </w:tc>
        <w:tc>
          <w:tcPr>
            <w:tcW w:w="300" w:type="dxa"/>
            <w:vAlign w:val="bottom"/>
            <w:tcBorders>
              <w:bottom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1,647</w:t>
            </w:r>
          </w:p>
        </w:tc>
        <w:tc>
          <w:tcPr>
            <w:tcW w:w="280" w:type="dxa"/>
            <w:vAlign w:val="bottom"/>
            <w:tcBorders>
              <w:bottom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bottom w:val="single" w:sz="8" w:color="0077C0"/>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2,449</w:t>
            </w:r>
          </w:p>
        </w:tc>
        <w:tc>
          <w:tcPr>
            <w:tcW w:w="440" w:type="dxa"/>
            <w:vAlign w:val="bottom"/>
            <w:tcBorders>
              <w:bottom w:val="single" w:sz="8" w:color="0077C0"/>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280" w:type="dxa"/>
            <w:vAlign w:val="bottom"/>
            <w:tcBorders>
              <w:bottom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2,551</w:t>
            </w:r>
          </w:p>
        </w:tc>
        <w:tc>
          <w:tcPr>
            <w:tcW w:w="28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0077C0"/>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color w:val="auto"/>
              </w:rPr>
              <w:t>3,534</w:t>
            </w:r>
          </w:p>
        </w:tc>
        <w:tc>
          <w:tcPr>
            <w:tcW w:w="420" w:type="dxa"/>
            <w:vAlign w:val="bottom"/>
            <w:tcBorders>
              <w:bottom w:val="single" w:sz="8" w:color="0077C0"/>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20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2,598</w:t>
            </w:r>
          </w:p>
        </w:tc>
        <w:tc>
          <w:tcPr>
            <w:tcW w:w="300" w:type="dxa"/>
            <w:vAlign w:val="bottom"/>
            <w:tcBorders>
              <w:bottom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3,366</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left="20"/>
        <w:spacing w:after="0" w:line="297" w:lineRule="auto"/>
        <w:rPr>
          <w:sz w:val="20"/>
          <w:szCs w:val="20"/>
          <w:color w:val="auto"/>
        </w:rPr>
      </w:pPr>
      <w:r>
        <w:rPr>
          <w:rFonts w:ascii="Times New Roman" w:cs="Times New Roman" w:eastAsia="Times New Roman" w:hAnsi="Times New Roman"/>
          <w:sz w:val="18"/>
          <w:szCs w:val="18"/>
          <w:color w:val="auto"/>
        </w:rPr>
        <w:t>Affiliate Capex for 2024 was $2.4 billion, 31 percent lower than 2023 mainly due to lower spend at Tengizchevroil’s Wellhead Pressure Management Project (WPMP) and Future Growth Project (FGP).</w:t>
      </w:r>
    </w:p>
    <w:p>
      <w:pPr>
        <w:spacing w:after="0" w:line="28" w:lineRule="exact"/>
        <w:rPr>
          <w:sz w:val="20"/>
          <w:szCs w:val="20"/>
          <w:color w:val="auto"/>
        </w:rPr>
      </w:pPr>
    </w:p>
    <w:p>
      <w:pPr>
        <w:jc w:val="both"/>
        <w:ind w:left="20"/>
        <w:spacing w:after="0" w:line="297" w:lineRule="auto"/>
        <w:rPr>
          <w:sz w:val="20"/>
          <w:szCs w:val="20"/>
          <w:color w:val="auto"/>
        </w:rPr>
      </w:pPr>
      <w:r>
        <w:rPr>
          <w:rFonts w:ascii="Times New Roman" w:cs="Times New Roman" w:eastAsia="Times New Roman" w:hAnsi="Times New Roman"/>
          <w:sz w:val="18"/>
          <w:szCs w:val="18"/>
          <w:color w:val="auto"/>
        </w:rPr>
        <w:t>Affiliate Capex is expected to range between $1.7 to $2.0 billion in 2025. Less than half of Affiliate Capex is for Tengizchevroil, while the remaining spend primarily supports CPChem’s two major integrated polymer projects.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company monitors market conditions and can adjust future capital outlays should conditions change.</w:t>
      </w: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FF0000"/>
        </w:rPr>
        <w:t xml:space="preserve">Noncontrolling Interests </w:t>
      </w:r>
      <w:r>
        <w:rPr>
          <w:rFonts w:ascii="Times New Roman" w:cs="Times New Roman" w:eastAsia="Times New Roman" w:hAnsi="Times New Roman"/>
          <w:sz w:val="18"/>
          <w:szCs w:val="18"/>
          <w:color w:val="000000"/>
        </w:rPr>
        <w:t>The company had noncontrolling interests of $839 million at December 31, 2024, and $972 million at December 31, 2023.</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Distributions to noncontrolling interests net of contributions totaled $195 million and $40 million in 2024 and 2023, respectively.</w:t>
      </w:r>
    </w:p>
    <w:p>
      <w:pPr>
        <w:spacing w:after="0" w:line="95" w:lineRule="exact"/>
        <w:rPr>
          <w:sz w:val="20"/>
          <w:szCs w:val="20"/>
          <w:color w:val="auto"/>
        </w:rPr>
      </w:pPr>
    </w:p>
    <w:p>
      <w:pPr>
        <w:jc w:val="both"/>
        <w:ind w:left="20"/>
        <w:spacing w:after="0" w:line="302"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Pension Obligations </w:t>
      </w:r>
      <w:r>
        <w:rPr>
          <w:rFonts w:ascii="Times New Roman" w:cs="Times New Roman" w:eastAsia="Times New Roman" w:hAnsi="Times New Roman"/>
          <w:sz w:val="18"/>
          <w:szCs w:val="18"/>
          <w:color w:val="000000"/>
        </w:rPr>
        <w:t>Information related to pension plan contributions is included in</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u w:val="single" w:color="auto"/>
          <w:color w:val="0000FF"/>
        </w:rPr>
        <w:t>Note 23 Employee Benefit Plans</w:t>
      </w:r>
      <w:r>
        <w:rPr>
          <w:rFonts w:ascii="Times New Roman" w:cs="Times New Roman" w:eastAsia="Times New Roman" w:hAnsi="Times New Roman"/>
          <w:sz w:val="18"/>
          <w:szCs w:val="18"/>
          <w:color w:val="000000"/>
        </w:rPr>
        <w:t>, under the heading “Cash</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Contributions and Benefit Payments.”</w:t>
      </w:r>
    </w:p>
    <w:p>
      <w:pPr>
        <w:spacing w:after="0" w:line="19" w:lineRule="exact"/>
        <w:rPr>
          <w:sz w:val="20"/>
          <w:szCs w:val="20"/>
          <w:color w:val="auto"/>
        </w:rPr>
      </w:pPr>
    </w:p>
    <w:p>
      <w:pPr>
        <w:jc w:val="both"/>
        <w:ind w:left="20"/>
        <w:spacing w:after="0" w:line="276"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Contractual Obligations </w:t>
      </w:r>
      <w:r>
        <w:rPr>
          <w:rFonts w:ascii="Times New Roman" w:cs="Times New Roman" w:eastAsia="Times New Roman" w:hAnsi="Times New Roman"/>
          <w:sz w:val="18"/>
          <w:szCs w:val="18"/>
          <w:color w:val="000000"/>
        </w:rPr>
        <w:t>Information related to the company’s significant contractual obligations is included in</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u w:val="single" w:color="auto"/>
          <w:color w:val="0000FF"/>
        </w:rPr>
        <w:t>Note 19 Short-Term Debt</w:t>
      </w:r>
      <w:r>
        <w:rPr>
          <w:rFonts w:ascii="Times New Roman" w:cs="Times New Roman" w:eastAsia="Times New Roman" w:hAnsi="Times New Roman"/>
          <w:sz w:val="18"/>
          <w:szCs w:val="18"/>
          <w:color w:val="000000"/>
        </w:rPr>
        <w:t>, in</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u w:val="single" w:color="auto"/>
          <w:color w:val="0000FF"/>
        </w:rPr>
        <w:t>Note 20</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u w:val="single" w:color="auto"/>
          <w:color w:val="0000FF"/>
        </w:rPr>
        <w:t>Long-Term Debt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in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Note 5 Lease Commitments</w:t>
      </w:r>
      <w:r>
        <w:rPr>
          <w:rFonts w:ascii="Times New Roman" w:cs="Times New Roman" w:eastAsia="Times New Roman" w:hAnsi="Times New Roman"/>
          <w:sz w:val="18"/>
          <w:szCs w:val="18"/>
          <w:color w:val="000000"/>
        </w:rPr>
        <w:t>. The aggregate amount of interest due on these obligations, excluding leases, is: 2025 – $747; 2026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$666; 2027 – $605; 2028 – $566; 2029 – $562; after 2029 – $4,355.</w:t>
      </w:r>
    </w:p>
    <w:p>
      <w:pPr>
        <w:spacing w:after="0" w:line="55" w:lineRule="exact"/>
        <w:rPr>
          <w:sz w:val="20"/>
          <w:szCs w:val="20"/>
          <w:color w:val="auto"/>
        </w:rPr>
      </w:pPr>
    </w:p>
    <w:p>
      <w:pPr>
        <w:jc w:val="both"/>
        <w:ind w:left="20"/>
        <w:spacing w:after="0" w:line="276"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Long-Term Unconditional Purchase Obligations and Commitments, Including Throughput and Take-or-Pay Agreements </w:t>
      </w:r>
      <w:r>
        <w:rPr>
          <w:rFonts w:ascii="Times New Roman" w:cs="Times New Roman" w:eastAsia="Times New Roman" w:hAnsi="Times New Roman"/>
          <w:sz w:val="18"/>
          <w:szCs w:val="18"/>
          <w:color w:val="000000"/>
        </w:rPr>
        <w:t>Information related to these</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 xml:space="preserve">off-balance sheet matters is included in </w:t>
      </w:r>
      <w:r>
        <w:rPr>
          <w:rFonts w:ascii="Times New Roman" w:cs="Times New Roman" w:eastAsia="Times New Roman" w:hAnsi="Times New Roman"/>
          <w:sz w:val="18"/>
          <w:szCs w:val="18"/>
          <w:u w:val="single" w:color="auto"/>
          <w:color w:val="0000FF"/>
        </w:rPr>
        <w:t>Note 24 Other Contingencies and Commitments</w:t>
      </w:r>
      <w:r>
        <w:rPr>
          <w:rFonts w:ascii="Times New Roman" w:cs="Times New Roman" w:eastAsia="Times New Roman" w:hAnsi="Times New Roman"/>
          <w:sz w:val="18"/>
          <w:szCs w:val="18"/>
          <w:color w:val="000000"/>
        </w:rPr>
        <w:t>, under the heading “Long-Term Unconditional Purchase Obligations and Commitments, Including Throughput and Take-or-Pay Agreements.”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FF0000"/>
        </w:rPr>
        <w:t xml:space="preserve">Direct Guarantees </w:t>
      </w:r>
      <w:r>
        <w:rPr>
          <w:rFonts w:ascii="Times New Roman" w:cs="Times New Roman" w:eastAsia="Times New Roman" w:hAnsi="Times New Roman"/>
          <w:sz w:val="18"/>
          <w:szCs w:val="18"/>
          <w:color w:val="000000"/>
        </w:rPr>
        <w:t>Information related to guarantees is included in</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u w:val="single" w:color="auto"/>
          <w:color w:val="0000FF"/>
        </w:rPr>
        <w:t>Note 24 Other Contingencies and Commitments</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under the heading “Guarantees.”</w:t>
      </w:r>
    </w:p>
    <w:p>
      <w:pPr>
        <w:spacing w:after="0" w:line="117" w:lineRule="exact"/>
        <w:rPr>
          <w:sz w:val="20"/>
          <w:szCs w:val="20"/>
          <w:color w:val="auto"/>
        </w:rPr>
      </w:pPr>
    </w:p>
    <w:p>
      <w:pPr>
        <w:jc w:val="both"/>
        <w:ind w:left="20"/>
        <w:spacing w:after="0" w:line="286"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Indemnifications </w:t>
      </w:r>
      <w:r>
        <w:rPr>
          <w:rFonts w:ascii="Times New Roman" w:cs="Times New Roman" w:eastAsia="Times New Roman" w:hAnsi="Times New Roman"/>
          <w:sz w:val="18"/>
          <w:szCs w:val="18"/>
          <w:color w:val="000000"/>
        </w:rPr>
        <w:t>Information related to indemnifications is included in</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u w:val="single" w:color="auto"/>
          <w:color w:val="0000FF"/>
        </w:rPr>
        <w:t>Note 24 Other Contingencies and Commitments</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under the heading</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“Indemnifications.”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414" w:right="339" w:bottom="1440" w:gutter="0" w:footer="0" w:header="0"/>
        </w:sectPr>
      </w:pPr>
    </w:p>
    <w:bookmarkStart w:id="52" w:name="page53"/>
    <w:bookmarkEnd w:id="52"/>
    <w:p>
      <w:pPr>
        <w:spacing w:after="0"/>
        <w:tabs>
          <w:tab w:leader="none" w:pos="9400" w:val="left"/>
        </w:tabs>
        <w:rPr>
          <w:sz w:val="20"/>
          <w:szCs w:val="20"/>
          <w:color w:val="auto"/>
        </w:rPr>
      </w:pPr>
      <w:r>
        <w:rPr>
          <w:rFonts w:ascii="Arial" w:cs="Arial" w:eastAsia="Arial" w:hAnsi="Arial"/>
          <w:sz w:val="14"/>
          <w:szCs w:val="14"/>
          <w:color w:val="0077C0"/>
        </w:rPr>
        <w:t>Management’s Discussion and Analysis of Financial Condition and Results of Operations</w:t>
      </w:r>
      <w:r>
        <w:rPr>
          <w:sz w:val="20"/>
          <w:szCs w:val="20"/>
          <w:color w:val="auto"/>
        </w:rPr>
        <w:tab/>
      </w:r>
      <w:r>
        <w:rPr>
          <w:rFonts w:ascii="Arial" w:cs="Arial" w:eastAsia="Arial" w:hAnsi="Arial"/>
          <w:sz w:val="14"/>
          <w:szCs w:val="14"/>
          <w:color w:val="0077C0"/>
        </w:rPr>
        <w:t>Financial 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77C0"/>
        </w:rPr>
        <w:t>Financial Ratios and Metrics</w:t>
      </w:r>
    </w:p>
    <w:p>
      <w:pPr>
        <w:spacing w:after="0" w:line="64" w:lineRule="exact"/>
        <w:rPr>
          <w:sz w:val="20"/>
          <w:szCs w:val="20"/>
          <w:color w:val="auto"/>
        </w:rPr>
      </w:pPr>
    </w:p>
    <w:p>
      <w:pPr>
        <w:jc w:val="both"/>
        <w:ind w:left="20" w:right="20"/>
        <w:spacing w:after="0" w:line="297" w:lineRule="auto"/>
        <w:rPr>
          <w:sz w:val="20"/>
          <w:szCs w:val="20"/>
          <w:color w:val="auto"/>
        </w:rPr>
      </w:pPr>
      <w:r>
        <w:rPr>
          <w:rFonts w:ascii="Times New Roman" w:cs="Times New Roman" w:eastAsia="Times New Roman" w:hAnsi="Times New Roman"/>
          <w:sz w:val="18"/>
          <w:szCs w:val="18"/>
          <w:color w:val="auto"/>
        </w:rPr>
        <w:t>The following represent several metrics the company believes are useful measures to monitor the financial health of the company and its performance over time:</w:t>
      </w:r>
    </w:p>
    <w:p>
      <w:pPr>
        <w:spacing w:after="0" w:line="10" w:lineRule="exact"/>
        <w:rPr>
          <w:sz w:val="20"/>
          <w:szCs w:val="20"/>
          <w:color w:val="auto"/>
        </w:rPr>
      </w:pPr>
    </w:p>
    <w:p>
      <w:pPr>
        <w:jc w:val="both"/>
        <w:ind w:left="20"/>
        <w:spacing w:after="0" w:line="276"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Current Ratio </w:t>
      </w:r>
      <w:r>
        <w:rPr>
          <w:rFonts w:ascii="Times New Roman" w:cs="Times New Roman" w:eastAsia="Times New Roman" w:hAnsi="Times New Roman"/>
          <w:sz w:val="18"/>
          <w:szCs w:val="18"/>
          <w:color w:val="000000"/>
        </w:rPr>
        <w:t>Current assets divided by current liabilities, which indicates the company’s ability to repay its short-term liabilities with short-term assets.</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The current ratio in all periods is adversely affected by the fact that Chevron’s inventories are valued on a last-in, first-out basis. At year-end 2024, the book value of inventory was lower than replacement costs, based on average acquisition costs during the year, by approximately $6.0 billion.</w:t>
      </w:r>
    </w:p>
    <w:p>
      <w:pPr>
        <w:spacing w:after="0" w:line="82"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4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At December 31</w:t>
            </w:r>
          </w:p>
        </w:tc>
        <w:tc>
          <w:tcPr>
            <w:tcW w:w="0" w:type="dxa"/>
            <w:vAlign w:val="bottom"/>
          </w:tcPr>
          <w:p>
            <w:pPr>
              <w:spacing w:after="0"/>
              <w:rPr>
                <w:sz w:val="1"/>
                <w:szCs w:val="1"/>
                <w:color w:val="auto"/>
              </w:rPr>
            </w:pPr>
          </w:p>
        </w:tc>
      </w:tr>
      <w:tr>
        <w:trPr>
          <w:trHeight w:val="23"/>
        </w:trPr>
        <w:tc>
          <w:tcPr>
            <w:tcW w:w="6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320" w:type="dxa"/>
            <w:vAlign w:val="bottom"/>
            <w:tcBorders>
              <w:bottom w:val="single" w:sz="8" w:color="0077C0"/>
            </w:tcBorders>
          </w:tcPr>
          <w:p>
            <w:pPr>
              <w:spacing w:after="0"/>
              <w:rPr>
                <w:sz w:val="2"/>
                <w:szCs w:val="2"/>
                <w:color w:val="auto"/>
              </w:rPr>
            </w:pPr>
          </w:p>
        </w:tc>
        <w:tc>
          <w:tcPr>
            <w:tcW w:w="1140" w:type="dxa"/>
            <w:vAlign w:val="bottom"/>
            <w:tcBorders>
              <w:bottom w:val="single" w:sz="8" w:color="0077C0"/>
            </w:tcBorders>
          </w:tcPr>
          <w:p>
            <w:pPr>
              <w:spacing w:after="0"/>
              <w:rPr>
                <w:sz w:val="2"/>
                <w:szCs w:val="2"/>
                <w:color w:val="auto"/>
              </w:rPr>
            </w:pPr>
          </w:p>
        </w:tc>
        <w:tc>
          <w:tcPr>
            <w:tcW w:w="400" w:type="dxa"/>
            <w:vAlign w:val="bottom"/>
            <w:tcBorders>
              <w:bottom w:val="single" w:sz="8" w:color="0077C0"/>
            </w:tcBorders>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40" w:type="dxa"/>
            <w:vAlign w:val="bottom"/>
            <w:tcBorders>
              <w:bottom w:val="single" w:sz="8" w:color="0077C0"/>
            </w:tcBorders>
            <w:vMerge w:val="continue"/>
          </w:tcPr>
          <w:p>
            <w:pPr>
              <w:spacing w:after="0"/>
              <w:rPr>
                <w:sz w:val="16"/>
                <w:szCs w:val="16"/>
                <w:color w:val="auto"/>
              </w:rPr>
            </w:pPr>
          </w:p>
        </w:tc>
        <w:tc>
          <w:tcPr>
            <w:tcW w:w="320" w:type="dxa"/>
            <w:vAlign w:val="bottom"/>
            <w:tcBorders>
              <w:bottom w:val="single" w:sz="8" w:color="0077C0"/>
            </w:tcBorders>
          </w:tcPr>
          <w:p>
            <w:pPr>
              <w:spacing w:after="0"/>
              <w:rPr>
                <w:sz w:val="16"/>
                <w:szCs w:val="16"/>
                <w:color w:val="auto"/>
              </w:rPr>
            </w:pPr>
          </w:p>
        </w:tc>
        <w:tc>
          <w:tcPr>
            <w:tcW w:w="1140" w:type="dxa"/>
            <w:vAlign w:val="bottom"/>
            <w:tcBorders>
              <w:bottom w:val="single" w:sz="8" w:color="0077C0"/>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0077C0"/>
            </w:tcBorders>
          </w:tcPr>
          <w:p>
            <w:pPr>
              <w:spacing w:after="0"/>
              <w:rPr>
                <w:sz w:val="16"/>
                <w:szCs w:val="16"/>
                <w:color w:val="auto"/>
              </w:rPr>
            </w:pPr>
          </w:p>
        </w:tc>
        <w:tc>
          <w:tcPr>
            <w:tcW w:w="900" w:type="dxa"/>
            <w:vAlign w:val="bottom"/>
            <w:tcBorders>
              <w:bottom w:val="single" w:sz="8" w:color="0077C0"/>
            </w:tcBorders>
          </w:tcPr>
          <w:p>
            <w:pPr>
              <w:jc w:val="right"/>
              <w:ind w:right="148"/>
              <w:spacing w:after="0"/>
              <w:rPr>
                <w:sz w:val="20"/>
                <w:szCs w:val="20"/>
                <w:color w:val="auto"/>
              </w:rPr>
            </w:pPr>
            <w:r>
              <w:rPr>
                <w:rFonts w:ascii="Times New Roman" w:cs="Times New Roman" w:eastAsia="Times New Roman" w:hAnsi="Times New Roman"/>
                <w:sz w:val="14"/>
                <w:szCs w:val="14"/>
                <w:color w:val="auto"/>
              </w:rPr>
              <w:t>2023</w:t>
            </w:r>
          </w:p>
        </w:tc>
        <w:tc>
          <w:tcPr>
            <w:tcW w:w="540" w:type="dxa"/>
            <w:vAlign w:val="bottom"/>
            <w:tcBorders>
              <w:bottom w:val="single" w:sz="8" w:color="0077C0"/>
            </w:tcBorders>
          </w:tcPr>
          <w:p>
            <w:pPr>
              <w:spacing w:after="0"/>
              <w:rPr>
                <w:sz w:val="16"/>
                <w:szCs w:val="16"/>
                <w:color w:val="auto"/>
              </w:rPr>
            </w:pPr>
          </w:p>
        </w:tc>
        <w:tc>
          <w:tcPr>
            <w:tcW w:w="1000" w:type="dxa"/>
            <w:vAlign w:val="bottom"/>
            <w:tcBorders>
              <w:bottom w:val="single" w:sz="8" w:color="0077C0"/>
            </w:tcBorders>
          </w:tcPr>
          <w:p>
            <w:pPr>
              <w:jc w:val="right"/>
              <w:ind w:right="248"/>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190"/>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right w:val="single" w:sz="8" w:color="0077C0"/>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40,911</w:t>
            </w:r>
          </w:p>
        </w:tc>
        <w:tc>
          <w:tcPr>
            <w:tcW w:w="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41,128</w:t>
            </w:r>
          </w:p>
        </w:tc>
        <w:tc>
          <w:tcPr>
            <w:tcW w:w="5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50,343</w:t>
            </w:r>
          </w:p>
        </w:tc>
        <w:tc>
          <w:tcPr>
            <w:tcW w:w="0" w:type="dxa"/>
            <w:vAlign w:val="bottom"/>
          </w:tcPr>
          <w:p>
            <w:pPr>
              <w:spacing w:after="0"/>
              <w:rPr>
                <w:sz w:val="1"/>
                <w:szCs w:val="1"/>
                <w:color w:val="auto"/>
              </w:rPr>
            </w:pPr>
          </w:p>
        </w:tc>
      </w:tr>
      <w:tr>
        <w:trPr>
          <w:trHeight w:val="191"/>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320" w:type="dxa"/>
            <w:vAlign w:val="bottom"/>
          </w:tcPr>
          <w:p>
            <w:pPr>
              <w:spacing w:after="0"/>
              <w:rPr>
                <w:sz w:val="16"/>
                <w:szCs w:val="16"/>
                <w:color w:val="auto"/>
              </w:rPr>
            </w:pPr>
          </w:p>
        </w:tc>
        <w:tc>
          <w:tcPr>
            <w:tcW w:w="1140" w:type="dxa"/>
            <w:vAlign w:val="bottom"/>
            <w:tcBorders>
              <w:right w:val="single" w:sz="8" w:color="006EBF"/>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38,558</w:t>
            </w:r>
          </w:p>
        </w:tc>
        <w:tc>
          <w:tcPr>
            <w:tcW w:w="400" w:type="dxa"/>
            <w:vAlign w:val="bottom"/>
          </w:tcPr>
          <w:p>
            <w:pPr>
              <w:spacing w:after="0"/>
              <w:rPr>
                <w:sz w:val="16"/>
                <w:szCs w:val="16"/>
                <w:color w:val="auto"/>
              </w:rPr>
            </w:pPr>
          </w:p>
        </w:tc>
        <w:tc>
          <w:tcPr>
            <w:tcW w:w="9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32,258</w:t>
            </w:r>
          </w:p>
        </w:tc>
        <w:tc>
          <w:tcPr>
            <w:tcW w:w="540" w:type="dxa"/>
            <w:vAlign w:val="bottom"/>
          </w:tcPr>
          <w:p>
            <w:pPr>
              <w:spacing w:after="0"/>
              <w:rPr>
                <w:sz w:val="16"/>
                <w:szCs w:val="16"/>
                <w:color w:val="auto"/>
              </w:rPr>
            </w:pPr>
          </w:p>
        </w:tc>
        <w:tc>
          <w:tcPr>
            <w:tcW w:w="10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34,208</w:t>
            </w:r>
          </w:p>
        </w:tc>
        <w:tc>
          <w:tcPr>
            <w:tcW w:w="0" w:type="dxa"/>
            <w:vAlign w:val="bottom"/>
          </w:tcPr>
          <w:p>
            <w:pPr>
              <w:spacing w:after="0"/>
              <w:rPr>
                <w:sz w:val="1"/>
                <w:szCs w:val="1"/>
                <w:color w:val="auto"/>
              </w:rPr>
            </w:pPr>
          </w:p>
        </w:tc>
      </w:tr>
      <w:tr>
        <w:trPr>
          <w:trHeight w:val="23"/>
        </w:trPr>
        <w:tc>
          <w:tcPr>
            <w:tcW w:w="694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1140" w:type="dxa"/>
            <w:vAlign w:val="bottom"/>
            <w:tcBorders>
              <w:bottom w:val="single" w:sz="8" w:color="0077C0"/>
              <w:right w:val="single" w:sz="8" w:color="006EBF"/>
            </w:tcBorders>
          </w:tcPr>
          <w:p>
            <w:pPr>
              <w:spacing w:after="0"/>
              <w:rPr>
                <w:sz w:val="2"/>
                <w:szCs w:val="2"/>
                <w:color w:val="auto"/>
              </w:rPr>
            </w:pPr>
          </w:p>
        </w:tc>
        <w:tc>
          <w:tcPr>
            <w:tcW w:w="400" w:type="dxa"/>
            <w:vAlign w:val="bottom"/>
            <w:tcBorders>
              <w:bottom w:val="single" w:sz="8" w:color="0077C0"/>
            </w:tcBorders>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4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Current Ratio</w:t>
            </w:r>
          </w:p>
        </w:tc>
        <w:tc>
          <w:tcPr>
            <w:tcW w:w="320" w:type="dxa"/>
            <w:vAlign w:val="bottom"/>
            <w:tcBorders>
              <w:bottom w:val="single" w:sz="8" w:color="0077C0"/>
            </w:tcBorders>
          </w:tcPr>
          <w:p>
            <w:pPr>
              <w:spacing w:after="0"/>
              <w:rPr>
                <w:sz w:val="16"/>
                <w:szCs w:val="16"/>
                <w:color w:val="auto"/>
              </w:rPr>
            </w:pPr>
          </w:p>
        </w:tc>
        <w:tc>
          <w:tcPr>
            <w:tcW w:w="1140" w:type="dxa"/>
            <w:vAlign w:val="bottom"/>
            <w:tcBorders>
              <w:bottom w:val="single" w:sz="8" w:color="0077C0"/>
              <w:right w:val="single" w:sz="8" w:color="0077C0"/>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1.1</w:t>
            </w:r>
          </w:p>
        </w:tc>
        <w:tc>
          <w:tcPr>
            <w:tcW w:w="400" w:type="dxa"/>
            <w:vAlign w:val="bottom"/>
            <w:tcBorders>
              <w:bottom w:val="single" w:sz="8" w:color="0077C0"/>
            </w:tcBorders>
          </w:tcPr>
          <w:p>
            <w:pPr>
              <w:spacing w:after="0"/>
              <w:rPr>
                <w:sz w:val="16"/>
                <w:szCs w:val="16"/>
                <w:color w:val="auto"/>
              </w:rPr>
            </w:pPr>
          </w:p>
        </w:tc>
        <w:tc>
          <w:tcPr>
            <w:tcW w:w="900" w:type="dxa"/>
            <w:vAlign w:val="bottom"/>
            <w:tcBorders>
              <w:bottom w:val="single" w:sz="8" w:color="0077C0"/>
            </w:tcBorders>
          </w:tcPr>
          <w:p>
            <w:pPr>
              <w:jc w:val="right"/>
              <w:ind w:right="148"/>
              <w:spacing w:after="0"/>
              <w:rPr>
                <w:sz w:val="20"/>
                <w:szCs w:val="20"/>
                <w:color w:val="auto"/>
              </w:rPr>
            </w:pPr>
            <w:r>
              <w:rPr>
                <w:rFonts w:ascii="Times New Roman" w:cs="Times New Roman" w:eastAsia="Times New Roman" w:hAnsi="Times New Roman"/>
                <w:sz w:val="14"/>
                <w:szCs w:val="14"/>
                <w:color w:val="auto"/>
              </w:rPr>
              <w:t>1.3</w:t>
            </w:r>
          </w:p>
        </w:tc>
        <w:tc>
          <w:tcPr>
            <w:tcW w:w="540" w:type="dxa"/>
            <w:vAlign w:val="bottom"/>
            <w:tcBorders>
              <w:bottom w:val="single" w:sz="8" w:color="0077C0"/>
            </w:tcBorders>
          </w:tcPr>
          <w:p>
            <w:pPr>
              <w:spacing w:after="0"/>
              <w:rPr>
                <w:sz w:val="16"/>
                <w:szCs w:val="16"/>
                <w:color w:val="auto"/>
              </w:rPr>
            </w:pPr>
          </w:p>
        </w:tc>
        <w:tc>
          <w:tcPr>
            <w:tcW w:w="1000" w:type="dxa"/>
            <w:vAlign w:val="bottom"/>
            <w:tcBorders>
              <w:bottom w:val="single" w:sz="8" w:color="0077C0"/>
            </w:tcBorders>
          </w:tcPr>
          <w:p>
            <w:pPr>
              <w:jc w:val="right"/>
              <w:ind w:right="248"/>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left="20" w:right="20"/>
        <w:spacing w:after="0" w:line="302"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Interest Coverage Ratio </w:t>
      </w:r>
      <w:r>
        <w:rPr>
          <w:rFonts w:ascii="Times New Roman" w:cs="Times New Roman" w:eastAsia="Times New Roman" w:hAnsi="Times New Roman"/>
          <w:sz w:val="18"/>
          <w:szCs w:val="18"/>
          <w:color w:val="000000"/>
        </w:rPr>
        <w:t>Income before income tax expense, plus interest and debt expense and amortization of capitalized interest, less net income</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attributable to noncontrolling interests, divided by before-tax interest costs. This ratio indicates the company’s ability to pay interest on outstanding debt.</w:t>
      </w:r>
    </w:p>
    <w:p>
      <w:pPr>
        <w:spacing w:after="0" w:line="5"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color w:val="auto"/>
              </w:rPr>
              <w:t>Year ended December 31</w:t>
            </w:r>
          </w:p>
        </w:tc>
        <w:tc>
          <w:tcPr>
            <w:tcW w:w="0" w:type="dxa"/>
            <w:vAlign w:val="bottom"/>
          </w:tcPr>
          <w:p>
            <w:pPr>
              <w:spacing w:after="0"/>
              <w:rPr>
                <w:sz w:val="1"/>
                <w:szCs w:val="1"/>
                <w:color w:val="auto"/>
              </w:rPr>
            </w:pPr>
          </w:p>
        </w:tc>
      </w:tr>
      <w:tr>
        <w:trPr>
          <w:trHeight w:val="23"/>
        </w:trPr>
        <w:tc>
          <w:tcPr>
            <w:tcW w:w="6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320" w:type="dxa"/>
            <w:vAlign w:val="bottom"/>
            <w:tcBorders>
              <w:bottom w:val="single" w:sz="8" w:color="0077C0"/>
            </w:tcBorders>
          </w:tcPr>
          <w:p>
            <w:pPr>
              <w:spacing w:after="0"/>
              <w:rPr>
                <w:sz w:val="2"/>
                <w:szCs w:val="2"/>
                <w:color w:val="auto"/>
              </w:rPr>
            </w:pPr>
          </w:p>
        </w:tc>
        <w:tc>
          <w:tcPr>
            <w:tcW w:w="1120" w:type="dxa"/>
            <w:vAlign w:val="bottom"/>
            <w:tcBorders>
              <w:bottom w:val="single" w:sz="8" w:color="0077C0"/>
            </w:tcBorders>
          </w:tcPr>
          <w:p>
            <w:pPr>
              <w:spacing w:after="0"/>
              <w:rPr>
                <w:sz w:val="2"/>
                <w:szCs w:val="2"/>
                <w:color w:val="auto"/>
              </w:rPr>
            </w:pPr>
          </w:p>
        </w:tc>
        <w:tc>
          <w:tcPr>
            <w:tcW w:w="10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40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80" w:type="dxa"/>
            <w:vAlign w:val="bottom"/>
            <w:tcBorders>
              <w:bottom w:val="single" w:sz="8" w:color="0077C0"/>
            </w:tcBorders>
            <w:vMerge w:val="continue"/>
          </w:tcPr>
          <w:p>
            <w:pPr>
              <w:spacing w:after="0"/>
              <w:rPr>
                <w:sz w:val="16"/>
                <w:szCs w:val="16"/>
                <w:color w:val="auto"/>
              </w:rPr>
            </w:pPr>
          </w:p>
        </w:tc>
        <w:tc>
          <w:tcPr>
            <w:tcW w:w="320" w:type="dxa"/>
            <w:vAlign w:val="bottom"/>
            <w:tcBorders>
              <w:bottom w:val="single" w:sz="8" w:color="0077C0"/>
            </w:tcBorders>
          </w:tcPr>
          <w:p>
            <w:pPr>
              <w:spacing w:after="0"/>
              <w:rPr>
                <w:sz w:val="16"/>
                <w:szCs w:val="16"/>
                <w:color w:val="auto"/>
              </w:rPr>
            </w:pPr>
          </w:p>
        </w:tc>
        <w:tc>
          <w:tcPr>
            <w:tcW w:w="1120" w:type="dxa"/>
            <w:vAlign w:val="bottom"/>
            <w:tcBorders>
              <w:bottom w:val="single" w:sz="8" w:color="0077C0"/>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0077C0"/>
            </w:tcBorders>
          </w:tcPr>
          <w:p>
            <w:pPr>
              <w:spacing w:after="0"/>
              <w:rPr>
                <w:sz w:val="16"/>
                <w:szCs w:val="16"/>
                <w:color w:val="auto"/>
              </w:rPr>
            </w:pPr>
          </w:p>
        </w:tc>
        <w:tc>
          <w:tcPr>
            <w:tcW w:w="32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400" w:type="dxa"/>
            <w:vAlign w:val="bottom"/>
            <w:tcBorders>
              <w:bottom w:val="single" w:sz="8" w:color="0077C0"/>
            </w:tcBorders>
          </w:tcPr>
          <w:p>
            <w:pPr>
              <w:spacing w:after="0"/>
              <w:rPr>
                <w:sz w:val="16"/>
                <w:szCs w:val="16"/>
                <w:color w:val="auto"/>
              </w:rPr>
            </w:pPr>
          </w:p>
        </w:tc>
        <w:tc>
          <w:tcPr>
            <w:tcW w:w="32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320" w:type="dxa"/>
            <w:vAlign w:val="bottom"/>
            <w:tcBorders>
              <w:bottom w:val="single" w:sz="8" w:color="0077C0"/>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 Expense</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right w:val="single" w:sz="8" w:color="0077C0"/>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27,506</w:t>
            </w:r>
          </w:p>
        </w:tc>
        <w:tc>
          <w:tcPr>
            <w:tcW w:w="10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29,584</w:t>
            </w:r>
          </w:p>
        </w:tc>
        <w:tc>
          <w:tcPr>
            <w:tcW w:w="40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49,674</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Plus: Interest and debt expense</w:t>
            </w:r>
          </w:p>
        </w:tc>
        <w:tc>
          <w:tcPr>
            <w:tcW w:w="320" w:type="dxa"/>
            <w:vAlign w:val="bottom"/>
          </w:tcPr>
          <w:p>
            <w:pPr>
              <w:spacing w:after="0"/>
              <w:rPr>
                <w:sz w:val="16"/>
                <w:szCs w:val="16"/>
                <w:color w:val="auto"/>
              </w:rPr>
            </w:pPr>
          </w:p>
        </w:tc>
        <w:tc>
          <w:tcPr>
            <w:tcW w:w="1120" w:type="dxa"/>
            <w:vAlign w:val="bottom"/>
            <w:tcBorders>
              <w:right w:val="single" w:sz="8" w:color="0077C0"/>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594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6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Plus: Before-tax amortization of capitalized interest</w:t>
            </w:r>
          </w:p>
        </w:tc>
        <w:tc>
          <w:tcPr>
            <w:tcW w:w="320" w:type="dxa"/>
            <w:vAlign w:val="bottom"/>
          </w:tcPr>
          <w:p>
            <w:pPr>
              <w:spacing w:after="0"/>
              <w:rPr>
                <w:sz w:val="19"/>
                <w:szCs w:val="19"/>
                <w:color w:val="auto"/>
              </w:rPr>
            </w:pPr>
          </w:p>
        </w:tc>
        <w:tc>
          <w:tcPr>
            <w:tcW w:w="1120" w:type="dxa"/>
            <w:vAlign w:val="bottom"/>
            <w:tcBorders>
              <w:right w:val="single" w:sz="8" w:color="0077C0"/>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6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interests</w:t>
            </w:r>
          </w:p>
        </w:tc>
        <w:tc>
          <w:tcPr>
            <w:tcW w:w="320" w:type="dxa"/>
            <w:vAlign w:val="bottom"/>
          </w:tcPr>
          <w:p>
            <w:pPr>
              <w:spacing w:after="0"/>
              <w:rPr>
                <w:sz w:val="15"/>
                <w:szCs w:val="15"/>
                <w:color w:val="auto"/>
              </w:rPr>
            </w:pPr>
          </w:p>
        </w:tc>
        <w:tc>
          <w:tcPr>
            <w:tcW w:w="1120" w:type="dxa"/>
            <w:vAlign w:val="bottom"/>
            <w:tcBorders>
              <w:right w:val="single" w:sz="8" w:color="006EBF"/>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88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98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1120" w:type="dxa"/>
            <w:vAlign w:val="bottom"/>
            <w:tcBorders>
              <w:bottom w:val="single" w:sz="8" w:color="0077C0"/>
              <w:right w:val="single" w:sz="8" w:color="006EBF"/>
            </w:tcBorders>
          </w:tcPr>
          <w:p>
            <w:pPr>
              <w:spacing w:after="0"/>
              <w:rPr>
                <w:sz w:val="2"/>
                <w:szCs w:val="2"/>
                <w:color w:val="auto"/>
              </w:rPr>
            </w:pPr>
          </w:p>
        </w:tc>
        <w:tc>
          <w:tcPr>
            <w:tcW w:w="10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40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80" w:type="dxa"/>
            <w:vAlign w:val="bottom"/>
            <w:tcBorders>
              <w:bottom w:val="single" w:sz="8" w:color="0077C0"/>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Subtotal for calculation</w:t>
            </w:r>
          </w:p>
        </w:tc>
        <w:tc>
          <w:tcPr>
            <w:tcW w:w="320" w:type="dxa"/>
            <w:vAlign w:val="bottom"/>
            <w:tcBorders>
              <w:bottom w:val="single" w:sz="8" w:color="0077C0"/>
            </w:tcBorders>
          </w:tcPr>
          <w:p>
            <w:pPr>
              <w:spacing w:after="0"/>
              <w:rPr>
                <w:sz w:val="16"/>
                <w:szCs w:val="16"/>
                <w:color w:val="auto"/>
              </w:rPr>
            </w:pPr>
          </w:p>
        </w:tc>
        <w:tc>
          <w:tcPr>
            <w:tcW w:w="1120" w:type="dxa"/>
            <w:vAlign w:val="bottom"/>
            <w:tcBorders>
              <w:bottom w:val="single" w:sz="8" w:color="0077C0"/>
              <w:right w:val="single" w:sz="8" w:color="006EBF"/>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28,226</w:t>
            </w:r>
          </w:p>
        </w:tc>
        <w:tc>
          <w:tcPr>
            <w:tcW w:w="100" w:type="dxa"/>
            <w:vAlign w:val="bottom"/>
            <w:tcBorders>
              <w:bottom w:val="single" w:sz="8" w:color="0077C0"/>
            </w:tcBorders>
          </w:tcPr>
          <w:p>
            <w:pPr>
              <w:spacing w:after="0"/>
              <w:rPr>
                <w:sz w:val="16"/>
                <w:szCs w:val="16"/>
                <w:color w:val="auto"/>
              </w:rPr>
            </w:pPr>
          </w:p>
        </w:tc>
        <w:tc>
          <w:tcPr>
            <w:tcW w:w="32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30,234</w:t>
            </w:r>
          </w:p>
        </w:tc>
        <w:tc>
          <w:tcPr>
            <w:tcW w:w="400" w:type="dxa"/>
            <w:vAlign w:val="bottom"/>
            <w:tcBorders>
              <w:bottom w:val="single" w:sz="8" w:color="0077C0"/>
            </w:tcBorders>
          </w:tcPr>
          <w:p>
            <w:pPr>
              <w:spacing w:after="0"/>
              <w:rPr>
                <w:sz w:val="16"/>
                <w:szCs w:val="16"/>
                <w:color w:val="auto"/>
              </w:rPr>
            </w:pPr>
          </w:p>
        </w:tc>
        <w:tc>
          <w:tcPr>
            <w:tcW w:w="32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50,246</w:t>
            </w:r>
          </w:p>
        </w:tc>
        <w:tc>
          <w:tcPr>
            <w:tcW w:w="320" w:type="dxa"/>
            <w:vAlign w:val="bottom"/>
            <w:tcBorders>
              <w:bottom w:val="single" w:sz="8" w:color="0077C0"/>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980" w:type="dxa"/>
            <w:vAlign w:val="bottom"/>
            <w:tcBorders>
              <w:bottom w:val="single" w:sz="8" w:color="006EBF"/>
            </w:tcBorders>
          </w:tcPr>
          <w:p>
            <w:pPr>
              <w:ind w:left="20"/>
              <w:spacing w:after="0"/>
              <w:rPr>
                <w:sz w:val="20"/>
                <w:szCs w:val="20"/>
                <w:color w:val="auto"/>
              </w:rPr>
            </w:pPr>
            <w:r>
              <w:rPr>
                <w:rFonts w:ascii="Times New Roman" w:cs="Times New Roman" w:eastAsia="Times New Roman" w:hAnsi="Times New Roman"/>
                <w:sz w:val="14"/>
                <w:szCs w:val="14"/>
                <w:color w:val="auto"/>
              </w:rPr>
              <w:t>Total financing interest and debt costs</w:t>
            </w:r>
          </w:p>
        </w:tc>
        <w:tc>
          <w:tcPr>
            <w:tcW w:w="320" w:type="dxa"/>
            <w:vAlign w:val="bottom"/>
            <w:tcBorders>
              <w:bottom w:val="single" w:sz="8" w:color="006EBF"/>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bottom w:val="single" w:sz="8" w:color="006EBF"/>
              <w:right w:val="single" w:sz="8" w:color="0077C0"/>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773</w:t>
            </w:r>
          </w:p>
        </w:tc>
        <w:tc>
          <w:tcPr>
            <w:tcW w:w="100" w:type="dxa"/>
            <w:vAlign w:val="bottom"/>
            <w:tcBorders>
              <w:bottom w:val="single" w:sz="8" w:color="006EBF"/>
            </w:tcBorders>
          </w:tcPr>
          <w:p>
            <w:pPr>
              <w:spacing w:after="0"/>
              <w:rPr>
                <w:sz w:val="17"/>
                <w:szCs w:val="17"/>
                <w:color w:val="auto"/>
              </w:rPr>
            </w:pPr>
          </w:p>
        </w:tc>
        <w:tc>
          <w:tcPr>
            <w:tcW w:w="320" w:type="dxa"/>
            <w:vAlign w:val="bottom"/>
            <w:tcBorders>
              <w:bottom w:val="single" w:sz="8" w:color="0077C0"/>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400" w:type="dxa"/>
            <w:vAlign w:val="bottom"/>
            <w:tcBorders>
              <w:bottom w:val="single" w:sz="8" w:color="006EBF"/>
            </w:tcBorders>
          </w:tcPr>
          <w:p>
            <w:pPr>
              <w:spacing w:after="0"/>
              <w:rPr>
                <w:sz w:val="17"/>
                <w:szCs w:val="17"/>
                <w:color w:val="auto"/>
              </w:rPr>
            </w:pPr>
          </w:p>
        </w:tc>
        <w:tc>
          <w:tcPr>
            <w:tcW w:w="320" w:type="dxa"/>
            <w:vAlign w:val="bottom"/>
            <w:tcBorders>
              <w:bottom w:val="single" w:sz="8" w:color="0077C0"/>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320" w:type="dxa"/>
            <w:vAlign w:val="bottom"/>
            <w:tcBorders>
              <w:bottom w:val="single" w:sz="8" w:color="006EB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8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Coverage Ratio</w:t>
            </w:r>
          </w:p>
        </w:tc>
        <w:tc>
          <w:tcPr>
            <w:tcW w:w="320" w:type="dxa"/>
            <w:vAlign w:val="bottom"/>
            <w:tcBorders>
              <w:bottom w:val="single" w:sz="8" w:color="0077C0"/>
            </w:tcBorders>
          </w:tcPr>
          <w:p>
            <w:pPr>
              <w:spacing w:after="0"/>
              <w:rPr>
                <w:sz w:val="17"/>
                <w:szCs w:val="17"/>
                <w:color w:val="auto"/>
              </w:rPr>
            </w:pPr>
          </w:p>
        </w:tc>
        <w:tc>
          <w:tcPr>
            <w:tcW w:w="1120" w:type="dxa"/>
            <w:vAlign w:val="bottom"/>
            <w:tcBorders>
              <w:bottom w:val="single" w:sz="8" w:color="0077C0"/>
              <w:right w:val="single" w:sz="8" w:color="0077C0"/>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36.5</w:t>
            </w:r>
          </w:p>
        </w:tc>
        <w:tc>
          <w:tcPr>
            <w:tcW w:w="100" w:type="dxa"/>
            <w:vAlign w:val="bottom"/>
            <w:tcBorders>
              <w:bottom w:val="single" w:sz="8" w:color="0077C0"/>
            </w:tcBorders>
          </w:tcPr>
          <w:p>
            <w:pPr>
              <w:spacing w:after="0"/>
              <w:rPr>
                <w:sz w:val="17"/>
                <w:szCs w:val="17"/>
                <w:color w:val="auto"/>
              </w:rPr>
            </w:pPr>
          </w:p>
        </w:tc>
        <w:tc>
          <w:tcPr>
            <w:tcW w:w="320" w:type="dxa"/>
            <w:vAlign w:val="bottom"/>
            <w:tcBorders>
              <w:bottom w:val="single" w:sz="8" w:color="0077C0"/>
            </w:tcBorders>
          </w:tcPr>
          <w:p>
            <w:pPr>
              <w:spacing w:after="0"/>
              <w:rPr>
                <w:sz w:val="17"/>
                <w:szCs w:val="17"/>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400" w:type="dxa"/>
            <w:vAlign w:val="bottom"/>
            <w:tcBorders>
              <w:bottom w:val="single" w:sz="8" w:color="0077C0"/>
            </w:tcBorders>
          </w:tcPr>
          <w:p>
            <w:pPr>
              <w:spacing w:after="0"/>
              <w:rPr>
                <w:sz w:val="17"/>
                <w:szCs w:val="17"/>
                <w:color w:val="auto"/>
              </w:rPr>
            </w:pPr>
          </w:p>
        </w:tc>
        <w:tc>
          <w:tcPr>
            <w:tcW w:w="320" w:type="dxa"/>
            <w:vAlign w:val="bottom"/>
            <w:tcBorders>
              <w:bottom w:val="single" w:sz="8" w:color="0077C0"/>
            </w:tcBorders>
          </w:tcPr>
          <w:p>
            <w:pPr>
              <w:spacing w:after="0"/>
              <w:rPr>
                <w:sz w:val="17"/>
                <w:szCs w:val="17"/>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79.8</w:t>
            </w:r>
          </w:p>
        </w:tc>
        <w:tc>
          <w:tcPr>
            <w:tcW w:w="320" w:type="dxa"/>
            <w:vAlign w:val="bottom"/>
            <w:tcBorders>
              <w:bottom w:val="single" w:sz="8" w:color="0077C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left="20" w:right="20"/>
        <w:spacing w:after="0" w:line="302"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Free Cash Flow </w:t>
      </w:r>
      <w:r>
        <w:rPr>
          <w:rFonts w:ascii="Times New Roman" w:cs="Times New Roman" w:eastAsia="Times New Roman" w:hAnsi="Times New Roman"/>
          <w:sz w:val="18"/>
          <w:szCs w:val="18"/>
          <w:color w:val="000000"/>
        </w:rPr>
        <w:t>The cash provided by operating activities less capital expenditures, which represents the cash available to creditors and investors after</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investing in the business.</w:t>
      </w:r>
    </w:p>
    <w:p>
      <w:pPr>
        <w:spacing w:after="0" w:line="5"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0" w:type="dxa"/>
            <w:vAlign w:val="bottom"/>
            <w:gridSpan w:val="3"/>
          </w:tcPr>
          <w:p>
            <w:pPr>
              <w:jc w:val="right"/>
              <w:ind w:right="248"/>
              <w:spacing w:after="0"/>
              <w:rPr>
                <w:sz w:val="20"/>
                <w:szCs w:val="20"/>
                <w:color w:val="auto"/>
              </w:rPr>
            </w:pPr>
            <w:r>
              <w:rPr>
                <w:rFonts w:ascii="Times New Roman" w:cs="Times New Roman" w:eastAsia="Times New Roman" w:hAnsi="Times New Roman"/>
                <w:sz w:val="14"/>
                <w:szCs w:val="14"/>
                <w:color w:val="auto"/>
              </w:rPr>
              <w:t>Year ended December 31</w:t>
            </w:r>
          </w:p>
        </w:tc>
        <w:tc>
          <w:tcPr>
            <w:tcW w:w="0" w:type="dxa"/>
            <w:vAlign w:val="bottom"/>
          </w:tcPr>
          <w:p>
            <w:pPr>
              <w:spacing w:after="0"/>
              <w:rPr>
                <w:sz w:val="1"/>
                <w:szCs w:val="1"/>
                <w:color w:val="auto"/>
              </w:rPr>
            </w:pPr>
          </w:p>
        </w:tc>
      </w:tr>
      <w:tr>
        <w:trPr>
          <w:trHeight w:val="23"/>
        </w:trPr>
        <w:tc>
          <w:tcPr>
            <w:tcW w:w="6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320" w:type="dxa"/>
            <w:vAlign w:val="bottom"/>
            <w:tcBorders>
              <w:bottom w:val="single" w:sz="8" w:color="0077C0"/>
            </w:tcBorders>
          </w:tcPr>
          <w:p>
            <w:pPr>
              <w:spacing w:after="0"/>
              <w:rPr>
                <w:sz w:val="2"/>
                <w:szCs w:val="2"/>
                <w:color w:val="auto"/>
              </w:rPr>
            </w:pPr>
          </w:p>
        </w:tc>
        <w:tc>
          <w:tcPr>
            <w:tcW w:w="1120" w:type="dxa"/>
            <w:vAlign w:val="bottom"/>
            <w:tcBorders>
              <w:bottom w:val="single" w:sz="8" w:color="0077C0"/>
            </w:tcBorders>
          </w:tcPr>
          <w:p>
            <w:pPr>
              <w:spacing w:after="0"/>
              <w:rPr>
                <w:sz w:val="2"/>
                <w:szCs w:val="2"/>
                <w:color w:val="auto"/>
              </w:rPr>
            </w:pPr>
          </w:p>
        </w:tc>
        <w:tc>
          <w:tcPr>
            <w:tcW w:w="42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80" w:type="dxa"/>
            <w:vAlign w:val="bottom"/>
            <w:tcBorders>
              <w:bottom w:val="single" w:sz="8" w:color="0077C0"/>
            </w:tcBorders>
            <w:vMerge w:val="continue"/>
          </w:tcPr>
          <w:p>
            <w:pPr>
              <w:spacing w:after="0"/>
              <w:rPr>
                <w:sz w:val="16"/>
                <w:szCs w:val="16"/>
                <w:color w:val="auto"/>
              </w:rPr>
            </w:pPr>
          </w:p>
        </w:tc>
        <w:tc>
          <w:tcPr>
            <w:tcW w:w="320" w:type="dxa"/>
            <w:vAlign w:val="bottom"/>
            <w:tcBorders>
              <w:bottom w:val="single" w:sz="8" w:color="0077C0"/>
            </w:tcBorders>
          </w:tcPr>
          <w:p>
            <w:pPr>
              <w:spacing w:after="0"/>
              <w:rPr>
                <w:sz w:val="16"/>
                <w:szCs w:val="16"/>
                <w:color w:val="auto"/>
              </w:rPr>
            </w:pPr>
          </w:p>
        </w:tc>
        <w:tc>
          <w:tcPr>
            <w:tcW w:w="1120" w:type="dxa"/>
            <w:vAlign w:val="bottom"/>
            <w:tcBorders>
              <w:bottom w:val="single" w:sz="8" w:color="0077C0"/>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0077C0"/>
            </w:tcBorders>
          </w:tcPr>
          <w:p>
            <w:pPr>
              <w:spacing w:after="0"/>
              <w:rPr>
                <w:sz w:val="16"/>
                <w:szCs w:val="16"/>
                <w:color w:val="auto"/>
              </w:rPr>
            </w:pPr>
          </w:p>
        </w:tc>
        <w:tc>
          <w:tcPr>
            <w:tcW w:w="880" w:type="dxa"/>
            <w:vAlign w:val="bottom"/>
            <w:tcBorders>
              <w:bottom w:val="single" w:sz="8" w:color="0077C0"/>
            </w:tcBorders>
          </w:tcPr>
          <w:p>
            <w:pPr>
              <w:jc w:val="right"/>
              <w:ind w:right="148"/>
              <w:spacing w:after="0"/>
              <w:rPr>
                <w:sz w:val="20"/>
                <w:szCs w:val="20"/>
                <w:color w:val="auto"/>
              </w:rPr>
            </w:pPr>
            <w:r>
              <w:rPr>
                <w:rFonts w:ascii="Times New Roman" w:cs="Times New Roman" w:eastAsia="Times New Roman" w:hAnsi="Times New Roman"/>
                <w:sz w:val="14"/>
                <w:szCs w:val="14"/>
                <w:color w:val="auto"/>
              </w:rPr>
              <w:t>2023</w:t>
            </w:r>
          </w:p>
        </w:tc>
        <w:tc>
          <w:tcPr>
            <w:tcW w:w="520" w:type="dxa"/>
            <w:vAlign w:val="bottom"/>
            <w:tcBorders>
              <w:bottom w:val="single" w:sz="8" w:color="0077C0"/>
            </w:tcBorders>
          </w:tcPr>
          <w:p>
            <w:pPr>
              <w:spacing w:after="0"/>
              <w:rPr>
                <w:sz w:val="16"/>
                <w:szCs w:val="16"/>
                <w:color w:val="auto"/>
              </w:rPr>
            </w:pPr>
          </w:p>
        </w:tc>
        <w:tc>
          <w:tcPr>
            <w:tcW w:w="1000" w:type="dxa"/>
            <w:vAlign w:val="bottom"/>
            <w:tcBorders>
              <w:bottom w:val="single" w:sz="8" w:color="0077C0"/>
            </w:tcBorders>
          </w:tcPr>
          <w:p>
            <w:pPr>
              <w:jc w:val="right"/>
              <w:ind w:right="248"/>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190"/>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right w:val="single" w:sz="8" w:color="0077C0"/>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31,492</w:t>
            </w:r>
          </w:p>
        </w:tc>
        <w:tc>
          <w:tcPr>
            <w:tcW w:w="4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35,609</w:t>
            </w:r>
          </w:p>
        </w:tc>
        <w:tc>
          <w:tcPr>
            <w:tcW w:w="5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49,602</w:t>
            </w:r>
          </w:p>
        </w:tc>
        <w:tc>
          <w:tcPr>
            <w:tcW w:w="0" w:type="dxa"/>
            <w:vAlign w:val="bottom"/>
          </w:tcPr>
          <w:p>
            <w:pPr>
              <w:spacing w:after="0"/>
              <w:rPr>
                <w:sz w:val="1"/>
                <w:szCs w:val="1"/>
                <w:color w:val="auto"/>
              </w:rPr>
            </w:pPr>
          </w:p>
        </w:tc>
      </w:tr>
      <w:tr>
        <w:trPr>
          <w:trHeight w:val="191"/>
        </w:trPr>
        <w:tc>
          <w:tcPr>
            <w:tcW w:w="6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Less: Capital expenditures</w:t>
            </w:r>
          </w:p>
        </w:tc>
        <w:tc>
          <w:tcPr>
            <w:tcW w:w="320" w:type="dxa"/>
            <w:vAlign w:val="bottom"/>
          </w:tcPr>
          <w:p>
            <w:pPr>
              <w:spacing w:after="0"/>
              <w:rPr>
                <w:sz w:val="16"/>
                <w:szCs w:val="16"/>
                <w:color w:val="auto"/>
              </w:rPr>
            </w:pPr>
          </w:p>
        </w:tc>
        <w:tc>
          <w:tcPr>
            <w:tcW w:w="1120" w:type="dxa"/>
            <w:vAlign w:val="bottom"/>
            <w:tcBorders>
              <w:right w:val="single" w:sz="8" w:color="0077C0"/>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16,448</w:t>
            </w:r>
          </w:p>
        </w:tc>
        <w:tc>
          <w:tcPr>
            <w:tcW w:w="420" w:type="dxa"/>
            <w:vAlign w:val="bottom"/>
          </w:tcPr>
          <w:p>
            <w:pPr>
              <w:spacing w:after="0"/>
              <w:rPr>
                <w:sz w:val="16"/>
                <w:szCs w:val="16"/>
                <w:color w:val="auto"/>
              </w:rPr>
            </w:pPr>
          </w:p>
        </w:tc>
        <w:tc>
          <w:tcPr>
            <w:tcW w:w="8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15,829</w:t>
            </w:r>
          </w:p>
        </w:tc>
        <w:tc>
          <w:tcPr>
            <w:tcW w:w="520" w:type="dxa"/>
            <w:vAlign w:val="bottom"/>
          </w:tcPr>
          <w:p>
            <w:pPr>
              <w:spacing w:after="0"/>
              <w:rPr>
                <w:sz w:val="16"/>
                <w:szCs w:val="16"/>
                <w:color w:val="auto"/>
              </w:rPr>
            </w:pPr>
          </w:p>
        </w:tc>
        <w:tc>
          <w:tcPr>
            <w:tcW w:w="10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11,974</w:t>
            </w:r>
          </w:p>
        </w:tc>
        <w:tc>
          <w:tcPr>
            <w:tcW w:w="0" w:type="dxa"/>
            <w:vAlign w:val="bottom"/>
          </w:tcPr>
          <w:p>
            <w:pPr>
              <w:spacing w:after="0"/>
              <w:rPr>
                <w:sz w:val="1"/>
                <w:szCs w:val="1"/>
                <w:color w:val="auto"/>
              </w:rPr>
            </w:pPr>
          </w:p>
        </w:tc>
      </w:tr>
      <w:tr>
        <w:trPr>
          <w:trHeight w:val="23"/>
        </w:trPr>
        <w:tc>
          <w:tcPr>
            <w:tcW w:w="6980" w:type="dxa"/>
            <w:vAlign w:val="bottom"/>
            <w:tcBorders>
              <w:bottom w:val="single" w:sz="8" w:color="006EBF"/>
            </w:tcBorders>
          </w:tcPr>
          <w:p>
            <w:pPr>
              <w:spacing w:after="0"/>
              <w:rPr>
                <w:sz w:val="2"/>
                <w:szCs w:val="2"/>
                <w:color w:val="auto"/>
              </w:rPr>
            </w:pPr>
          </w:p>
        </w:tc>
        <w:tc>
          <w:tcPr>
            <w:tcW w:w="320" w:type="dxa"/>
            <w:vAlign w:val="bottom"/>
            <w:tcBorders>
              <w:bottom w:val="single" w:sz="8" w:color="006EBF"/>
            </w:tcBorders>
          </w:tcPr>
          <w:p>
            <w:pPr>
              <w:spacing w:after="0"/>
              <w:rPr>
                <w:sz w:val="2"/>
                <w:szCs w:val="2"/>
                <w:color w:val="auto"/>
              </w:rPr>
            </w:pPr>
          </w:p>
        </w:tc>
        <w:tc>
          <w:tcPr>
            <w:tcW w:w="1120" w:type="dxa"/>
            <w:vAlign w:val="bottom"/>
            <w:tcBorders>
              <w:bottom w:val="single" w:sz="8" w:color="006EBF"/>
              <w:right w:val="single" w:sz="8" w:color="0077C0"/>
            </w:tcBorders>
          </w:tcPr>
          <w:p>
            <w:pPr>
              <w:spacing w:after="0"/>
              <w:rPr>
                <w:sz w:val="2"/>
                <w:szCs w:val="2"/>
                <w:color w:val="auto"/>
              </w:rPr>
            </w:pPr>
          </w:p>
        </w:tc>
        <w:tc>
          <w:tcPr>
            <w:tcW w:w="420" w:type="dxa"/>
            <w:vAlign w:val="bottom"/>
            <w:tcBorders>
              <w:bottom w:val="single" w:sz="8" w:color="006EBF"/>
            </w:tcBorders>
          </w:tcPr>
          <w:p>
            <w:pPr>
              <w:spacing w:after="0"/>
              <w:rPr>
                <w:sz w:val="2"/>
                <w:szCs w:val="2"/>
                <w:color w:val="auto"/>
              </w:rPr>
            </w:pPr>
          </w:p>
        </w:tc>
        <w:tc>
          <w:tcPr>
            <w:tcW w:w="880" w:type="dxa"/>
            <w:vAlign w:val="bottom"/>
            <w:tcBorders>
              <w:bottom w:val="single" w:sz="8" w:color="006EBF"/>
            </w:tcBorders>
          </w:tcPr>
          <w:p>
            <w:pPr>
              <w:spacing w:after="0"/>
              <w:rPr>
                <w:sz w:val="2"/>
                <w:szCs w:val="2"/>
                <w:color w:val="auto"/>
              </w:rPr>
            </w:pPr>
          </w:p>
        </w:tc>
        <w:tc>
          <w:tcPr>
            <w:tcW w:w="520" w:type="dxa"/>
            <w:vAlign w:val="bottom"/>
            <w:tcBorders>
              <w:bottom w:val="single" w:sz="8" w:color="006EBF"/>
            </w:tcBorders>
          </w:tcPr>
          <w:p>
            <w:pPr>
              <w:spacing w:after="0"/>
              <w:rPr>
                <w:sz w:val="2"/>
                <w:szCs w:val="2"/>
                <w:color w:val="auto"/>
              </w:rPr>
            </w:pPr>
          </w:p>
        </w:tc>
        <w:tc>
          <w:tcPr>
            <w:tcW w:w="1000" w:type="dxa"/>
            <w:vAlign w:val="bottom"/>
            <w:tcBorders>
              <w:bottom w:val="single" w:sz="8" w:color="006EBF"/>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8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Free Cash Flow</w:t>
            </w:r>
          </w:p>
        </w:tc>
        <w:tc>
          <w:tcPr>
            <w:tcW w:w="320" w:type="dxa"/>
            <w:vAlign w:val="bottom"/>
            <w:tcBorders>
              <w:bottom w:val="single" w:sz="8" w:color="0077C0"/>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bottom w:val="single" w:sz="8" w:color="0077C0"/>
              <w:right w:val="single" w:sz="8" w:color="0077C0"/>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15,044</w:t>
            </w:r>
          </w:p>
        </w:tc>
        <w:tc>
          <w:tcPr>
            <w:tcW w:w="420" w:type="dxa"/>
            <w:vAlign w:val="bottom"/>
            <w:tcBorders>
              <w:bottom w:val="single" w:sz="8" w:color="0077C0"/>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0077C0"/>
            </w:tcBorders>
          </w:tcPr>
          <w:p>
            <w:pPr>
              <w:jc w:val="right"/>
              <w:ind w:right="188"/>
              <w:spacing w:after="0"/>
              <w:rPr>
                <w:sz w:val="20"/>
                <w:szCs w:val="20"/>
                <w:color w:val="auto"/>
              </w:rPr>
            </w:pPr>
            <w:r>
              <w:rPr>
                <w:rFonts w:ascii="Times New Roman" w:cs="Times New Roman" w:eastAsia="Times New Roman" w:hAnsi="Times New Roman"/>
                <w:sz w:val="14"/>
                <w:szCs w:val="14"/>
                <w:color w:val="auto"/>
              </w:rPr>
              <w:t>19,780</w:t>
            </w:r>
          </w:p>
        </w:tc>
        <w:tc>
          <w:tcPr>
            <w:tcW w:w="520" w:type="dxa"/>
            <w:vAlign w:val="bottom"/>
            <w:tcBorders>
              <w:bottom w:val="single" w:sz="8" w:color="0077C0"/>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0077C0"/>
            </w:tcBorders>
          </w:tcPr>
          <w:p>
            <w:pPr>
              <w:jc w:val="right"/>
              <w:ind w:right="308"/>
              <w:spacing w:after="0"/>
              <w:rPr>
                <w:sz w:val="20"/>
                <w:szCs w:val="20"/>
                <w:color w:val="auto"/>
              </w:rPr>
            </w:pPr>
            <w:r>
              <w:rPr>
                <w:rFonts w:ascii="Times New Roman" w:cs="Times New Roman" w:eastAsia="Times New Roman" w:hAnsi="Times New Roman"/>
                <w:sz w:val="14"/>
                <w:szCs w:val="14"/>
                <w:color w:val="auto"/>
              </w:rPr>
              <w:t>37,628</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FF0000"/>
        </w:rPr>
        <w:t xml:space="preserve">Debt Ratio </w:t>
      </w:r>
      <w:r>
        <w:rPr>
          <w:rFonts w:ascii="Times New Roman" w:cs="Times New Roman" w:eastAsia="Times New Roman" w:hAnsi="Times New Roman"/>
          <w:sz w:val="18"/>
          <w:szCs w:val="18"/>
          <w:color w:val="000000"/>
        </w:rPr>
        <w:t>Total debt as a percentage of total debt plus Chevron Corporation Stockholders’ Equity, which indicates the company’s leverage.</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At December 31</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280" w:type="dxa"/>
            <w:vAlign w:val="bottom"/>
            <w:tcBorders>
              <w:bottom w:val="single" w:sz="8" w:color="0077C0"/>
            </w:tcBorders>
          </w:tcPr>
          <w:p>
            <w:pPr>
              <w:spacing w:after="0"/>
              <w:rPr>
                <w:sz w:val="2"/>
                <w:szCs w:val="2"/>
                <w:color w:val="auto"/>
              </w:rPr>
            </w:pPr>
          </w:p>
        </w:tc>
        <w:tc>
          <w:tcPr>
            <w:tcW w:w="720" w:type="dxa"/>
            <w:vAlign w:val="bottom"/>
            <w:tcBorders>
              <w:bottom w:val="single" w:sz="8" w:color="0077C0"/>
            </w:tcBorders>
          </w:tcPr>
          <w:p>
            <w:pPr>
              <w:spacing w:after="0"/>
              <w:rPr>
                <w:sz w:val="2"/>
                <w:szCs w:val="2"/>
                <w:color w:val="auto"/>
              </w:rPr>
            </w:pPr>
          </w:p>
        </w:tc>
        <w:tc>
          <w:tcPr>
            <w:tcW w:w="460" w:type="dxa"/>
            <w:vAlign w:val="bottom"/>
            <w:tcBorders>
              <w:bottom w:val="single" w:sz="8" w:color="0077C0"/>
            </w:tcBorders>
          </w:tcPr>
          <w:p>
            <w:pPr>
              <w:spacing w:after="0"/>
              <w:rPr>
                <w:sz w:val="2"/>
                <w:szCs w:val="2"/>
                <w:color w:val="auto"/>
              </w:rPr>
            </w:pPr>
          </w:p>
        </w:tc>
        <w:tc>
          <w:tcPr>
            <w:tcW w:w="8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720" w:type="dxa"/>
            <w:vAlign w:val="bottom"/>
            <w:tcBorders>
              <w:bottom w:val="single" w:sz="8" w:color="0077C0"/>
            </w:tcBorders>
          </w:tcPr>
          <w:p>
            <w:pPr>
              <w:spacing w:after="0"/>
              <w:rPr>
                <w:sz w:val="2"/>
                <w:szCs w:val="2"/>
                <w:color w:val="auto"/>
              </w:rPr>
            </w:pPr>
          </w:p>
        </w:tc>
        <w:tc>
          <w:tcPr>
            <w:tcW w:w="40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72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80" w:type="dxa"/>
            <w:vAlign w:val="bottom"/>
            <w:tcBorders>
              <w:bottom w:val="single" w:sz="8" w:color="0077C0"/>
            </w:tcBorders>
            <w:vMerge w:val="continue"/>
          </w:tcPr>
          <w:p>
            <w:pPr>
              <w:spacing w:after="0"/>
              <w:rPr>
                <w:sz w:val="16"/>
                <w:szCs w:val="16"/>
                <w:color w:val="auto"/>
              </w:rPr>
            </w:pPr>
          </w:p>
        </w:tc>
        <w:tc>
          <w:tcPr>
            <w:tcW w:w="280" w:type="dxa"/>
            <w:vAlign w:val="bottom"/>
            <w:tcBorders>
              <w:bottom w:val="single" w:sz="8" w:color="0077C0"/>
            </w:tcBorders>
          </w:tcPr>
          <w:p>
            <w:pPr>
              <w:spacing w:after="0"/>
              <w:rPr>
                <w:sz w:val="16"/>
                <w:szCs w:val="16"/>
                <w:color w:val="auto"/>
              </w:rPr>
            </w:pP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0077C0"/>
            </w:tcBorders>
          </w:tcPr>
          <w:p>
            <w:pPr>
              <w:spacing w:after="0"/>
              <w:rPr>
                <w:sz w:val="16"/>
                <w:szCs w:val="16"/>
                <w:color w:val="auto"/>
              </w:rPr>
            </w:pPr>
          </w:p>
        </w:tc>
        <w:tc>
          <w:tcPr>
            <w:tcW w:w="80" w:type="dxa"/>
            <w:vAlign w:val="bottom"/>
            <w:tcBorders>
              <w:bottom w:val="single" w:sz="8" w:color="0077C0"/>
            </w:tcBorders>
          </w:tcPr>
          <w:p>
            <w:pPr>
              <w:spacing w:after="0"/>
              <w:rPr>
                <w:sz w:val="16"/>
                <w:szCs w:val="16"/>
                <w:color w:val="auto"/>
              </w:rPr>
            </w:pPr>
          </w:p>
        </w:tc>
        <w:tc>
          <w:tcPr>
            <w:tcW w:w="280" w:type="dxa"/>
            <w:vAlign w:val="bottom"/>
            <w:tcBorders>
              <w:bottom w:val="single" w:sz="8" w:color="0077C0"/>
            </w:tcBorders>
          </w:tcPr>
          <w:p>
            <w:pPr>
              <w:spacing w:after="0"/>
              <w:rPr>
                <w:sz w:val="16"/>
                <w:szCs w:val="16"/>
                <w:color w:val="auto"/>
              </w:rPr>
            </w:pP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400" w:type="dxa"/>
            <w:vAlign w:val="bottom"/>
            <w:tcBorders>
              <w:bottom w:val="single" w:sz="8" w:color="0077C0"/>
            </w:tcBorders>
          </w:tcPr>
          <w:p>
            <w:pPr>
              <w:spacing w:after="0"/>
              <w:rPr>
                <w:sz w:val="16"/>
                <w:szCs w:val="16"/>
                <w:color w:val="auto"/>
              </w:rPr>
            </w:pPr>
          </w:p>
        </w:tc>
        <w:tc>
          <w:tcPr>
            <w:tcW w:w="280" w:type="dxa"/>
            <w:vAlign w:val="bottom"/>
            <w:tcBorders>
              <w:bottom w:val="single" w:sz="8" w:color="0077C0"/>
            </w:tcBorders>
          </w:tcPr>
          <w:p>
            <w:pPr>
              <w:spacing w:after="0"/>
              <w:rPr>
                <w:sz w:val="16"/>
                <w:szCs w:val="16"/>
                <w:color w:val="auto"/>
              </w:rPr>
            </w:pP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320" w:type="dxa"/>
            <w:vAlign w:val="bottom"/>
            <w:tcBorders>
              <w:bottom w:val="single" w:sz="8" w:color="0077C0"/>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debt</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4,406</w:t>
            </w:r>
          </w:p>
        </w:tc>
        <w:tc>
          <w:tcPr>
            <w:tcW w:w="460" w:type="dxa"/>
            <w:vAlign w:val="bottom"/>
            <w:tcBorders>
              <w:right w:val="single" w:sz="8" w:color="0077C0"/>
            </w:tcBorders>
          </w:tcPr>
          <w:p>
            <w:pPr>
              <w:spacing w:after="0"/>
              <w:rPr>
                <w:sz w:val="16"/>
                <w:szCs w:val="16"/>
                <w:color w:val="auto"/>
              </w:rPr>
            </w:pPr>
          </w:p>
        </w:tc>
        <w:tc>
          <w:tcPr>
            <w:tcW w:w="3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4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1,964</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20,135</w:t>
            </w:r>
          </w:p>
        </w:tc>
        <w:tc>
          <w:tcPr>
            <w:tcW w:w="460" w:type="dxa"/>
            <w:vAlign w:val="bottom"/>
            <w:tcBorders>
              <w:right w:val="single" w:sz="8" w:color="006EBF"/>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20,307</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21,375</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8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720" w:type="dxa"/>
            <w:vAlign w:val="bottom"/>
            <w:tcBorders>
              <w:bottom w:val="single" w:sz="8" w:color="0077C0"/>
            </w:tcBorders>
          </w:tcPr>
          <w:p>
            <w:pPr>
              <w:spacing w:after="0"/>
              <w:rPr>
                <w:sz w:val="2"/>
                <w:szCs w:val="2"/>
                <w:color w:val="auto"/>
              </w:rPr>
            </w:pPr>
          </w:p>
        </w:tc>
        <w:tc>
          <w:tcPr>
            <w:tcW w:w="460" w:type="dxa"/>
            <w:vAlign w:val="bottom"/>
            <w:tcBorders>
              <w:bottom w:val="single" w:sz="8" w:color="0077C0"/>
              <w:right w:val="single" w:sz="8" w:color="006EBF"/>
            </w:tcBorders>
          </w:tcPr>
          <w:p>
            <w:pPr>
              <w:spacing w:after="0"/>
              <w:rPr>
                <w:sz w:val="2"/>
                <w:szCs w:val="2"/>
                <w:color w:val="auto"/>
              </w:rPr>
            </w:pPr>
          </w:p>
        </w:tc>
        <w:tc>
          <w:tcPr>
            <w:tcW w:w="8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720" w:type="dxa"/>
            <w:vAlign w:val="bottom"/>
            <w:tcBorders>
              <w:bottom w:val="single" w:sz="8" w:color="0077C0"/>
            </w:tcBorders>
          </w:tcPr>
          <w:p>
            <w:pPr>
              <w:spacing w:after="0"/>
              <w:rPr>
                <w:sz w:val="2"/>
                <w:szCs w:val="2"/>
                <w:color w:val="auto"/>
              </w:rPr>
            </w:pPr>
          </w:p>
        </w:tc>
        <w:tc>
          <w:tcPr>
            <w:tcW w:w="40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72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80" w:type="dxa"/>
            <w:vAlign w:val="bottom"/>
            <w:tcBorders>
              <w:bottom w:val="single" w:sz="8" w:color="0077C0"/>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Total debt</w:t>
            </w:r>
          </w:p>
        </w:tc>
        <w:tc>
          <w:tcPr>
            <w:tcW w:w="280" w:type="dxa"/>
            <w:vAlign w:val="bottom"/>
            <w:tcBorders>
              <w:bottom w:val="single" w:sz="8" w:color="0077C0"/>
            </w:tcBorders>
          </w:tcPr>
          <w:p>
            <w:pPr>
              <w:spacing w:after="0"/>
              <w:rPr>
                <w:sz w:val="16"/>
                <w:szCs w:val="16"/>
                <w:color w:val="auto"/>
              </w:rPr>
            </w:pP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24,541</w:t>
            </w:r>
          </w:p>
        </w:tc>
        <w:tc>
          <w:tcPr>
            <w:tcW w:w="460" w:type="dxa"/>
            <w:vAlign w:val="bottom"/>
            <w:tcBorders>
              <w:bottom w:val="single" w:sz="8" w:color="0077C0"/>
              <w:right w:val="single" w:sz="8" w:color="006EBF"/>
            </w:tcBorders>
          </w:tcPr>
          <w:p>
            <w:pPr>
              <w:spacing w:after="0"/>
              <w:rPr>
                <w:sz w:val="16"/>
                <w:szCs w:val="16"/>
                <w:color w:val="auto"/>
              </w:rPr>
            </w:pPr>
          </w:p>
        </w:tc>
        <w:tc>
          <w:tcPr>
            <w:tcW w:w="80" w:type="dxa"/>
            <w:vAlign w:val="bottom"/>
            <w:tcBorders>
              <w:bottom w:val="single" w:sz="8" w:color="0077C0"/>
            </w:tcBorders>
          </w:tcPr>
          <w:p>
            <w:pPr>
              <w:spacing w:after="0"/>
              <w:rPr>
                <w:sz w:val="16"/>
                <w:szCs w:val="16"/>
                <w:color w:val="auto"/>
              </w:rPr>
            </w:pPr>
          </w:p>
        </w:tc>
        <w:tc>
          <w:tcPr>
            <w:tcW w:w="280" w:type="dxa"/>
            <w:vAlign w:val="bottom"/>
            <w:tcBorders>
              <w:bottom w:val="single" w:sz="8" w:color="0077C0"/>
            </w:tcBorders>
          </w:tcPr>
          <w:p>
            <w:pPr>
              <w:spacing w:after="0"/>
              <w:rPr>
                <w:sz w:val="16"/>
                <w:szCs w:val="16"/>
                <w:color w:val="auto"/>
              </w:rPr>
            </w:pP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20,836</w:t>
            </w:r>
          </w:p>
        </w:tc>
        <w:tc>
          <w:tcPr>
            <w:tcW w:w="400" w:type="dxa"/>
            <w:vAlign w:val="bottom"/>
            <w:tcBorders>
              <w:bottom w:val="single" w:sz="8" w:color="0077C0"/>
            </w:tcBorders>
          </w:tcPr>
          <w:p>
            <w:pPr>
              <w:spacing w:after="0"/>
              <w:rPr>
                <w:sz w:val="16"/>
                <w:szCs w:val="16"/>
                <w:color w:val="auto"/>
              </w:rPr>
            </w:pPr>
          </w:p>
        </w:tc>
        <w:tc>
          <w:tcPr>
            <w:tcW w:w="280" w:type="dxa"/>
            <w:vAlign w:val="bottom"/>
            <w:tcBorders>
              <w:bottom w:val="single" w:sz="8" w:color="0077C0"/>
            </w:tcBorders>
          </w:tcPr>
          <w:p>
            <w:pPr>
              <w:spacing w:after="0"/>
              <w:rPr>
                <w:sz w:val="16"/>
                <w:szCs w:val="16"/>
                <w:color w:val="auto"/>
              </w:rPr>
            </w:pP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23,339</w:t>
            </w:r>
          </w:p>
        </w:tc>
        <w:tc>
          <w:tcPr>
            <w:tcW w:w="320" w:type="dxa"/>
            <w:vAlign w:val="bottom"/>
            <w:tcBorders>
              <w:bottom w:val="single" w:sz="8" w:color="0077C0"/>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980" w:type="dxa"/>
            <w:vAlign w:val="bottom"/>
            <w:tcBorders>
              <w:bottom w:val="single" w:sz="8" w:color="006EBF"/>
            </w:tcBorders>
          </w:tcPr>
          <w:p>
            <w:pPr>
              <w:ind w:left="20"/>
              <w:spacing w:after="0"/>
              <w:rPr>
                <w:sz w:val="20"/>
                <w:szCs w:val="20"/>
                <w:color w:val="auto"/>
              </w:rPr>
            </w:pPr>
            <w:r>
              <w:rPr>
                <w:rFonts w:ascii="Times New Roman" w:cs="Times New Roman" w:eastAsia="Times New Roman" w:hAnsi="Times New Roman"/>
                <w:sz w:val="14"/>
                <w:szCs w:val="14"/>
                <w:color w:val="auto"/>
              </w:rPr>
              <w:t>Total Chevron Corporation Stockholders’ Equity</w:t>
            </w:r>
          </w:p>
        </w:tc>
        <w:tc>
          <w:tcPr>
            <w:tcW w:w="280" w:type="dxa"/>
            <w:vAlign w:val="bottom"/>
            <w:tcBorders>
              <w:bottom w:val="single" w:sz="8" w:color="006EBF"/>
            </w:tcBorders>
          </w:tcPr>
          <w:p>
            <w:pPr>
              <w:spacing w:after="0"/>
              <w:rPr>
                <w:sz w:val="17"/>
                <w:szCs w:val="17"/>
                <w:color w:val="auto"/>
              </w:rPr>
            </w:pPr>
          </w:p>
        </w:tc>
        <w:tc>
          <w:tcPr>
            <w:tcW w:w="720" w:type="dxa"/>
            <w:vAlign w:val="bottom"/>
            <w:tcBorders>
              <w:bottom w:val="single" w:sz="8" w:color="006EB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152,318</w:t>
            </w:r>
          </w:p>
        </w:tc>
        <w:tc>
          <w:tcPr>
            <w:tcW w:w="460" w:type="dxa"/>
            <w:vAlign w:val="bottom"/>
            <w:tcBorders>
              <w:bottom w:val="single" w:sz="8" w:color="006EBF"/>
              <w:right w:val="single" w:sz="8" w:color="0077C0"/>
            </w:tcBorders>
          </w:tcPr>
          <w:p>
            <w:pPr>
              <w:spacing w:after="0"/>
              <w:rPr>
                <w:sz w:val="17"/>
                <w:szCs w:val="17"/>
                <w:color w:val="auto"/>
              </w:rPr>
            </w:pPr>
          </w:p>
        </w:tc>
        <w:tc>
          <w:tcPr>
            <w:tcW w:w="80" w:type="dxa"/>
            <w:vAlign w:val="bottom"/>
            <w:tcBorders>
              <w:bottom w:val="single" w:sz="8" w:color="006EBF"/>
            </w:tcBorders>
          </w:tcPr>
          <w:p>
            <w:pPr>
              <w:spacing w:after="0"/>
              <w:rPr>
                <w:sz w:val="17"/>
                <w:szCs w:val="17"/>
                <w:color w:val="auto"/>
              </w:rPr>
            </w:pPr>
          </w:p>
        </w:tc>
        <w:tc>
          <w:tcPr>
            <w:tcW w:w="280" w:type="dxa"/>
            <w:vAlign w:val="bottom"/>
            <w:tcBorders>
              <w:bottom w:val="single" w:sz="8" w:color="0077C0"/>
            </w:tcBorders>
          </w:tcPr>
          <w:p>
            <w:pPr>
              <w:spacing w:after="0"/>
              <w:rPr>
                <w:sz w:val="17"/>
                <w:szCs w:val="17"/>
                <w:color w:val="auto"/>
              </w:rPr>
            </w:pP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160,957</w:t>
            </w:r>
          </w:p>
        </w:tc>
        <w:tc>
          <w:tcPr>
            <w:tcW w:w="400" w:type="dxa"/>
            <w:vAlign w:val="bottom"/>
            <w:tcBorders>
              <w:bottom w:val="single" w:sz="8" w:color="006EBF"/>
            </w:tcBorders>
          </w:tcPr>
          <w:p>
            <w:pPr>
              <w:spacing w:after="0"/>
              <w:rPr>
                <w:sz w:val="17"/>
                <w:szCs w:val="17"/>
                <w:color w:val="auto"/>
              </w:rPr>
            </w:pPr>
          </w:p>
        </w:tc>
        <w:tc>
          <w:tcPr>
            <w:tcW w:w="280" w:type="dxa"/>
            <w:vAlign w:val="bottom"/>
            <w:tcBorders>
              <w:bottom w:val="single" w:sz="8" w:color="0077C0"/>
            </w:tcBorders>
          </w:tcPr>
          <w:p>
            <w:pPr>
              <w:spacing w:after="0"/>
              <w:rPr>
                <w:sz w:val="17"/>
                <w:szCs w:val="17"/>
                <w:color w:val="auto"/>
              </w:rPr>
            </w:pP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159,282</w:t>
            </w:r>
          </w:p>
        </w:tc>
        <w:tc>
          <w:tcPr>
            <w:tcW w:w="320" w:type="dxa"/>
            <w:vAlign w:val="bottom"/>
            <w:tcBorders>
              <w:bottom w:val="single" w:sz="8" w:color="006EB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80" w:type="dxa"/>
            <w:vAlign w:val="bottom"/>
            <w:tcBorders>
              <w:bottom w:val="single" w:sz="8" w:color="0077C0"/>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Total debt plus total Chevron Corporation Stockholders’ Equity</w:t>
            </w:r>
          </w:p>
        </w:tc>
        <w:tc>
          <w:tcPr>
            <w:tcW w:w="280" w:type="dxa"/>
            <w:vAlign w:val="bottom"/>
            <w:tcBorders>
              <w:bottom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176,859</w:t>
            </w:r>
          </w:p>
        </w:tc>
        <w:tc>
          <w:tcPr>
            <w:tcW w:w="460" w:type="dxa"/>
            <w:vAlign w:val="bottom"/>
            <w:tcBorders>
              <w:bottom w:val="single" w:sz="8" w:color="0077C0"/>
              <w:right w:val="single" w:sz="8" w:color="006EBF"/>
            </w:tcBorders>
          </w:tcPr>
          <w:p>
            <w:pPr>
              <w:spacing w:after="0"/>
              <w:rPr>
                <w:sz w:val="17"/>
                <w:szCs w:val="17"/>
                <w:color w:val="auto"/>
              </w:rPr>
            </w:pPr>
          </w:p>
        </w:tc>
        <w:tc>
          <w:tcPr>
            <w:tcW w:w="80" w:type="dxa"/>
            <w:vAlign w:val="bottom"/>
            <w:tcBorders>
              <w:bottom w:val="single" w:sz="8" w:color="0077C0"/>
            </w:tcBorders>
          </w:tcPr>
          <w:p>
            <w:pPr>
              <w:spacing w:after="0"/>
              <w:rPr>
                <w:sz w:val="17"/>
                <w:szCs w:val="17"/>
                <w:color w:val="auto"/>
              </w:rPr>
            </w:pPr>
          </w:p>
        </w:tc>
        <w:tc>
          <w:tcPr>
            <w:tcW w:w="280" w:type="dxa"/>
            <w:vAlign w:val="bottom"/>
            <w:tcBorders>
              <w:bottom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181,793</w:t>
            </w:r>
          </w:p>
        </w:tc>
        <w:tc>
          <w:tcPr>
            <w:tcW w:w="400" w:type="dxa"/>
            <w:vAlign w:val="bottom"/>
            <w:tcBorders>
              <w:bottom w:val="single" w:sz="8" w:color="0077C0"/>
            </w:tcBorders>
          </w:tcPr>
          <w:p>
            <w:pPr>
              <w:spacing w:after="0"/>
              <w:rPr>
                <w:sz w:val="17"/>
                <w:szCs w:val="17"/>
                <w:color w:val="auto"/>
              </w:rPr>
            </w:pPr>
          </w:p>
        </w:tc>
        <w:tc>
          <w:tcPr>
            <w:tcW w:w="280" w:type="dxa"/>
            <w:vAlign w:val="bottom"/>
            <w:tcBorders>
              <w:bottom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182,621</w:t>
            </w:r>
          </w:p>
        </w:tc>
        <w:tc>
          <w:tcPr>
            <w:tcW w:w="320" w:type="dxa"/>
            <w:vAlign w:val="bottom"/>
            <w:tcBorders>
              <w:bottom w:val="single" w:sz="8" w:color="0077C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8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Debt Ratio</w:t>
            </w:r>
          </w:p>
        </w:tc>
        <w:tc>
          <w:tcPr>
            <w:tcW w:w="280" w:type="dxa"/>
            <w:vAlign w:val="bottom"/>
            <w:tcBorders>
              <w:bottom w:val="single" w:sz="8" w:color="0077C0"/>
            </w:tcBorders>
          </w:tcPr>
          <w:p>
            <w:pPr>
              <w:spacing w:after="0"/>
              <w:rPr>
                <w:sz w:val="17"/>
                <w:szCs w:val="17"/>
                <w:color w:val="auto"/>
              </w:rPr>
            </w:pP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13.9</w:t>
            </w:r>
          </w:p>
        </w:tc>
        <w:tc>
          <w:tcPr>
            <w:tcW w:w="460" w:type="dxa"/>
            <w:vAlign w:val="bottom"/>
            <w:tcBorders>
              <w:bottom w:val="single" w:sz="8" w:color="0077C0"/>
              <w:right w:val="single" w:sz="8" w:color="0077C0"/>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80" w:type="dxa"/>
            <w:vAlign w:val="bottom"/>
            <w:tcBorders>
              <w:bottom w:val="single" w:sz="8" w:color="0077C0"/>
            </w:tcBorders>
          </w:tcPr>
          <w:p>
            <w:pPr>
              <w:spacing w:after="0"/>
              <w:rPr>
                <w:sz w:val="17"/>
                <w:szCs w:val="17"/>
                <w:color w:val="auto"/>
              </w:rPr>
            </w:pPr>
          </w:p>
        </w:tc>
        <w:tc>
          <w:tcPr>
            <w:tcW w:w="280" w:type="dxa"/>
            <w:vAlign w:val="bottom"/>
            <w:tcBorders>
              <w:bottom w:val="single" w:sz="8" w:color="0077C0"/>
            </w:tcBorders>
          </w:tcPr>
          <w:p>
            <w:pPr>
              <w:spacing w:after="0"/>
              <w:rPr>
                <w:sz w:val="17"/>
                <w:szCs w:val="17"/>
                <w:color w:val="auto"/>
              </w:rPr>
            </w:pP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400" w:type="dxa"/>
            <w:vAlign w:val="bottom"/>
            <w:tcBorders>
              <w:bottom w:val="single" w:sz="8" w:color="0077C0"/>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0077C0"/>
            </w:tcBorders>
          </w:tcPr>
          <w:p>
            <w:pPr>
              <w:spacing w:after="0"/>
              <w:rPr>
                <w:sz w:val="17"/>
                <w:szCs w:val="17"/>
                <w:color w:val="auto"/>
              </w:rPr>
            </w:pP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32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414" w:right="339" w:bottom="1440" w:gutter="0" w:footer="0" w:header="0"/>
        </w:sectPr>
      </w:pPr>
    </w:p>
    <w:bookmarkStart w:id="53" w:name="page54"/>
    <w:bookmarkEnd w:id="53"/>
    <w:p>
      <w:pPr>
        <w:spacing w:after="0"/>
        <w:tabs>
          <w:tab w:leader="none" w:pos="9400" w:val="left"/>
        </w:tabs>
        <w:rPr>
          <w:sz w:val="20"/>
          <w:szCs w:val="20"/>
          <w:color w:val="auto"/>
        </w:rPr>
      </w:pPr>
      <w:r>
        <w:rPr>
          <w:rFonts w:ascii="Arial" w:cs="Arial" w:eastAsia="Arial" w:hAnsi="Arial"/>
          <w:sz w:val="14"/>
          <w:szCs w:val="14"/>
          <w:color w:val="0077C0"/>
        </w:rPr>
        <w:t>Management’s Discussion and Analysis of Financial Condition and Results of Operations</w:t>
      </w:r>
      <w:r>
        <w:rPr>
          <w:sz w:val="20"/>
          <w:szCs w:val="20"/>
          <w:color w:val="auto"/>
        </w:rPr>
        <w:tab/>
      </w:r>
      <w:r>
        <w:rPr>
          <w:rFonts w:ascii="Arial" w:cs="Arial" w:eastAsia="Arial" w:hAnsi="Arial"/>
          <w:sz w:val="14"/>
          <w:szCs w:val="14"/>
          <w:color w:val="0077C0"/>
        </w:rPr>
        <w:t>Financial Table of Contents</w:t>
      </w:r>
    </w:p>
    <w:p>
      <w:pPr>
        <w:spacing w:after="0" w:line="200" w:lineRule="exact"/>
        <w:rPr>
          <w:sz w:val="20"/>
          <w:szCs w:val="20"/>
          <w:color w:val="auto"/>
        </w:rPr>
      </w:pPr>
    </w:p>
    <w:p>
      <w:pPr>
        <w:spacing w:after="0" w:line="382" w:lineRule="exact"/>
        <w:rPr>
          <w:sz w:val="20"/>
          <w:szCs w:val="20"/>
          <w:color w:val="auto"/>
        </w:rPr>
      </w:pPr>
    </w:p>
    <w:p>
      <w:pPr>
        <w:jc w:val="both"/>
        <w:ind w:left="20"/>
        <w:spacing w:after="0" w:line="284"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Net Debt Ratio </w:t>
      </w:r>
      <w:r>
        <w:rPr>
          <w:rFonts w:ascii="Times New Roman" w:cs="Times New Roman" w:eastAsia="Times New Roman" w:hAnsi="Times New Roman"/>
          <w:sz w:val="18"/>
          <w:szCs w:val="18"/>
          <w:color w:val="000000"/>
        </w:rPr>
        <w:t>Total debt less cash and cash equivalents, time deposits and marketable securities as a percentage of total debt less cash and cash</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equivalents, time deposits and marketable securities, plus Chevron Corporation Stockholders’ Equity, which indicates the company’s leverage, net of its cash balances.</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At December 31</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280" w:type="dxa"/>
            <w:vAlign w:val="bottom"/>
            <w:tcBorders>
              <w:bottom w:val="single" w:sz="8" w:color="0077C0"/>
            </w:tcBorders>
          </w:tcPr>
          <w:p>
            <w:pPr>
              <w:spacing w:after="0"/>
              <w:rPr>
                <w:sz w:val="2"/>
                <w:szCs w:val="2"/>
                <w:color w:val="auto"/>
              </w:rPr>
            </w:pPr>
          </w:p>
        </w:tc>
        <w:tc>
          <w:tcPr>
            <w:tcW w:w="720" w:type="dxa"/>
            <w:vAlign w:val="bottom"/>
            <w:tcBorders>
              <w:bottom w:val="single" w:sz="8" w:color="0077C0"/>
            </w:tcBorders>
          </w:tcPr>
          <w:p>
            <w:pPr>
              <w:spacing w:after="0"/>
              <w:rPr>
                <w:sz w:val="2"/>
                <w:szCs w:val="2"/>
                <w:color w:val="auto"/>
              </w:rPr>
            </w:pPr>
          </w:p>
        </w:tc>
        <w:tc>
          <w:tcPr>
            <w:tcW w:w="440" w:type="dxa"/>
            <w:vAlign w:val="bottom"/>
            <w:tcBorders>
              <w:bottom w:val="single" w:sz="8" w:color="0077C0"/>
            </w:tcBorders>
          </w:tcPr>
          <w:p>
            <w:pPr>
              <w:spacing w:after="0"/>
              <w:rPr>
                <w:sz w:val="2"/>
                <w:szCs w:val="2"/>
                <w:color w:val="auto"/>
              </w:rPr>
            </w:pPr>
          </w:p>
        </w:tc>
        <w:tc>
          <w:tcPr>
            <w:tcW w:w="10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720" w:type="dxa"/>
            <w:vAlign w:val="bottom"/>
            <w:tcBorders>
              <w:bottom w:val="single" w:sz="8" w:color="0077C0"/>
            </w:tcBorders>
          </w:tcPr>
          <w:p>
            <w:pPr>
              <w:spacing w:after="0"/>
              <w:rPr>
                <w:sz w:val="2"/>
                <w:szCs w:val="2"/>
                <w:color w:val="auto"/>
              </w:rPr>
            </w:pPr>
          </w:p>
        </w:tc>
        <w:tc>
          <w:tcPr>
            <w:tcW w:w="40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72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80" w:type="dxa"/>
            <w:vAlign w:val="bottom"/>
            <w:tcBorders>
              <w:bottom w:val="single" w:sz="8" w:color="0077C0"/>
            </w:tcBorders>
            <w:vMerge w:val="continue"/>
          </w:tcPr>
          <w:p>
            <w:pPr>
              <w:spacing w:after="0"/>
              <w:rPr>
                <w:sz w:val="16"/>
                <w:szCs w:val="16"/>
                <w:color w:val="auto"/>
              </w:rPr>
            </w:pPr>
          </w:p>
        </w:tc>
        <w:tc>
          <w:tcPr>
            <w:tcW w:w="280" w:type="dxa"/>
            <w:vAlign w:val="bottom"/>
            <w:tcBorders>
              <w:bottom w:val="single" w:sz="8" w:color="0077C0"/>
            </w:tcBorders>
          </w:tcPr>
          <w:p>
            <w:pPr>
              <w:spacing w:after="0"/>
              <w:rPr>
                <w:sz w:val="16"/>
                <w:szCs w:val="16"/>
                <w:color w:val="auto"/>
              </w:rPr>
            </w:pP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0077C0"/>
            </w:tcBorders>
          </w:tcPr>
          <w:p>
            <w:pPr>
              <w:spacing w:after="0"/>
              <w:rPr>
                <w:sz w:val="16"/>
                <w:szCs w:val="16"/>
                <w:color w:val="auto"/>
              </w:rPr>
            </w:pPr>
          </w:p>
        </w:tc>
        <w:tc>
          <w:tcPr>
            <w:tcW w:w="100" w:type="dxa"/>
            <w:vAlign w:val="bottom"/>
            <w:tcBorders>
              <w:bottom w:val="single" w:sz="8" w:color="0077C0"/>
            </w:tcBorders>
          </w:tcPr>
          <w:p>
            <w:pPr>
              <w:spacing w:after="0"/>
              <w:rPr>
                <w:sz w:val="16"/>
                <w:szCs w:val="16"/>
                <w:color w:val="auto"/>
              </w:rPr>
            </w:pPr>
          </w:p>
        </w:tc>
        <w:tc>
          <w:tcPr>
            <w:tcW w:w="280" w:type="dxa"/>
            <w:vAlign w:val="bottom"/>
            <w:tcBorders>
              <w:bottom w:val="single" w:sz="8" w:color="0077C0"/>
            </w:tcBorders>
          </w:tcPr>
          <w:p>
            <w:pPr>
              <w:spacing w:after="0"/>
              <w:rPr>
                <w:sz w:val="16"/>
                <w:szCs w:val="16"/>
                <w:color w:val="auto"/>
              </w:rPr>
            </w:pP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400" w:type="dxa"/>
            <w:vAlign w:val="bottom"/>
            <w:tcBorders>
              <w:bottom w:val="single" w:sz="8" w:color="0077C0"/>
            </w:tcBorders>
          </w:tcPr>
          <w:p>
            <w:pPr>
              <w:spacing w:after="0"/>
              <w:rPr>
                <w:sz w:val="16"/>
                <w:szCs w:val="16"/>
                <w:color w:val="auto"/>
              </w:rPr>
            </w:pPr>
          </w:p>
        </w:tc>
        <w:tc>
          <w:tcPr>
            <w:tcW w:w="280" w:type="dxa"/>
            <w:vAlign w:val="bottom"/>
            <w:tcBorders>
              <w:bottom w:val="single" w:sz="8" w:color="0077C0"/>
            </w:tcBorders>
          </w:tcPr>
          <w:p>
            <w:pPr>
              <w:spacing w:after="0"/>
              <w:rPr>
                <w:sz w:val="16"/>
                <w:szCs w:val="16"/>
                <w:color w:val="auto"/>
              </w:rPr>
            </w:pP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320" w:type="dxa"/>
            <w:vAlign w:val="bottom"/>
            <w:tcBorders>
              <w:bottom w:val="single" w:sz="8" w:color="0077C0"/>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debt</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4,406</w:t>
            </w:r>
          </w:p>
        </w:tc>
        <w:tc>
          <w:tcPr>
            <w:tcW w:w="440" w:type="dxa"/>
            <w:vAlign w:val="bottom"/>
            <w:tcBorders>
              <w:right w:val="single" w:sz="8" w:color="0077C0"/>
            </w:tcBorders>
          </w:tcPr>
          <w:p>
            <w:pPr>
              <w:spacing w:after="0"/>
              <w:rPr>
                <w:sz w:val="16"/>
                <w:szCs w:val="16"/>
                <w:color w:val="auto"/>
              </w:rPr>
            </w:pPr>
          </w:p>
        </w:tc>
        <w:tc>
          <w:tcPr>
            <w:tcW w:w="3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4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1,964</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20,135</w:t>
            </w:r>
          </w:p>
        </w:tc>
        <w:tc>
          <w:tcPr>
            <w:tcW w:w="440" w:type="dxa"/>
            <w:vAlign w:val="bottom"/>
            <w:tcBorders>
              <w:right w:val="single" w:sz="8" w:color="0077C0"/>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20,307</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21,375</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80" w:type="dxa"/>
            <w:vAlign w:val="bottom"/>
            <w:tcBorders>
              <w:bottom w:val="single" w:sz="8" w:color="0077C0"/>
            </w:tcBorders>
          </w:tcPr>
          <w:p>
            <w:pPr>
              <w:spacing w:after="0"/>
              <w:rPr>
                <w:sz w:val="2"/>
                <w:szCs w:val="2"/>
                <w:color w:val="auto"/>
              </w:rPr>
            </w:pPr>
          </w:p>
        </w:tc>
        <w:tc>
          <w:tcPr>
            <w:tcW w:w="280" w:type="dxa"/>
            <w:vAlign w:val="bottom"/>
            <w:tcBorders>
              <w:bottom w:val="single" w:sz="8" w:color="006EBF"/>
            </w:tcBorders>
          </w:tcPr>
          <w:p>
            <w:pPr>
              <w:spacing w:after="0"/>
              <w:rPr>
                <w:sz w:val="2"/>
                <w:szCs w:val="2"/>
                <w:color w:val="auto"/>
              </w:rPr>
            </w:pPr>
          </w:p>
        </w:tc>
        <w:tc>
          <w:tcPr>
            <w:tcW w:w="720" w:type="dxa"/>
            <w:vAlign w:val="bottom"/>
            <w:tcBorders>
              <w:bottom w:val="single" w:sz="8" w:color="006EBF"/>
            </w:tcBorders>
          </w:tcPr>
          <w:p>
            <w:pPr>
              <w:spacing w:after="0"/>
              <w:rPr>
                <w:sz w:val="2"/>
                <w:szCs w:val="2"/>
                <w:color w:val="auto"/>
              </w:rPr>
            </w:pPr>
          </w:p>
        </w:tc>
        <w:tc>
          <w:tcPr>
            <w:tcW w:w="440" w:type="dxa"/>
            <w:vAlign w:val="bottom"/>
            <w:tcBorders>
              <w:bottom w:val="single" w:sz="8" w:color="006EBF"/>
              <w:right w:val="single" w:sz="8" w:color="0077C0"/>
            </w:tcBorders>
          </w:tcPr>
          <w:p>
            <w:pPr>
              <w:spacing w:after="0"/>
              <w:rPr>
                <w:sz w:val="2"/>
                <w:szCs w:val="2"/>
                <w:color w:val="auto"/>
              </w:rPr>
            </w:pPr>
          </w:p>
        </w:tc>
        <w:tc>
          <w:tcPr>
            <w:tcW w:w="100" w:type="dxa"/>
            <w:vAlign w:val="bottom"/>
            <w:tcBorders>
              <w:bottom w:val="single" w:sz="8" w:color="006EBF"/>
            </w:tcBorders>
          </w:tcPr>
          <w:p>
            <w:pPr>
              <w:spacing w:after="0"/>
              <w:rPr>
                <w:sz w:val="2"/>
                <w:szCs w:val="2"/>
                <w:color w:val="auto"/>
              </w:rPr>
            </w:pPr>
          </w:p>
        </w:tc>
        <w:tc>
          <w:tcPr>
            <w:tcW w:w="280" w:type="dxa"/>
            <w:vAlign w:val="bottom"/>
            <w:tcBorders>
              <w:bottom w:val="single" w:sz="8" w:color="006EBF"/>
            </w:tcBorders>
          </w:tcPr>
          <w:p>
            <w:pPr>
              <w:spacing w:after="0"/>
              <w:rPr>
                <w:sz w:val="2"/>
                <w:szCs w:val="2"/>
                <w:color w:val="auto"/>
              </w:rPr>
            </w:pPr>
          </w:p>
        </w:tc>
        <w:tc>
          <w:tcPr>
            <w:tcW w:w="720" w:type="dxa"/>
            <w:vAlign w:val="bottom"/>
            <w:tcBorders>
              <w:bottom w:val="single" w:sz="8" w:color="006EBF"/>
            </w:tcBorders>
          </w:tcPr>
          <w:p>
            <w:pPr>
              <w:spacing w:after="0"/>
              <w:rPr>
                <w:sz w:val="2"/>
                <w:szCs w:val="2"/>
                <w:color w:val="auto"/>
              </w:rPr>
            </w:pPr>
          </w:p>
        </w:tc>
        <w:tc>
          <w:tcPr>
            <w:tcW w:w="400" w:type="dxa"/>
            <w:vAlign w:val="bottom"/>
            <w:tcBorders>
              <w:bottom w:val="single" w:sz="8" w:color="006EBF"/>
            </w:tcBorders>
          </w:tcPr>
          <w:p>
            <w:pPr>
              <w:spacing w:after="0"/>
              <w:rPr>
                <w:sz w:val="2"/>
                <w:szCs w:val="2"/>
                <w:color w:val="auto"/>
              </w:rPr>
            </w:pPr>
          </w:p>
        </w:tc>
        <w:tc>
          <w:tcPr>
            <w:tcW w:w="280" w:type="dxa"/>
            <w:vAlign w:val="bottom"/>
            <w:tcBorders>
              <w:bottom w:val="single" w:sz="8" w:color="006EBF"/>
            </w:tcBorders>
          </w:tcPr>
          <w:p>
            <w:pPr>
              <w:spacing w:after="0"/>
              <w:rPr>
                <w:sz w:val="2"/>
                <w:szCs w:val="2"/>
                <w:color w:val="auto"/>
              </w:rPr>
            </w:pPr>
          </w:p>
        </w:tc>
        <w:tc>
          <w:tcPr>
            <w:tcW w:w="720" w:type="dxa"/>
            <w:vAlign w:val="bottom"/>
            <w:tcBorders>
              <w:bottom w:val="single" w:sz="8" w:color="006EBF"/>
            </w:tcBorders>
          </w:tcPr>
          <w:p>
            <w:pPr>
              <w:spacing w:after="0"/>
              <w:rPr>
                <w:sz w:val="2"/>
                <w:szCs w:val="2"/>
                <w:color w:val="auto"/>
              </w:rPr>
            </w:pPr>
          </w:p>
        </w:tc>
        <w:tc>
          <w:tcPr>
            <w:tcW w:w="320" w:type="dxa"/>
            <w:vAlign w:val="bottom"/>
            <w:tcBorders>
              <w:bottom w:val="single" w:sz="8" w:color="006EBF"/>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80" w:type="dxa"/>
            <w:vAlign w:val="bottom"/>
            <w:tcBorders>
              <w:bottom w:val="single" w:sz="8" w:color="006EBF"/>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Total Debt</w:t>
            </w:r>
          </w:p>
        </w:tc>
        <w:tc>
          <w:tcPr>
            <w:tcW w:w="280" w:type="dxa"/>
            <w:vAlign w:val="bottom"/>
            <w:tcBorders>
              <w:bottom w:val="single" w:sz="8" w:color="006EBF"/>
            </w:tcBorders>
          </w:tcPr>
          <w:p>
            <w:pPr>
              <w:spacing w:after="0"/>
              <w:rPr>
                <w:sz w:val="16"/>
                <w:szCs w:val="16"/>
                <w:color w:val="auto"/>
              </w:rPr>
            </w:pPr>
          </w:p>
        </w:tc>
        <w:tc>
          <w:tcPr>
            <w:tcW w:w="720" w:type="dxa"/>
            <w:vAlign w:val="bottom"/>
            <w:tcBorders>
              <w:bottom w:val="single" w:sz="8" w:color="006EB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24,541</w:t>
            </w:r>
          </w:p>
        </w:tc>
        <w:tc>
          <w:tcPr>
            <w:tcW w:w="440" w:type="dxa"/>
            <w:vAlign w:val="bottom"/>
            <w:tcBorders>
              <w:bottom w:val="single" w:sz="8" w:color="006EBF"/>
              <w:right w:val="single" w:sz="8" w:color="0077C0"/>
            </w:tcBorders>
          </w:tcPr>
          <w:p>
            <w:pPr>
              <w:spacing w:after="0"/>
              <w:rPr>
                <w:sz w:val="16"/>
                <w:szCs w:val="16"/>
                <w:color w:val="auto"/>
              </w:rPr>
            </w:pPr>
          </w:p>
        </w:tc>
        <w:tc>
          <w:tcPr>
            <w:tcW w:w="100" w:type="dxa"/>
            <w:vAlign w:val="bottom"/>
            <w:tcBorders>
              <w:bottom w:val="single" w:sz="8" w:color="006EBF"/>
            </w:tcBorders>
          </w:tcPr>
          <w:p>
            <w:pPr>
              <w:spacing w:after="0"/>
              <w:rPr>
                <w:sz w:val="16"/>
                <w:szCs w:val="16"/>
                <w:color w:val="auto"/>
              </w:rPr>
            </w:pPr>
          </w:p>
        </w:tc>
        <w:tc>
          <w:tcPr>
            <w:tcW w:w="280" w:type="dxa"/>
            <w:vAlign w:val="bottom"/>
            <w:tcBorders>
              <w:bottom w:val="single" w:sz="8" w:color="006EBF"/>
            </w:tcBorders>
          </w:tcPr>
          <w:p>
            <w:pPr>
              <w:spacing w:after="0"/>
              <w:rPr>
                <w:sz w:val="16"/>
                <w:szCs w:val="16"/>
                <w:color w:val="auto"/>
              </w:rPr>
            </w:pPr>
          </w:p>
        </w:tc>
        <w:tc>
          <w:tcPr>
            <w:tcW w:w="720" w:type="dxa"/>
            <w:vAlign w:val="bottom"/>
            <w:tcBorders>
              <w:bottom w:val="single" w:sz="8" w:color="006EBF"/>
            </w:tcBorders>
          </w:tcPr>
          <w:p>
            <w:pPr>
              <w:jc w:val="right"/>
              <w:spacing w:after="0"/>
              <w:rPr>
                <w:sz w:val="20"/>
                <w:szCs w:val="20"/>
                <w:color w:val="auto"/>
              </w:rPr>
            </w:pPr>
            <w:r>
              <w:rPr>
                <w:rFonts w:ascii="Times New Roman" w:cs="Times New Roman" w:eastAsia="Times New Roman" w:hAnsi="Times New Roman"/>
                <w:sz w:val="14"/>
                <w:szCs w:val="14"/>
                <w:color w:val="auto"/>
              </w:rPr>
              <w:t>20,836</w:t>
            </w:r>
          </w:p>
        </w:tc>
        <w:tc>
          <w:tcPr>
            <w:tcW w:w="400" w:type="dxa"/>
            <w:vAlign w:val="bottom"/>
            <w:tcBorders>
              <w:bottom w:val="single" w:sz="8" w:color="006EBF"/>
            </w:tcBorders>
          </w:tcPr>
          <w:p>
            <w:pPr>
              <w:spacing w:after="0"/>
              <w:rPr>
                <w:sz w:val="16"/>
                <w:szCs w:val="16"/>
                <w:color w:val="auto"/>
              </w:rPr>
            </w:pPr>
          </w:p>
        </w:tc>
        <w:tc>
          <w:tcPr>
            <w:tcW w:w="280" w:type="dxa"/>
            <w:vAlign w:val="bottom"/>
            <w:tcBorders>
              <w:bottom w:val="single" w:sz="8" w:color="006EBF"/>
            </w:tcBorders>
          </w:tcPr>
          <w:p>
            <w:pPr>
              <w:spacing w:after="0"/>
              <w:rPr>
                <w:sz w:val="16"/>
                <w:szCs w:val="16"/>
                <w:color w:val="auto"/>
              </w:rPr>
            </w:pPr>
          </w:p>
        </w:tc>
        <w:tc>
          <w:tcPr>
            <w:tcW w:w="720" w:type="dxa"/>
            <w:vAlign w:val="bottom"/>
            <w:tcBorders>
              <w:bottom w:val="single" w:sz="8" w:color="006EBF"/>
            </w:tcBorders>
          </w:tcPr>
          <w:p>
            <w:pPr>
              <w:jc w:val="right"/>
              <w:spacing w:after="0"/>
              <w:rPr>
                <w:sz w:val="20"/>
                <w:szCs w:val="20"/>
                <w:color w:val="auto"/>
              </w:rPr>
            </w:pPr>
            <w:r>
              <w:rPr>
                <w:rFonts w:ascii="Times New Roman" w:cs="Times New Roman" w:eastAsia="Times New Roman" w:hAnsi="Times New Roman"/>
                <w:sz w:val="14"/>
                <w:szCs w:val="14"/>
                <w:color w:val="auto"/>
              </w:rPr>
              <w:t>23,339</w:t>
            </w:r>
          </w:p>
        </w:tc>
        <w:tc>
          <w:tcPr>
            <w:tcW w:w="320" w:type="dxa"/>
            <w:vAlign w:val="bottom"/>
            <w:tcBorders>
              <w:bottom w:val="single" w:sz="8" w:color="006EBF"/>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Less: Cash and cash equivalents</w:t>
            </w:r>
          </w:p>
        </w:tc>
        <w:tc>
          <w:tcPr>
            <w:tcW w:w="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6,781</w:t>
            </w:r>
          </w:p>
        </w:tc>
        <w:tc>
          <w:tcPr>
            <w:tcW w:w="440" w:type="dxa"/>
            <w:vAlign w:val="bottom"/>
            <w:tcBorders>
              <w:right w:val="single" w:sz="8" w:color="0077C0"/>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8,178</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17,678</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Less: Time deposits</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440" w:type="dxa"/>
            <w:vAlign w:val="bottom"/>
            <w:tcBorders>
              <w:right w:val="single" w:sz="8" w:color="0077C0"/>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6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Less: Marketable securities</w:t>
            </w: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right w:val="single" w:sz="8" w:color="006EBF"/>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98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720" w:type="dxa"/>
            <w:vAlign w:val="bottom"/>
            <w:tcBorders>
              <w:bottom w:val="single" w:sz="8" w:color="0077C0"/>
            </w:tcBorders>
          </w:tcPr>
          <w:p>
            <w:pPr>
              <w:spacing w:after="0"/>
              <w:rPr>
                <w:sz w:val="2"/>
                <w:szCs w:val="2"/>
                <w:color w:val="auto"/>
              </w:rPr>
            </w:pPr>
          </w:p>
        </w:tc>
        <w:tc>
          <w:tcPr>
            <w:tcW w:w="440" w:type="dxa"/>
            <w:vAlign w:val="bottom"/>
            <w:tcBorders>
              <w:bottom w:val="single" w:sz="8" w:color="0077C0"/>
              <w:right w:val="single" w:sz="8" w:color="006EBF"/>
            </w:tcBorders>
          </w:tcPr>
          <w:p>
            <w:pPr>
              <w:spacing w:after="0"/>
              <w:rPr>
                <w:sz w:val="2"/>
                <w:szCs w:val="2"/>
                <w:color w:val="auto"/>
              </w:rPr>
            </w:pPr>
          </w:p>
        </w:tc>
        <w:tc>
          <w:tcPr>
            <w:tcW w:w="10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720" w:type="dxa"/>
            <w:vAlign w:val="bottom"/>
            <w:tcBorders>
              <w:bottom w:val="single" w:sz="8" w:color="0077C0"/>
            </w:tcBorders>
          </w:tcPr>
          <w:p>
            <w:pPr>
              <w:spacing w:after="0"/>
              <w:rPr>
                <w:sz w:val="2"/>
                <w:szCs w:val="2"/>
                <w:color w:val="auto"/>
              </w:rPr>
            </w:pPr>
          </w:p>
        </w:tc>
        <w:tc>
          <w:tcPr>
            <w:tcW w:w="40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72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80" w:type="dxa"/>
            <w:vAlign w:val="bottom"/>
            <w:tcBorders>
              <w:bottom w:val="single" w:sz="8" w:color="0077C0"/>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Total adjusted debt</w:t>
            </w:r>
          </w:p>
        </w:tc>
        <w:tc>
          <w:tcPr>
            <w:tcW w:w="280" w:type="dxa"/>
            <w:vAlign w:val="bottom"/>
            <w:tcBorders>
              <w:bottom w:val="single" w:sz="8" w:color="0077C0"/>
            </w:tcBorders>
          </w:tcPr>
          <w:p>
            <w:pPr>
              <w:spacing w:after="0"/>
              <w:rPr>
                <w:sz w:val="16"/>
                <w:szCs w:val="16"/>
                <w:color w:val="auto"/>
              </w:rPr>
            </w:pP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17,756</w:t>
            </w:r>
          </w:p>
        </w:tc>
        <w:tc>
          <w:tcPr>
            <w:tcW w:w="440" w:type="dxa"/>
            <w:vAlign w:val="bottom"/>
            <w:tcBorders>
              <w:bottom w:val="single" w:sz="8" w:color="0077C0"/>
              <w:right w:val="single" w:sz="8" w:color="006EBF"/>
            </w:tcBorders>
          </w:tcPr>
          <w:p>
            <w:pPr>
              <w:spacing w:after="0"/>
              <w:rPr>
                <w:sz w:val="16"/>
                <w:szCs w:val="16"/>
                <w:color w:val="auto"/>
              </w:rPr>
            </w:pPr>
          </w:p>
        </w:tc>
        <w:tc>
          <w:tcPr>
            <w:tcW w:w="100" w:type="dxa"/>
            <w:vAlign w:val="bottom"/>
            <w:tcBorders>
              <w:bottom w:val="single" w:sz="8" w:color="0077C0"/>
            </w:tcBorders>
          </w:tcPr>
          <w:p>
            <w:pPr>
              <w:spacing w:after="0"/>
              <w:rPr>
                <w:sz w:val="16"/>
                <w:szCs w:val="16"/>
                <w:color w:val="auto"/>
              </w:rPr>
            </w:pPr>
          </w:p>
        </w:tc>
        <w:tc>
          <w:tcPr>
            <w:tcW w:w="280" w:type="dxa"/>
            <w:vAlign w:val="bottom"/>
            <w:tcBorders>
              <w:bottom w:val="single" w:sz="8" w:color="0077C0"/>
            </w:tcBorders>
          </w:tcPr>
          <w:p>
            <w:pPr>
              <w:spacing w:after="0"/>
              <w:rPr>
                <w:sz w:val="16"/>
                <w:szCs w:val="16"/>
                <w:color w:val="auto"/>
              </w:rPr>
            </w:pP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12,613</w:t>
            </w:r>
          </w:p>
        </w:tc>
        <w:tc>
          <w:tcPr>
            <w:tcW w:w="400" w:type="dxa"/>
            <w:vAlign w:val="bottom"/>
            <w:tcBorders>
              <w:bottom w:val="single" w:sz="8" w:color="0077C0"/>
            </w:tcBorders>
          </w:tcPr>
          <w:p>
            <w:pPr>
              <w:spacing w:after="0"/>
              <w:rPr>
                <w:sz w:val="16"/>
                <w:szCs w:val="16"/>
                <w:color w:val="auto"/>
              </w:rPr>
            </w:pPr>
          </w:p>
        </w:tc>
        <w:tc>
          <w:tcPr>
            <w:tcW w:w="280" w:type="dxa"/>
            <w:vAlign w:val="bottom"/>
            <w:tcBorders>
              <w:bottom w:val="single" w:sz="8" w:color="0077C0"/>
            </w:tcBorders>
          </w:tcPr>
          <w:p>
            <w:pPr>
              <w:spacing w:after="0"/>
              <w:rPr>
                <w:sz w:val="16"/>
                <w:szCs w:val="16"/>
                <w:color w:val="auto"/>
              </w:rPr>
            </w:pP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5,438</w:t>
            </w:r>
          </w:p>
        </w:tc>
        <w:tc>
          <w:tcPr>
            <w:tcW w:w="320" w:type="dxa"/>
            <w:vAlign w:val="bottom"/>
            <w:tcBorders>
              <w:bottom w:val="single" w:sz="8" w:color="0077C0"/>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980" w:type="dxa"/>
            <w:vAlign w:val="bottom"/>
            <w:tcBorders>
              <w:bottom w:val="single" w:sz="8" w:color="006EBF"/>
            </w:tcBorders>
          </w:tcPr>
          <w:p>
            <w:pPr>
              <w:ind w:left="20"/>
              <w:spacing w:after="0"/>
              <w:rPr>
                <w:sz w:val="20"/>
                <w:szCs w:val="20"/>
                <w:color w:val="auto"/>
              </w:rPr>
            </w:pPr>
            <w:r>
              <w:rPr>
                <w:rFonts w:ascii="Times New Roman" w:cs="Times New Roman" w:eastAsia="Times New Roman" w:hAnsi="Times New Roman"/>
                <w:sz w:val="14"/>
                <w:szCs w:val="14"/>
                <w:color w:val="auto"/>
              </w:rPr>
              <w:t>Total Chevron Corporation Stockholders’ Equity</w:t>
            </w:r>
          </w:p>
        </w:tc>
        <w:tc>
          <w:tcPr>
            <w:tcW w:w="280" w:type="dxa"/>
            <w:vAlign w:val="bottom"/>
            <w:tcBorders>
              <w:bottom w:val="single" w:sz="8" w:color="006EBF"/>
            </w:tcBorders>
          </w:tcPr>
          <w:p>
            <w:pPr>
              <w:spacing w:after="0"/>
              <w:rPr>
                <w:sz w:val="17"/>
                <w:szCs w:val="17"/>
                <w:color w:val="auto"/>
              </w:rPr>
            </w:pPr>
          </w:p>
        </w:tc>
        <w:tc>
          <w:tcPr>
            <w:tcW w:w="720" w:type="dxa"/>
            <w:vAlign w:val="bottom"/>
            <w:tcBorders>
              <w:bottom w:val="single" w:sz="8" w:color="006EB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152,318</w:t>
            </w:r>
          </w:p>
        </w:tc>
        <w:tc>
          <w:tcPr>
            <w:tcW w:w="440" w:type="dxa"/>
            <w:vAlign w:val="bottom"/>
            <w:tcBorders>
              <w:bottom w:val="single" w:sz="8" w:color="006EBF"/>
              <w:right w:val="single" w:sz="8" w:color="0077C0"/>
            </w:tcBorders>
          </w:tcPr>
          <w:p>
            <w:pPr>
              <w:spacing w:after="0"/>
              <w:rPr>
                <w:sz w:val="17"/>
                <w:szCs w:val="17"/>
                <w:color w:val="auto"/>
              </w:rPr>
            </w:pPr>
          </w:p>
        </w:tc>
        <w:tc>
          <w:tcPr>
            <w:tcW w:w="100" w:type="dxa"/>
            <w:vAlign w:val="bottom"/>
            <w:tcBorders>
              <w:bottom w:val="single" w:sz="8" w:color="006EBF"/>
            </w:tcBorders>
          </w:tcPr>
          <w:p>
            <w:pPr>
              <w:spacing w:after="0"/>
              <w:rPr>
                <w:sz w:val="17"/>
                <w:szCs w:val="17"/>
                <w:color w:val="auto"/>
              </w:rPr>
            </w:pPr>
          </w:p>
        </w:tc>
        <w:tc>
          <w:tcPr>
            <w:tcW w:w="280" w:type="dxa"/>
            <w:vAlign w:val="bottom"/>
            <w:tcBorders>
              <w:bottom w:val="single" w:sz="8" w:color="0077C0"/>
            </w:tcBorders>
          </w:tcPr>
          <w:p>
            <w:pPr>
              <w:spacing w:after="0"/>
              <w:rPr>
                <w:sz w:val="17"/>
                <w:szCs w:val="17"/>
                <w:color w:val="auto"/>
              </w:rPr>
            </w:pP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160,957</w:t>
            </w:r>
          </w:p>
        </w:tc>
        <w:tc>
          <w:tcPr>
            <w:tcW w:w="400" w:type="dxa"/>
            <w:vAlign w:val="bottom"/>
            <w:tcBorders>
              <w:bottom w:val="single" w:sz="8" w:color="006EBF"/>
            </w:tcBorders>
          </w:tcPr>
          <w:p>
            <w:pPr>
              <w:spacing w:after="0"/>
              <w:rPr>
                <w:sz w:val="17"/>
                <w:szCs w:val="17"/>
                <w:color w:val="auto"/>
              </w:rPr>
            </w:pPr>
          </w:p>
        </w:tc>
        <w:tc>
          <w:tcPr>
            <w:tcW w:w="280" w:type="dxa"/>
            <w:vAlign w:val="bottom"/>
            <w:tcBorders>
              <w:bottom w:val="single" w:sz="8" w:color="0077C0"/>
            </w:tcBorders>
          </w:tcPr>
          <w:p>
            <w:pPr>
              <w:spacing w:after="0"/>
              <w:rPr>
                <w:sz w:val="17"/>
                <w:szCs w:val="17"/>
                <w:color w:val="auto"/>
              </w:rPr>
            </w:pP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159,282</w:t>
            </w:r>
          </w:p>
        </w:tc>
        <w:tc>
          <w:tcPr>
            <w:tcW w:w="320" w:type="dxa"/>
            <w:vAlign w:val="bottom"/>
            <w:tcBorders>
              <w:bottom w:val="single" w:sz="8" w:color="006EB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80" w:type="dxa"/>
            <w:vAlign w:val="bottom"/>
            <w:tcBorders>
              <w:bottom w:val="single" w:sz="8" w:color="0077C0"/>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Total adjusted debt plus total Chevron Corporation Stockholders’ Equity</w:t>
            </w:r>
          </w:p>
        </w:tc>
        <w:tc>
          <w:tcPr>
            <w:tcW w:w="280" w:type="dxa"/>
            <w:vAlign w:val="bottom"/>
            <w:tcBorders>
              <w:bottom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170,074</w:t>
            </w:r>
          </w:p>
        </w:tc>
        <w:tc>
          <w:tcPr>
            <w:tcW w:w="440" w:type="dxa"/>
            <w:vAlign w:val="bottom"/>
            <w:tcBorders>
              <w:bottom w:val="single" w:sz="8" w:color="0077C0"/>
              <w:right w:val="single" w:sz="8" w:color="006EBF"/>
            </w:tcBorders>
          </w:tcPr>
          <w:p>
            <w:pPr>
              <w:spacing w:after="0"/>
              <w:rPr>
                <w:sz w:val="17"/>
                <w:szCs w:val="17"/>
                <w:color w:val="auto"/>
              </w:rPr>
            </w:pPr>
          </w:p>
        </w:tc>
        <w:tc>
          <w:tcPr>
            <w:tcW w:w="100" w:type="dxa"/>
            <w:vAlign w:val="bottom"/>
            <w:tcBorders>
              <w:bottom w:val="single" w:sz="8" w:color="0077C0"/>
            </w:tcBorders>
          </w:tcPr>
          <w:p>
            <w:pPr>
              <w:spacing w:after="0"/>
              <w:rPr>
                <w:sz w:val="17"/>
                <w:szCs w:val="17"/>
                <w:color w:val="auto"/>
              </w:rPr>
            </w:pPr>
          </w:p>
        </w:tc>
        <w:tc>
          <w:tcPr>
            <w:tcW w:w="280" w:type="dxa"/>
            <w:vAlign w:val="bottom"/>
            <w:tcBorders>
              <w:bottom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173,570</w:t>
            </w:r>
          </w:p>
        </w:tc>
        <w:tc>
          <w:tcPr>
            <w:tcW w:w="400" w:type="dxa"/>
            <w:vAlign w:val="bottom"/>
            <w:tcBorders>
              <w:bottom w:val="single" w:sz="8" w:color="0077C0"/>
            </w:tcBorders>
          </w:tcPr>
          <w:p>
            <w:pPr>
              <w:spacing w:after="0"/>
              <w:rPr>
                <w:sz w:val="17"/>
                <w:szCs w:val="17"/>
                <w:color w:val="auto"/>
              </w:rPr>
            </w:pPr>
          </w:p>
        </w:tc>
        <w:tc>
          <w:tcPr>
            <w:tcW w:w="280" w:type="dxa"/>
            <w:vAlign w:val="bottom"/>
            <w:tcBorders>
              <w:bottom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164,720</w:t>
            </w:r>
          </w:p>
        </w:tc>
        <w:tc>
          <w:tcPr>
            <w:tcW w:w="320" w:type="dxa"/>
            <w:vAlign w:val="bottom"/>
            <w:tcBorders>
              <w:bottom w:val="single" w:sz="8" w:color="0077C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8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Debt Ratio</w:t>
            </w:r>
          </w:p>
        </w:tc>
        <w:tc>
          <w:tcPr>
            <w:tcW w:w="280" w:type="dxa"/>
            <w:vAlign w:val="bottom"/>
            <w:tcBorders>
              <w:bottom w:val="single" w:sz="8" w:color="0077C0"/>
            </w:tcBorders>
          </w:tcPr>
          <w:p>
            <w:pPr>
              <w:spacing w:after="0"/>
              <w:rPr>
                <w:sz w:val="17"/>
                <w:szCs w:val="17"/>
                <w:color w:val="auto"/>
              </w:rPr>
            </w:pP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10.4</w:t>
            </w:r>
          </w:p>
        </w:tc>
        <w:tc>
          <w:tcPr>
            <w:tcW w:w="440" w:type="dxa"/>
            <w:vAlign w:val="bottom"/>
            <w:tcBorders>
              <w:bottom w:val="single" w:sz="8" w:color="0077C0"/>
              <w:right w:val="single" w:sz="8" w:color="0077C0"/>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00" w:type="dxa"/>
            <w:vAlign w:val="bottom"/>
            <w:tcBorders>
              <w:bottom w:val="single" w:sz="8" w:color="0077C0"/>
            </w:tcBorders>
          </w:tcPr>
          <w:p>
            <w:pPr>
              <w:spacing w:after="0"/>
              <w:rPr>
                <w:sz w:val="17"/>
                <w:szCs w:val="17"/>
                <w:color w:val="auto"/>
              </w:rPr>
            </w:pPr>
          </w:p>
        </w:tc>
        <w:tc>
          <w:tcPr>
            <w:tcW w:w="280" w:type="dxa"/>
            <w:vAlign w:val="bottom"/>
            <w:tcBorders>
              <w:bottom w:val="single" w:sz="8" w:color="0077C0"/>
            </w:tcBorders>
          </w:tcPr>
          <w:p>
            <w:pPr>
              <w:spacing w:after="0"/>
              <w:rPr>
                <w:sz w:val="17"/>
                <w:szCs w:val="17"/>
                <w:color w:val="auto"/>
              </w:rPr>
            </w:pP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400" w:type="dxa"/>
            <w:vAlign w:val="bottom"/>
            <w:tcBorders>
              <w:bottom w:val="single" w:sz="8" w:color="0077C0"/>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0077C0"/>
            </w:tcBorders>
          </w:tcPr>
          <w:p>
            <w:pPr>
              <w:spacing w:after="0"/>
              <w:rPr>
                <w:sz w:val="17"/>
                <w:szCs w:val="17"/>
                <w:color w:val="auto"/>
              </w:rPr>
            </w:pP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32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left="20"/>
        <w:spacing w:after="0" w:line="302"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Capital Employed </w:t>
      </w:r>
      <w:r>
        <w:rPr>
          <w:rFonts w:ascii="Times New Roman" w:cs="Times New Roman" w:eastAsia="Times New Roman" w:hAnsi="Times New Roman"/>
          <w:sz w:val="18"/>
          <w:szCs w:val="18"/>
          <w:color w:val="000000"/>
        </w:rPr>
        <w:t>The sum of Chevron Corporation Stockholders’ Equity, total debt and noncontrolling interests, which represents the net investment in</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the business.</w:t>
      </w:r>
    </w:p>
    <w:p>
      <w:pPr>
        <w:spacing w:after="0" w:line="5"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2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At December 31</w:t>
            </w:r>
          </w:p>
        </w:tc>
        <w:tc>
          <w:tcPr>
            <w:tcW w:w="0" w:type="dxa"/>
            <w:vAlign w:val="bottom"/>
          </w:tcPr>
          <w:p>
            <w:pPr>
              <w:spacing w:after="0"/>
              <w:rPr>
                <w:sz w:val="1"/>
                <w:szCs w:val="1"/>
                <w:color w:val="auto"/>
              </w:rPr>
            </w:pPr>
          </w:p>
        </w:tc>
      </w:tr>
      <w:tr>
        <w:trPr>
          <w:trHeight w:val="23"/>
        </w:trPr>
        <w:tc>
          <w:tcPr>
            <w:tcW w:w="6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280" w:type="dxa"/>
            <w:vAlign w:val="bottom"/>
            <w:tcBorders>
              <w:bottom w:val="single" w:sz="8" w:color="0077C0"/>
            </w:tcBorders>
          </w:tcPr>
          <w:p>
            <w:pPr>
              <w:spacing w:after="0"/>
              <w:rPr>
                <w:sz w:val="2"/>
                <w:szCs w:val="2"/>
                <w:color w:val="auto"/>
              </w:rPr>
            </w:pPr>
          </w:p>
        </w:tc>
        <w:tc>
          <w:tcPr>
            <w:tcW w:w="1160" w:type="dxa"/>
            <w:vAlign w:val="bottom"/>
            <w:tcBorders>
              <w:bottom w:val="single" w:sz="8" w:color="0077C0"/>
            </w:tcBorders>
          </w:tcPr>
          <w:p>
            <w:pPr>
              <w:spacing w:after="0"/>
              <w:rPr>
                <w:sz w:val="2"/>
                <w:szCs w:val="2"/>
                <w:color w:val="auto"/>
              </w:rPr>
            </w:pPr>
          </w:p>
        </w:tc>
        <w:tc>
          <w:tcPr>
            <w:tcW w:w="38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480" w:type="dxa"/>
            <w:vAlign w:val="bottom"/>
            <w:tcBorders>
              <w:bottom w:val="single" w:sz="8" w:color="0077C0"/>
            </w:tcBorders>
          </w:tcPr>
          <w:p>
            <w:pPr>
              <w:spacing w:after="0"/>
              <w:rPr>
                <w:sz w:val="2"/>
                <w:szCs w:val="2"/>
                <w:color w:val="auto"/>
              </w:rPr>
            </w:pPr>
          </w:p>
        </w:tc>
        <w:tc>
          <w:tcPr>
            <w:tcW w:w="104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80" w:type="dxa"/>
            <w:vAlign w:val="bottom"/>
            <w:tcBorders>
              <w:bottom w:val="single" w:sz="8" w:color="0077C0"/>
            </w:tcBorders>
            <w:vMerge w:val="continue"/>
          </w:tcPr>
          <w:p>
            <w:pPr>
              <w:spacing w:after="0"/>
              <w:rPr>
                <w:sz w:val="16"/>
                <w:szCs w:val="16"/>
                <w:color w:val="auto"/>
              </w:rPr>
            </w:pPr>
          </w:p>
        </w:tc>
        <w:tc>
          <w:tcPr>
            <w:tcW w:w="280" w:type="dxa"/>
            <w:vAlign w:val="bottom"/>
            <w:tcBorders>
              <w:bottom w:val="single" w:sz="8" w:color="0077C0"/>
            </w:tcBorders>
          </w:tcPr>
          <w:p>
            <w:pPr>
              <w:spacing w:after="0"/>
              <w:rPr>
                <w:sz w:val="16"/>
                <w:szCs w:val="16"/>
                <w:color w:val="auto"/>
              </w:rPr>
            </w:pPr>
          </w:p>
        </w:tc>
        <w:tc>
          <w:tcPr>
            <w:tcW w:w="1160" w:type="dxa"/>
            <w:vAlign w:val="bottom"/>
            <w:tcBorders>
              <w:bottom w:val="single" w:sz="8" w:color="0077C0"/>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0077C0"/>
            </w:tcBorders>
          </w:tcPr>
          <w:p>
            <w:pPr>
              <w:spacing w:after="0"/>
              <w:rPr>
                <w:sz w:val="16"/>
                <w:szCs w:val="16"/>
                <w:color w:val="auto"/>
              </w:rPr>
            </w:pPr>
          </w:p>
        </w:tc>
        <w:tc>
          <w:tcPr>
            <w:tcW w:w="920" w:type="dxa"/>
            <w:vAlign w:val="bottom"/>
            <w:tcBorders>
              <w:bottom w:val="single" w:sz="8" w:color="0077C0"/>
            </w:tcBorders>
          </w:tcPr>
          <w:p>
            <w:pPr>
              <w:jc w:val="right"/>
              <w:ind w:right="148"/>
              <w:spacing w:after="0"/>
              <w:rPr>
                <w:sz w:val="20"/>
                <w:szCs w:val="20"/>
                <w:color w:val="auto"/>
              </w:rPr>
            </w:pPr>
            <w:r>
              <w:rPr>
                <w:rFonts w:ascii="Times New Roman" w:cs="Times New Roman" w:eastAsia="Times New Roman" w:hAnsi="Times New Roman"/>
                <w:sz w:val="14"/>
                <w:szCs w:val="14"/>
                <w:color w:val="auto"/>
              </w:rPr>
              <w:t>2023</w:t>
            </w:r>
          </w:p>
        </w:tc>
        <w:tc>
          <w:tcPr>
            <w:tcW w:w="480" w:type="dxa"/>
            <w:vAlign w:val="bottom"/>
            <w:tcBorders>
              <w:bottom w:val="single" w:sz="8" w:color="0077C0"/>
            </w:tcBorders>
          </w:tcPr>
          <w:p>
            <w:pPr>
              <w:spacing w:after="0"/>
              <w:rPr>
                <w:sz w:val="16"/>
                <w:szCs w:val="16"/>
                <w:color w:val="auto"/>
              </w:rPr>
            </w:pPr>
          </w:p>
        </w:tc>
        <w:tc>
          <w:tcPr>
            <w:tcW w:w="1040" w:type="dxa"/>
            <w:vAlign w:val="bottom"/>
            <w:tcBorders>
              <w:bottom w:val="single" w:sz="8" w:color="0077C0"/>
            </w:tcBorders>
          </w:tcPr>
          <w:p>
            <w:pPr>
              <w:jc w:val="right"/>
              <w:ind w:right="248"/>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190"/>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Chevron Corporation Stockholders’ Equity</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right w:val="single" w:sz="8" w:color="0077C0"/>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152,318</w:t>
            </w:r>
          </w:p>
        </w:tc>
        <w:tc>
          <w:tcPr>
            <w:tcW w:w="3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160,957</w:t>
            </w:r>
          </w:p>
        </w:tc>
        <w:tc>
          <w:tcPr>
            <w:tcW w:w="4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159,282</w:t>
            </w:r>
          </w:p>
        </w:tc>
        <w:tc>
          <w:tcPr>
            <w:tcW w:w="0" w:type="dxa"/>
            <w:vAlign w:val="bottom"/>
          </w:tcPr>
          <w:p>
            <w:pPr>
              <w:spacing w:after="0"/>
              <w:rPr>
                <w:sz w:val="1"/>
                <w:szCs w:val="1"/>
                <w:color w:val="auto"/>
              </w:rPr>
            </w:pPr>
          </w:p>
        </w:tc>
      </w:tr>
      <w:tr>
        <w:trPr>
          <w:trHeight w:val="191"/>
        </w:trPr>
        <w:tc>
          <w:tcPr>
            <w:tcW w:w="6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Plus: Short-term debt</w:t>
            </w:r>
          </w:p>
        </w:tc>
        <w:tc>
          <w:tcPr>
            <w:tcW w:w="280" w:type="dxa"/>
            <w:vAlign w:val="bottom"/>
          </w:tcPr>
          <w:p>
            <w:pPr>
              <w:spacing w:after="0"/>
              <w:rPr>
                <w:sz w:val="16"/>
                <w:szCs w:val="16"/>
                <w:color w:val="auto"/>
              </w:rPr>
            </w:pPr>
          </w:p>
        </w:tc>
        <w:tc>
          <w:tcPr>
            <w:tcW w:w="1160" w:type="dxa"/>
            <w:vAlign w:val="bottom"/>
            <w:tcBorders>
              <w:right w:val="single" w:sz="8" w:color="0077C0"/>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4,406</w:t>
            </w:r>
          </w:p>
        </w:tc>
        <w:tc>
          <w:tcPr>
            <w:tcW w:w="380" w:type="dxa"/>
            <w:vAlign w:val="bottom"/>
          </w:tcPr>
          <w:p>
            <w:pPr>
              <w:spacing w:after="0"/>
              <w:rPr>
                <w:sz w:val="16"/>
                <w:szCs w:val="16"/>
                <w:color w:val="auto"/>
              </w:rPr>
            </w:pPr>
          </w:p>
        </w:tc>
        <w:tc>
          <w:tcPr>
            <w:tcW w:w="9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529</w:t>
            </w:r>
          </w:p>
        </w:tc>
        <w:tc>
          <w:tcPr>
            <w:tcW w:w="480" w:type="dxa"/>
            <w:vAlign w:val="bottom"/>
          </w:tcPr>
          <w:p>
            <w:pPr>
              <w:spacing w:after="0"/>
              <w:rPr>
                <w:sz w:val="16"/>
                <w:szCs w:val="16"/>
                <w:color w:val="auto"/>
              </w:rPr>
            </w:pPr>
          </w:p>
        </w:tc>
        <w:tc>
          <w:tcPr>
            <w:tcW w:w="10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1,964</w:t>
            </w:r>
          </w:p>
        </w:tc>
        <w:tc>
          <w:tcPr>
            <w:tcW w:w="0" w:type="dxa"/>
            <w:vAlign w:val="bottom"/>
          </w:tcPr>
          <w:p>
            <w:pPr>
              <w:spacing w:after="0"/>
              <w:rPr>
                <w:sz w:val="1"/>
                <w:szCs w:val="1"/>
                <w:color w:val="auto"/>
              </w:rPr>
            </w:pPr>
          </w:p>
        </w:tc>
      </w:tr>
      <w:tr>
        <w:trPr>
          <w:trHeight w:val="203"/>
        </w:trPr>
        <w:tc>
          <w:tcPr>
            <w:tcW w:w="6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Plus: Long-term debt</w:t>
            </w:r>
          </w:p>
        </w:tc>
        <w:tc>
          <w:tcPr>
            <w:tcW w:w="280" w:type="dxa"/>
            <w:vAlign w:val="bottom"/>
          </w:tcPr>
          <w:p>
            <w:pPr>
              <w:spacing w:after="0"/>
              <w:rPr>
                <w:sz w:val="17"/>
                <w:szCs w:val="17"/>
                <w:color w:val="auto"/>
              </w:rPr>
            </w:pPr>
          </w:p>
        </w:tc>
        <w:tc>
          <w:tcPr>
            <w:tcW w:w="1160" w:type="dxa"/>
            <w:vAlign w:val="bottom"/>
            <w:tcBorders>
              <w:right w:val="single" w:sz="8" w:color="0077C0"/>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20,135</w:t>
            </w:r>
          </w:p>
        </w:tc>
        <w:tc>
          <w:tcPr>
            <w:tcW w:w="380" w:type="dxa"/>
            <w:vAlign w:val="bottom"/>
          </w:tcPr>
          <w:p>
            <w:pPr>
              <w:spacing w:after="0"/>
              <w:rPr>
                <w:sz w:val="17"/>
                <w:szCs w:val="17"/>
                <w:color w:val="auto"/>
              </w:rPr>
            </w:pPr>
          </w:p>
        </w:tc>
        <w:tc>
          <w:tcPr>
            <w:tcW w:w="9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20,307</w:t>
            </w:r>
          </w:p>
        </w:tc>
        <w:tc>
          <w:tcPr>
            <w:tcW w:w="480" w:type="dxa"/>
            <w:vAlign w:val="bottom"/>
          </w:tcPr>
          <w:p>
            <w:pPr>
              <w:spacing w:after="0"/>
              <w:rPr>
                <w:sz w:val="17"/>
                <w:szCs w:val="17"/>
                <w:color w:val="auto"/>
              </w:rPr>
            </w:pPr>
          </w:p>
        </w:tc>
        <w:tc>
          <w:tcPr>
            <w:tcW w:w="10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21,375</w:t>
            </w:r>
          </w:p>
        </w:tc>
        <w:tc>
          <w:tcPr>
            <w:tcW w:w="0" w:type="dxa"/>
            <w:vAlign w:val="bottom"/>
          </w:tcPr>
          <w:p>
            <w:pPr>
              <w:spacing w:after="0"/>
              <w:rPr>
                <w:sz w:val="1"/>
                <w:szCs w:val="1"/>
                <w:color w:val="auto"/>
              </w:rPr>
            </w:pPr>
          </w:p>
        </w:tc>
      </w:tr>
      <w:tr>
        <w:trPr>
          <w:trHeight w:val="203"/>
        </w:trPr>
        <w:tc>
          <w:tcPr>
            <w:tcW w:w="6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Plus: Noncontrolling interest</w:t>
            </w:r>
          </w:p>
        </w:tc>
        <w:tc>
          <w:tcPr>
            <w:tcW w:w="280" w:type="dxa"/>
            <w:vAlign w:val="bottom"/>
          </w:tcPr>
          <w:p>
            <w:pPr>
              <w:spacing w:after="0"/>
              <w:rPr>
                <w:sz w:val="17"/>
                <w:szCs w:val="17"/>
                <w:color w:val="auto"/>
              </w:rPr>
            </w:pPr>
          </w:p>
        </w:tc>
        <w:tc>
          <w:tcPr>
            <w:tcW w:w="1160" w:type="dxa"/>
            <w:vAlign w:val="bottom"/>
            <w:tcBorders>
              <w:right w:val="single" w:sz="8" w:color="0077C0"/>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839</w:t>
            </w:r>
          </w:p>
        </w:tc>
        <w:tc>
          <w:tcPr>
            <w:tcW w:w="380" w:type="dxa"/>
            <w:vAlign w:val="bottom"/>
          </w:tcPr>
          <w:p>
            <w:pPr>
              <w:spacing w:after="0"/>
              <w:rPr>
                <w:sz w:val="17"/>
                <w:szCs w:val="17"/>
                <w:color w:val="auto"/>
              </w:rPr>
            </w:pPr>
          </w:p>
        </w:tc>
        <w:tc>
          <w:tcPr>
            <w:tcW w:w="9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972</w:t>
            </w:r>
          </w:p>
        </w:tc>
        <w:tc>
          <w:tcPr>
            <w:tcW w:w="480" w:type="dxa"/>
            <w:vAlign w:val="bottom"/>
          </w:tcPr>
          <w:p>
            <w:pPr>
              <w:spacing w:after="0"/>
              <w:rPr>
                <w:sz w:val="17"/>
                <w:szCs w:val="17"/>
                <w:color w:val="auto"/>
              </w:rPr>
            </w:pPr>
          </w:p>
        </w:tc>
        <w:tc>
          <w:tcPr>
            <w:tcW w:w="10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960</w:t>
            </w:r>
          </w:p>
        </w:tc>
        <w:tc>
          <w:tcPr>
            <w:tcW w:w="0" w:type="dxa"/>
            <w:vAlign w:val="bottom"/>
          </w:tcPr>
          <w:p>
            <w:pPr>
              <w:spacing w:after="0"/>
              <w:rPr>
                <w:sz w:val="1"/>
                <w:szCs w:val="1"/>
                <w:color w:val="auto"/>
              </w:rPr>
            </w:pPr>
          </w:p>
        </w:tc>
      </w:tr>
      <w:tr>
        <w:trPr>
          <w:trHeight w:val="23"/>
        </w:trPr>
        <w:tc>
          <w:tcPr>
            <w:tcW w:w="6980" w:type="dxa"/>
            <w:vAlign w:val="bottom"/>
            <w:tcBorders>
              <w:bottom w:val="single" w:sz="8" w:color="006EBF"/>
            </w:tcBorders>
          </w:tcPr>
          <w:p>
            <w:pPr>
              <w:spacing w:after="0"/>
              <w:rPr>
                <w:sz w:val="2"/>
                <w:szCs w:val="2"/>
                <w:color w:val="auto"/>
              </w:rPr>
            </w:pPr>
          </w:p>
        </w:tc>
        <w:tc>
          <w:tcPr>
            <w:tcW w:w="280" w:type="dxa"/>
            <w:vAlign w:val="bottom"/>
            <w:tcBorders>
              <w:bottom w:val="single" w:sz="8" w:color="006EBF"/>
            </w:tcBorders>
          </w:tcPr>
          <w:p>
            <w:pPr>
              <w:spacing w:after="0"/>
              <w:rPr>
                <w:sz w:val="2"/>
                <w:szCs w:val="2"/>
                <w:color w:val="auto"/>
              </w:rPr>
            </w:pPr>
          </w:p>
        </w:tc>
        <w:tc>
          <w:tcPr>
            <w:tcW w:w="1160" w:type="dxa"/>
            <w:vAlign w:val="bottom"/>
            <w:tcBorders>
              <w:bottom w:val="single" w:sz="8" w:color="006EBF"/>
              <w:right w:val="single" w:sz="8" w:color="0077C0"/>
            </w:tcBorders>
          </w:tcPr>
          <w:p>
            <w:pPr>
              <w:spacing w:after="0"/>
              <w:rPr>
                <w:sz w:val="2"/>
                <w:szCs w:val="2"/>
                <w:color w:val="auto"/>
              </w:rPr>
            </w:pPr>
          </w:p>
        </w:tc>
        <w:tc>
          <w:tcPr>
            <w:tcW w:w="380" w:type="dxa"/>
            <w:vAlign w:val="bottom"/>
            <w:tcBorders>
              <w:bottom w:val="single" w:sz="8" w:color="006EBF"/>
            </w:tcBorders>
          </w:tcPr>
          <w:p>
            <w:pPr>
              <w:spacing w:after="0"/>
              <w:rPr>
                <w:sz w:val="2"/>
                <w:szCs w:val="2"/>
                <w:color w:val="auto"/>
              </w:rPr>
            </w:pPr>
          </w:p>
        </w:tc>
        <w:tc>
          <w:tcPr>
            <w:tcW w:w="920" w:type="dxa"/>
            <w:vAlign w:val="bottom"/>
            <w:tcBorders>
              <w:bottom w:val="single" w:sz="8" w:color="006EBF"/>
            </w:tcBorders>
          </w:tcPr>
          <w:p>
            <w:pPr>
              <w:spacing w:after="0"/>
              <w:rPr>
                <w:sz w:val="2"/>
                <w:szCs w:val="2"/>
                <w:color w:val="auto"/>
              </w:rPr>
            </w:pPr>
          </w:p>
        </w:tc>
        <w:tc>
          <w:tcPr>
            <w:tcW w:w="480" w:type="dxa"/>
            <w:vAlign w:val="bottom"/>
            <w:tcBorders>
              <w:bottom w:val="single" w:sz="8" w:color="006EBF"/>
            </w:tcBorders>
          </w:tcPr>
          <w:p>
            <w:pPr>
              <w:spacing w:after="0"/>
              <w:rPr>
                <w:sz w:val="2"/>
                <w:szCs w:val="2"/>
                <w:color w:val="auto"/>
              </w:rPr>
            </w:pPr>
          </w:p>
        </w:tc>
        <w:tc>
          <w:tcPr>
            <w:tcW w:w="1040" w:type="dxa"/>
            <w:vAlign w:val="bottom"/>
            <w:tcBorders>
              <w:bottom w:val="single" w:sz="8" w:color="006EBF"/>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8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Capital Employed at December 31</w:t>
            </w:r>
          </w:p>
        </w:tc>
        <w:tc>
          <w:tcPr>
            <w:tcW w:w="280" w:type="dxa"/>
            <w:vAlign w:val="bottom"/>
            <w:tcBorders>
              <w:bottom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bottom w:val="single" w:sz="8" w:color="0077C0"/>
              <w:right w:val="single" w:sz="8" w:color="0077C0"/>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177,698</w:t>
            </w:r>
          </w:p>
        </w:tc>
        <w:tc>
          <w:tcPr>
            <w:tcW w:w="380" w:type="dxa"/>
            <w:vAlign w:val="bottom"/>
            <w:tcBorders>
              <w:bottom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0077C0"/>
            </w:tcBorders>
          </w:tcPr>
          <w:p>
            <w:pPr>
              <w:jc w:val="right"/>
              <w:ind w:right="188"/>
              <w:spacing w:after="0"/>
              <w:rPr>
                <w:sz w:val="20"/>
                <w:szCs w:val="20"/>
                <w:color w:val="auto"/>
              </w:rPr>
            </w:pPr>
            <w:r>
              <w:rPr>
                <w:rFonts w:ascii="Times New Roman" w:cs="Times New Roman" w:eastAsia="Times New Roman" w:hAnsi="Times New Roman"/>
                <w:sz w:val="14"/>
                <w:szCs w:val="14"/>
                <w:color w:val="auto"/>
              </w:rPr>
              <w:t>182,765</w:t>
            </w:r>
          </w:p>
        </w:tc>
        <w:tc>
          <w:tcPr>
            <w:tcW w:w="480" w:type="dxa"/>
            <w:vAlign w:val="bottom"/>
            <w:tcBorders>
              <w:bottom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0077C0"/>
            </w:tcBorders>
          </w:tcPr>
          <w:p>
            <w:pPr>
              <w:jc w:val="right"/>
              <w:ind w:right="308"/>
              <w:spacing w:after="0"/>
              <w:rPr>
                <w:sz w:val="20"/>
                <w:szCs w:val="20"/>
                <w:color w:val="auto"/>
              </w:rPr>
            </w:pPr>
            <w:r>
              <w:rPr>
                <w:rFonts w:ascii="Times New Roman" w:cs="Times New Roman" w:eastAsia="Times New Roman" w:hAnsi="Times New Roman"/>
                <w:sz w:val="14"/>
                <w:szCs w:val="14"/>
                <w:color w:val="auto"/>
              </w:rPr>
              <w:t>183,581</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left="20"/>
        <w:spacing w:after="0" w:line="276"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Return on Average Capital Employed (ROCE) </w:t>
      </w:r>
      <w:r>
        <w:rPr>
          <w:rFonts w:ascii="Times New Roman" w:cs="Times New Roman" w:eastAsia="Times New Roman" w:hAnsi="Times New Roman"/>
          <w:sz w:val="18"/>
          <w:szCs w:val="18"/>
          <w:color w:val="000000"/>
        </w:rPr>
        <w:t>Net income attributable to Chevron (adjusted for after-tax interest expense and noncontrolling interest)</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divided by average capital employed. Average capital employed is computed by averaging the sum of capital employed at the beginning and end of the year. ROCE is a ratio intended to measure annual earnings as a percentage of historical investments in the business.</w:t>
      </w:r>
    </w:p>
    <w:p>
      <w:pPr>
        <w:spacing w:after="0" w:line="42"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Year ended December 31</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280" w:type="dxa"/>
            <w:vAlign w:val="bottom"/>
            <w:tcBorders>
              <w:bottom w:val="single" w:sz="8" w:color="0077C0"/>
            </w:tcBorders>
          </w:tcPr>
          <w:p>
            <w:pPr>
              <w:spacing w:after="0"/>
              <w:rPr>
                <w:sz w:val="2"/>
                <w:szCs w:val="2"/>
                <w:color w:val="auto"/>
              </w:rPr>
            </w:pPr>
          </w:p>
        </w:tc>
        <w:tc>
          <w:tcPr>
            <w:tcW w:w="720" w:type="dxa"/>
            <w:vAlign w:val="bottom"/>
            <w:tcBorders>
              <w:bottom w:val="single" w:sz="8" w:color="0077C0"/>
            </w:tcBorders>
          </w:tcPr>
          <w:p>
            <w:pPr>
              <w:spacing w:after="0"/>
              <w:rPr>
                <w:sz w:val="2"/>
                <w:szCs w:val="2"/>
                <w:color w:val="auto"/>
              </w:rPr>
            </w:pPr>
          </w:p>
        </w:tc>
        <w:tc>
          <w:tcPr>
            <w:tcW w:w="440" w:type="dxa"/>
            <w:vAlign w:val="bottom"/>
            <w:tcBorders>
              <w:bottom w:val="single" w:sz="8" w:color="0077C0"/>
            </w:tcBorders>
          </w:tcPr>
          <w:p>
            <w:pPr>
              <w:spacing w:after="0"/>
              <w:rPr>
                <w:sz w:val="2"/>
                <w:szCs w:val="2"/>
                <w:color w:val="auto"/>
              </w:rPr>
            </w:pPr>
          </w:p>
        </w:tc>
        <w:tc>
          <w:tcPr>
            <w:tcW w:w="380" w:type="dxa"/>
            <w:vAlign w:val="bottom"/>
            <w:tcBorders>
              <w:bottom w:val="single" w:sz="8" w:color="0077C0"/>
            </w:tcBorders>
          </w:tcPr>
          <w:p>
            <w:pPr>
              <w:spacing w:after="0"/>
              <w:rPr>
                <w:sz w:val="2"/>
                <w:szCs w:val="2"/>
                <w:color w:val="auto"/>
              </w:rPr>
            </w:pPr>
          </w:p>
        </w:tc>
        <w:tc>
          <w:tcPr>
            <w:tcW w:w="72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400" w:type="dxa"/>
            <w:vAlign w:val="bottom"/>
            <w:tcBorders>
              <w:bottom w:val="single" w:sz="8" w:color="0077C0"/>
            </w:tcBorders>
          </w:tcPr>
          <w:p>
            <w:pPr>
              <w:spacing w:after="0"/>
              <w:rPr>
                <w:sz w:val="2"/>
                <w:szCs w:val="2"/>
                <w:color w:val="auto"/>
              </w:rPr>
            </w:pPr>
          </w:p>
        </w:tc>
        <w:tc>
          <w:tcPr>
            <w:tcW w:w="72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80" w:type="dxa"/>
            <w:vAlign w:val="bottom"/>
            <w:tcBorders>
              <w:bottom w:val="single" w:sz="8" w:color="0077C0"/>
            </w:tcBorders>
            <w:vMerge w:val="continue"/>
          </w:tcPr>
          <w:p>
            <w:pPr>
              <w:spacing w:after="0"/>
              <w:rPr>
                <w:sz w:val="16"/>
                <w:szCs w:val="16"/>
                <w:color w:val="auto"/>
              </w:rPr>
            </w:pPr>
          </w:p>
        </w:tc>
        <w:tc>
          <w:tcPr>
            <w:tcW w:w="280" w:type="dxa"/>
            <w:vAlign w:val="bottom"/>
            <w:tcBorders>
              <w:bottom w:val="single" w:sz="8" w:color="0077C0"/>
            </w:tcBorders>
          </w:tcPr>
          <w:p>
            <w:pPr>
              <w:spacing w:after="0"/>
              <w:rPr>
                <w:sz w:val="16"/>
                <w:szCs w:val="16"/>
                <w:color w:val="auto"/>
              </w:rPr>
            </w:pP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0077C0"/>
            </w:tcBorders>
          </w:tcPr>
          <w:p>
            <w:pPr>
              <w:spacing w:after="0"/>
              <w:rPr>
                <w:sz w:val="16"/>
                <w:szCs w:val="16"/>
                <w:color w:val="auto"/>
              </w:rPr>
            </w:pPr>
          </w:p>
        </w:tc>
        <w:tc>
          <w:tcPr>
            <w:tcW w:w="380" w:type="dxa"/>
            <w:vAlign w:val="bottom"/>
            <w:tcBorders>
              <w:bottom w:val="single" w:sz="8" w:color="0077C0"/>
            </w:tcBorders>
          </w:tcPr>
          <w:p>
            <w:pPr>
              <w:spacing w:after="0"/>
              <w:rPr>
                <w:sz w:val="16"/>
                <w:szCs w:val="16"/>
                <w:color w:val="auto"/>
              </w:rPr>
            </w:pP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280" w:type="dxa"/>
            <w:vAlign w:val="bottom"/>
            <w:tcBorders>
              <w:bottom w:val="single" w:sz="8" w:color="0077C0"/>
            </w:tcBorders>
          </w:tcPr>
          <w:p>
            <w:pPr>
              <w:spacing w:after="0"/>
              <w:rPr>
                <w:sz w:val="16"/>
                <w:szCs w:val="16"/>
                <w:color w:val="auto"/>
              </w:rPr>
            </w:pPr>
          </w:p>
        </w:tc>
        <w:tc>
          <w:tcPr>
            <w:tcW w:w="400" w:type="dxa"/>
            <w:vAlign w:val="bottom"/>
            <w:tcBorders>
              <w:bottom w:val="single" w:sz="8" w:color="0077C0"/>
            </w:tcBorders>
          </w:tcPr>
          <w:p>
            <w:pPr>
              <w:spacing w:after="0"/>
              <w:rPr>
                <w:sz w:val="16"/>
                <w:szCs w:val="16"/>
                <w:color w:val="auto"/>
              </w:rPr>
            </w:pP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320" w:type="dxa"/>
            <w:vAlign w:val="bottom"/>
            <w:tcBorders>
              <w:bottom w:val="single" w:sz="8" w:color="0077C0"/>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attributable to Chevron</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17,661</w:t>
            </w:r>
          </w:p>
        </w:tc>
        <w:tc>
          <w:tcPr>
            <w:tcW w:w="440" w:type="dxa"/>
            <w:vAlign w:val="bottom"/>
            <w:tcBorders>
              <w:right w:val="single" w:sz="8" w:color="0077C0"/>
            </w:tcBorders>
          </w:tcPr>
          <w:p>
            <w:pPr>
              <w:spacing w:after="0"/>
              <w:rPr>
                <w:sz w:val="16"/>
                <w:szCs w:val="16"/>
                <w:color w:val="auto"/>
              </w:rPr>
            </w:pPr>
          </w:p>
        </w:tc>
        <w:tc>
          <w:tcPr>
            <w:tcW w:w="3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21,369</w:t>
            </w:r>
          </w:p>
        </w:tc>
        <w:tc>
          <w:tcPr>
            <w:tcW w:w="280" w:type="dxa"/>
            <w:vAlign w:val="bottom"/>
          </w:tcPr>
          <w:p>
            <w:pPr>
              <w:spacing w:after="0"/>
              <w:rPr>
                <w:sz w:val="16"/>
                <w:szCs w:val="16"/>
                <w:color w:val="auto"/>
              </w:rPr>
            </w:pPr>
          </w:p>
        </w:tc>
        <w:tc>
          <w:tcPr>
            <w:tcW w:w="4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35,465</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Plus: After-tax interest and debt expense</w:t>
            </w:r>
          </w:p>
        </w:tc>
        <w:tc>
          <w:tcPr>
            <w:tcW w:w="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539</w:t>
            </w:r>
          </w:p>
        </w:tc>
        <w:tc>
          <w:tcPr>
            <w:tcW w:w="440" w:type="dxa"/>
            <w:vAlign w:val="bottom"/>
            <w:tcBorders>
              <w:right w:val="single" w:sz="8" w:color="0077C0"/>
            </w:tcBorders>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Plus: Noncontrolling interest</w:t>
            </w: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88</w:t>
            </w:r>
          </w:p>
        </w:tc>
        <w:tc>
          <w:tcPr>
            <w:tcW w:w="440" w:type="dxa"/>
            <w:vAlign w:val="bottom"/>
            <w:tcBorders>
              <w:right w:val="single" w:sz="8" w:color="0077C0"/>
            </w:tcBorders>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980" w:type="dxa"/>
            <w:vAlign w:val="bottom"/>
            <w:tcBorders>
              <w:bottom w:val="single" w:sz="8" w:color="006EBF"/>
            </w:tcBorders>
          </w:tcPr>
          <w:p>
            <w:pPr>
              <w:spacing w:after="0"/>
              <w:rPr>
                <w:sz w:val="2"/>
                <w:szCs w:val="2"/>
                <w:color w:val="auto"/>
              </w:rPr>
            </w:pPr>
          </w:p>
        </w:tc>
        <w:tc>
          <w:tcPr>
            <w:tcW w:w="280" w:type="dxa"/>
            <w:vAlign w:val="bottom"/>
            <w:tcBorders>
              <w:bottom w:val="single" w:sz="8" w:color="006EBF"/>
            </w:tcBorders>
          </w:tcPr>
          <w:p>
            <w:pPr>
              <w:spacing w:after="0"/>
              <w:rPr>
                <w:sz w:val="2"/>
                <w:szCs w:val="2"/>
                <w:color w:val="auto"/>
              </w:rPr>
            </w:pPr>
          </w:p>
        </w:tc>
        <w:tc>
          <w:tcPr>
            <w:tcW w:w="720" w:type="dxa"/>
            <w:vAlign w:val="bottom"/>
            <w:tcBorders>
              <w:bottom w:val="single" w:sz="8" w:color="006EBF"/>
            </w:tcBorders>
          </w:tcPr>
          <w:p>
            <w:pPr>
              <w:spacing w:after="0"/>
              <w:rPr>
                <w:sz w:val="2"/>
                <w:szCs w:val="2"/>
                <w:color w:val="auto"/>
              </w:rPr>
            </w:pPr>
          </w:p>
        </w:tc>
        <w:tc>
          <w:tcPr>
            <w:tcW w:w="440" w:type="dxa"/>
            <w:vAlign w:val="bottom"/>
            <w:tcBorders>
              <w:bottom w:val="single" w:sz="8" w:color="006EBF"/>
              <w:right w:val="single" w:sz="8" w:color="0077C0"/>
            </w:tcBorders>
          </w:tcPr>
          <w:p>
            <w:pPr>
              <w:spacing w:after="0"/>
              <w:rPr>
                <w:sz w:val="2"/>
                <w:szCs w:val="2"/>
                <w:color w:val="auto"/>
              </w:rPr>
            </w:pPr>
          </w:p>
        </w:tc>
        <w:tc>
          <w:tcPr>
            <w:tcW w:w="380" w:type="dxa"/>
            <w:vAlign w:val="bottom"/>
            <w:tcBorders>
              <w:bottom w:val="single" w:sz="8" w:color="006EBF"/>
            </w:tcBorders>
          </w:tcPr>
          <w:p>
            <w:pPr>
              <w:spacing w:after="0"/>
              <w:rPr>
                <w:sz w:val="2"/>
                <w:szCs w:val="2"/>
                <w:color w:val="auto"/>
              </w:rPr>
            </w:pPr>
          </w:p>
        </w:tc>
        <w:tc>
          <w:tcPr>
            <w:tcW w:w="720" w:type="dxa"/>
            <w:vAlign w:val="bottom"/>
            <w:tcBorders>
              <w:bottom w:val="single" w:sz="8" w:color="006EBF"/>
            </w:tcBorders>
          </w:tcPr>
          <w:p>
            <w:pPr>
              <w:spacing w:after="0"/>
              <w:rPr>
                <w:sz w:val="2"/>
                <w:szCs w:val="2"/>
                <w:color w:val="auto"/>
              </w:rPr>
            </w:pPr>
          </w:p>
        </w:tc>
        <w:tc>
          <w:tcPr>
            <w:tcW w:w="280" w:type="dxa"/>
            <w:vAlign w:val="bottom"/>
            <w:tcBorders>
              <w:bottom w:val="single" w:sz="8" w:color="006EBF"/>
            </w:tcBorders>
          </w:tcPr>
          <w:p>
            <w:pPr>
              <w:spacing w:after="0"/>
              <w:rPr>
                <w:sz w:val="2"/>
                <w:szCs w:val="2"/>
                <w:color w:val="auto"/>
              </w:rPr>
            </w:pPr>
          </w:p>
        </w:tc>
        <w:tc>
          <w:tcPr>
            <w:tcW w:w="400" w:type="dxa"/>
            <w:vAlign w:val="bottom"/>
            <w:tcBorders>
              <w:bottom w:val="single" w:sz="8" w:color="006EBF"/>
            </w:tcBorders>
          </w:tcPr>
          <w:p>
            <w:pPr>
              <w:spacing w:after="0"/>
              <w:rPr>
                <w:sz w:val="2"/>
                <w:szCs w:val="2"/>
                <w:color w:val="auto"/>
              </w:rPr>
            </w:pPr>
          </w:p>
        </w:tc>
        <w:tc>
          <w:tcPr>
            <w:tcW w:w="720" w:type="dxa"/>
            <w:vAlign w:val="bottom"/>
            <w:tcBorders>
              <w:bottom w:val="single" w:sz="8" w:color="006EBF"/>
            </w:tcBorders>
          </w:tcPr>
          <w:p>
            <w:pPr>
              <w:spacing w:after="0"/>
              <w:rPr>
                <w:sz w:val="2"/>
                <w:szCs w:val="2"/>
                <w:color w:val="auto"/>
              </w:rPr>
            </w:pPr>
          </w:p>
        </w:tc>
        <w:tc>
          <w:tcPr>
            <w:tcW w:w="320" w:type="dxa"/>
            <w:vAlign w:val="bottom"/>
            <w:tcBorders>
              <w:bottom w:val="single" w:sz="8" w:color="006EBF"/>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80" w:type="dxa"/>
            <w:vAlign w:val="bottom"/>
            <w:tcBorders>
              <w:bottom w:val="single" w:sz="8" w:color="006EBF"/>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Net income after adjustments</w:t>
            </w:r>
          </w:p>
        </w:tc>
        <w:tc>
          <w:tcPr>
            <w:tcW w:w="280" w:type="dxa"/>
            <w:vAlign w:val="bottom"/>
            <w:tcBorders>
              <w:bottom w:val="single" w:sz="8" w:color="006EBF"/>
            </w:tcBorders>
          </w:tcPr>
          <w:p>
            <w:pPr>
              <w:spacing w:after="0"/>
              <w:rPr>
                <w:sz w:val="16"/>
                <w:szCs w:val="16"/>
                <w:color w:val="auto"/>
              </w:rPr>
            </w:pPr>
          </w:p>
        </w:tc>
        <w:tc>
          <w:tcPr>
            <w:tcW w:w="720" w:type="dxa"/>
            <w:vAlign w:val="bottom"/>
            <w:tcBorders>
              <w:bottom w:val="single" w:sz="8" w:color="006EB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18,288</w:t>
            </w:r>
          </w:p>
        </w:tc>
        <w:tc>
          <w:tcPr>
            <w:tcW w:w="440" w:type="dxa"/>
            <w:vAlign w:val="bottom"/>
            <w:tcBorders>
              <w:bottom w:val="single" w:sz="8" w:color="006EBF"/>
              <w:right w:val="single" w:sz="8" w:color="0077C0"/>
            </w:tcBorders>
          </w:tcPr>
          <w:p>
            <w:pPr>
              <w:spacing w:after="0"/>
              <w:rPr>
                <w:sz w:val="16"/>
                <w:szCs w:val="16"/>
                <w:color w:val="auto"/>
              </w:rPr>
            </w:pPr>
          </w:p>
        </w:tc>
        <w:tc>
          <w:tcPr>
            <w:tcW w:w="380" w:type="dxa"/>
            <w:vAlign w:val="bottom"/>
            <w:tcBorders>
              <w:bottom w:val="single" w:sz="8" w:color="006EBF"/>
            </w:tcBorders>
          </w:tcPr>
          <w:p>
            <w:pPr>
              <w:spacing w:after="0"/>
              <w:rPr>
                <w:sz w:val="16"/>
                <w:szCs w:val="16"/>
                <w:color w:val="auto"/>
              </w:rPr>
            </w:pPr>
          </w:p>
        </w:tc>
        <w:tc>
          <w:tcPr>
            <w:tcW w:w="720" w:type="dxa"/>
            <w:vAlign w:val="bottom"/>
            <w:tcBorders>
              <w:bottom w:val="single" w:sz="8" w:color="006EBF"/>
            </w:tcBorders>
          </w:tcPr>
          <w:p>
            <w:pPr>
              <w:jc w:val="right"/>
              <w:spacing w:after="0"/>
              <w:rPr>
                <w:sz w:val="20"/>
                <w:szCs w:val="20"/>
                <w:color w:val="auto"/>
              </w:rPr>
            </w:pPr>
            <w:r>
              <w:rPr>
                <w:rFonts w:ascii="Times New Roman" w:cs="Times New Roman" w:eastAsia="Times New Roman" w:hAnsi="Times New Roman"/>
                <w:sz w:val="14"/>
                <w:szCs w:val="14"/>
                <w:color w:val="auto"/>
              </w:rPr>
              <w:t>21,843</w:t>
            </w:r>
          </w:p>
        </w:tc>
        <w:tc>
          <w:tcPr>
            <w:tcW w:w="280" w:type="dxa"/>
            <w:vAlign w:val="bottom"/>
            <w:tcBorders>
              <w:bottom w:val="single" w:sz="8" w:color="006EBF"/>
            </w:tcBorders>
          </w:tcPr>
          <w:p>
            <w:pPr>
              <w:spacing w:after="0"/>
              <w:rPr>
                <w:sz w:val="16"/>
                <w:szCs w:val="16"/>
                <w:color w:val="auto"/>
              </w:rPr>
            </w:pPr>
          </w:p>
        </w:tc>
        <w:tc>
          <w:tcPr>
            <w:tcW w:w="400" w:type="dxa"/>
            <w:vAlign w:val="bottom"/>
            <w:tcBorders>
              <w:bottom w:val="single" w:sz="8" w:color="006EBF"/>
            </w:tcBorders>
          </w:tcPr>
          <w:p>
            <w:pPr>
              <w:spacing w:after="0"/>
              <w:rPr>
                <w:sz w:val="16"/>
                <w:szCs w:val="16"/>
                <w:color w:val="auto"/>
              </w:rPr>
            </w:pPr>
          </w:p>
        </w:tc>
        <w:tc>
          <w:tcPr>
            <w:tcW w:w="720" w:type="dxa"/>
            <w:vAlign w:val="bottom"/>
            <w:tcBorders>
              <w:bottom w:val="single" w:sz="8" w:color="006EBF"/>
            </w:tcBorders>
          </w:tcPr>
          <w:p>
            <w:pPr>
              <w:jc w:val="right"/>
              <w:spacing w:after="0"/>
              <w:rPr>
                <w:sz w:val="20"/>
                <w:szCs w:val="20"/>
                <w:color w:val="auto"/>
              </w:rPr>
            </w:pPr>
            <w:r>
              <w:rPr>
                <w:rFonts w:ascii="Times New Roman" w:cs="Times New Roman" w:eastAsia="Times New Roman" w:hAnsi="Times New Roman"/>
                <w:sz w:val="14"/>
                <w:szCs w:val="14"/>
                <w:color w:val="auto"/>
              </w:rPr>
              <w:t>36,084</w:t>
            </w:r>
          </w:p>
        </w:tc>
        <w:tc>
          <w:tcPr>
            <w:tcW w:w="320" w:type="dxa"/>
            <w:vAlign w:val="bottom"/>
            <w:tcBorders>
              <w:bottom w:val="single" w:sz="8" w:color="006EBF"/>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980" w:type="dxa"/>
            <w:vAlign w:val="bottom"/>
            <w:tcBorders>
              <w:bottom w:val="single" w:sz="8" w:color="006EBF"/>
            </w:tcBorders>
          </w:tcPr>
          <w:p>
            <w:pPr>
              <w:ind w:left="20"/>
              <w:spacing w:after="0"/>
              <w:rPr>
                <w:sz w:val="20"/>
                <w:szCs w:val="20"/>
                <w:color w:val="auto"/>
              </w:rPr>
            </w:pPr>
            <w:r>
              <w:rPr>
                <w:rFonts w:ascii="Times New Roman" w:cs="Times New Roman" w:eastAsia="Times New Roman" w:hAnsi="Times New Roman"/>
                <w:sz w:val="14"/>
                <w:szCs w:val="14"/>
                <w:color w:val="auto"/>
              </w:rPr>
              <w:t>Average capital employed</w:t>
            </w:r>
          </w:p>
        </w:tc>
        <w:tc>
          <w:tcPr>
            <w:tcW w:w="280" w:type="dxa"/>
            <w:vAlign w:val="bottom"/>
            <w:tcBorders>
              <w:bottom w:val="single" w:sz="8" w:color="006EBF"/>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006EB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180,232</w:t>
            </w:r>
          </w:p>
        </w:tc>
        <w:tc>
          <w:tcPr>
            <w:tcW w:w="440" w:type="dxa"/>
            <w:vAlign w:val="bottom"/>
            <w:tcBorders>
              <w:bottom w:val="single" w:sz="8" w:color="006EBF"/>
              <w:right w:val="single" w:sz="8" w:color="0077C0"/>
            </w:tcBorders>
          </w:tcPr>
          <w:p>
            <w:pPr>
              <w:spacing w:after="0"/>
              <w:rPr>
                <w:sz w:val="17"/>
                <w:szCs w:val="17"/>
                <w:color w:val="auto"/>
              </w:rPr>
            </w:pPr>
          </w:p>
        </w:tc>
        <w:tc>
          <w:tcPr>
            <w:tcW w:w="380" w:type="dxa"/>
            <w:vAlign w:val="bottom"/>
            <w:tcBorders>
              <w:bottom w:val="single" w:sz="8" w:color="006EBF"/>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006EBF"/>
            </w:tcBorders>
          </w:tcPr>
          <w:p>
            <w:pPr>
              <w:jc w:val="right"/>
              <w:spacing w:after="0"/>
              <w:rPr>
                <w:sz w:val="20"/>
                <w:szCs w:val="20"/>
                <w:color w:val="auto"/>
              </w:rPr>
            </w:pPr>
            <w:r>
              <w:rPr>
                <w:rFonts w:ascii="Times New Roman" w:cs="Times New Roman" w:eastAsia="Times New Roman" w:hAnsi="Times New Roman"/>
                <w:sz w:val="14"/>
                <w:szCs w:val="14"/>
                <w:color w:val="auto"/>
              </w:rPr>
              <w:t>183,173</w:t>
            </w:r>
          </w:p>
        </w:tc>
        <w:tc>
          <w:tcPr>
            <w:tcW w:w="280" w:type="dxa"/>
            <w:vAlign w:val="bottom"/>
            <w:tcBorders>
              <w:bottom w:val="single" w:sz="8" w:color="006EBF"/>
            </w:tcBorders>
          </w:tcPr>
          <w:p>
            <w:pPr>
              <w:spacing w:after="0"/>
              <w:rPr>
                <w:sz w:val="17"/>
                <w:szCs w:val="17"/>
                <w:color w:val="auto"/>
              </w:rPr>
            </w:pPr>
          </w:p>
        </w:tc>
        <w:tc>
          <w:tcPr>
            <w:tcW w:w="400" w:type="dxa"/>
            <w:vAlign w:val="bottom"/>
            <w:tcBorders>
              <w:bottom w:val="single" w:sz="8" w:color="006EBF"/>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006EBF"/>
            </w:tcBorders>
          </w:tcPr>
          <w:p>
            <w:pPr>
              <w:jc w:val="right"/>
              <w:spacing w:after="0"/>
              <w:rPr>
                <w:sz w:val="20"/>
                <w:szCs w:val="20"/>
                <w:color w:val="auto"/>
              </w:rPr>
            </w:pPr>
            <w:r>
              <w:rPr>
                <w:rFonts w:ascii="Times New Roman" w:cs="Times New Roman" w:eastAsia="Times New Roman" w:hAnsi="Times New Roman"/>
                <w:sz w:val="14"/>
                <w:szCs w:val="14"/>
                <w:color w:val="auto"/>
              </w:rPr>
              <w:t>177,445</w:t>
            </w:r>
          </w:p>
        </w:tc>
        <w:tc>
          <w:tcPr>
            <w:tcW w:w="320" w:type="dxa"/>
            <w:vAlign w:val="bottom"/>
            <w:tcBorders>
              <w:bottom w:val="single" w:sz="8" w:color="006EB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8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Return on Average Capital Employed</w:t>
            </w:r>
          </w:p>
        </w:tc>
        <w:tc>
          <w:tcPr>
            <w:tcW w:w="280" w:type="dxa"/>
            <w:vAlign w:val="bottom"/>
            <w:tcBorders>
              <w:bottom w:val="single" w:sz="8" w:color="0077C0"/>
            </w:tcBorders>
          </w:tcPr>
          <w:p>
            <w:pPr>
              <w:spacing w:after="0"/>
              <w:rPr>
                <w:sz w:val="17"/>
                <w:szCs w:val="17"/>
                <w:color w:val="auto"/>
              </w:rPr>
            </w:pP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10.1</w:t>
            </w:r>
          </w:p>
        </w:tc>
        <w:tc>
          <w:tcPr>
            <w:tcW w:w="440" w:type="dxa"/>
            <w:vAlign w:val="bottom"/>
            <w:tcBorders>
              <w:bottom w:val="single" w:sz="8" w:color="0077C0"/>
              <w:right w:val="single" w:sz="8" w:color="0077C0"/>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380" w:type="dxa"/>
            <w:vAlign w:val="bottom"/>
            <w:tcBorders>
              <w:bottom w:val="single" w:sz="8" w:color="0077C0"/>
            </w:tcBorders>
          </w:tcPr>
          <w:p>
            <w:pPr>
              <w:spacing w:after="0"/>
              <w:rPr>
                <w:sz w:val="17"/>
                <w:szCs w:val="17"/>
                <w:color w:val="auto"/>
              </w:rPr>
            </w:pP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28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0077C0"/>
            </w:tcBorders>
          </w:tcPr>
          <w:p>
            <w:pPr>
              <w:spacing w:after="0"/>
              <w:rPr>
                <w:sz w:val="17"/>
                <w:szCs w:val="17"/>
                <w:color w:val="auto"/>
              </w:rPr>
            </w:pP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32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left="20"/>
        <w:spacing w:after="0" w:line="276" w:lineRule="auto"/>
        <w:rPr>
          <w:sz w:val="20"/>
          <w:szCs w:val="20"/>
          <w:color w:val="auto"/>
        </w:rPr>
      </w:pPr>
      <w:r>
        <w:rPr>
          <w:rFonts w:ascii="Times New Roman" w:cs="Times New Roman" w:eastAsia="Times New Roman" w:hAnsi="Times New Roman"/>
          <w:sz w:val="18"/>
          <w:szCs w:val="18"/>
          <w:b w:val="1"/>
          <w:bCs w:val="1"/>
          <w:i w:val="1"/>
          <w:iCs w:val="1"/>
          <w:color w:val="FF0000"/>
        </w:rPr>
        <w:t>Return on Stockholders</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b w:val="1"/>
          <w:bCs w:val="1"/>
          <w:i w:val="1"/>
          <w:iCs w:val="1"/>
          <w:color w:val="FF0000"/>
        </w:rPr>
        <w:t xml:space="preserve"> Equity (ROSE) </w:t>
      </w:r>
      <w:r>
        <w:rPr>
          <w:rFonts w:ascii="Times New Roman" w:cs="Times New Roman" w:eastAsia="Times New Roman" w:hAnsi="Times New Roman"/>
          <w:sz w:val="18"/>
          <w:szCs w:val="18"/>
          <w:color w:val="000000"/>
        </w:rPr>
        <w:t>Net income attributable to Chevron divided by average Chevron Corporation Stockholders’ Equity. Average</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stockholders’ equity is computed by averaging the sum of stockholders’ equity at the beginning and end of the year. ROSE is a ratio intended to measure earnings as a percentage of shareholder investments.</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Year ended December 31</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280" w:type="dxa"/>
            <w:vAlign w:val="bottom"/>
            <w:tcBorders>
              <w:bottom w:val="single" w:sz="8" w:color="0077C0"/>
            </w:tcBorders>
          </w:tcPr>
          <w:p>
            <w:pPr>
              <w:spacing w:after="0"/>
              <w:rPr>
                <w:sz w:val="2"/>
                <w:szCs w:val="2"/>
                <w:color w:val="auto"/>
              </w:rPr>
            </w:pPr>
          </w:p>
        </w:tc>
        <w:tc>
          <w:tcPr>
            <w:tcW w:w="72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120" w:type="dxa"/>
            <w:vAlign w:val="bottom"/>
            <w:tcBorders>
              <w:bottom w:val="single" w:sz="8" w:color="0077C0"/>
            </w:tcBorders>
          </w:tcPr>
          <w:p>
            <w:pPr>
              <w:spacing w:after="0"/>
              <w:rPr>
                <w:sz w:val="2"/>
                <w:szCs w:val="2"/>
                <w:color w:val="auto"/>
              </w:rPr>
            </w:pPr>
          </w:p>
        </w:tc>
        <w:tc>
          <w:tcPr>
            <w:tcW w:w="380" w:type="dxa"/>
            <w:vAlign w:val="bottom"/>
            <w:tcBorders>
              <w:bottom w:val="single" w:sz="8" w:color="0077C0"/>
            </w:tcBorders>
          </w:tcPr>
          <w:p>
            <w:pPr>
              <w:spacing w:after="0"/>
              <w:rPr>
                <w:sz w:val="2"/>
                <w:szCs w:val="2"/>
                <w:color w:val="auto"/>
              </w:rPr>
            </w:pPr>
          </w:p>
        </w:tc>
        <w:tc>
          <w:tcPr>
            <w:tcW w:w="720" w:type="dxa"/>
            <w:vAlign w:val="bottom"/>
            <w:tcBorders>
              <w:bottom w:val="single" w:sz="8" w:color="0077C0"/>
            </w:tcBorders>
          </w:tcPr>
          <w:p>
            <w:pPr>
              <w:spacing w:after="0"/>
              <w:rPr>
                <w:sz w:val="2"/>
                <w:szCs w:val="2"/>
                <w:color w:val="auto"/>
              </w:rPr>
            </w:pPr>
          </w:p>
        </w:tc>
        <w:tc>
          <w:tcPr>
            <w:tcW w:w="40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72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80" w:type="dxa"/>
            <w:vAlign w:val="bottom"/>
            <w:tcBorders>
              <w:bottom w:val="single" w:sz="8" w:color="0077C0"/>
            </w:tcBorders>
            <w:vMerge w:val="continue"/>
          </w:tcPr>
          <w:p>
            <w:pPr>
              <w:spacing w:after="0"/>
              <w:rPr>
                <w:sz w:val="16"/>
                <w:szCs w:val="16"/>
                <w:color w:val="auto"/>
              </w:rPr>
            </w:pPr>
          </w:p>
        </w:tc>
        <w:tc>
          <w:tcPr>
            <w:tcW w:w="280" w:type="dxa"/>
            <w:vAlign w:val="bottom"/>
            <w:tcBorders>
              <w:bottom w:val="single" w:sz="8" w:color="0077C0"/>
            </w:tcBorders>
          </w:tcPr>
          <w:p>
            <w:pPr>
              <w:spacing w:after="0"/>
              <w:rPr>
                <w:sz w:val="16"/>
                <w:szCs w:val="16"/>
                <w:color w:val="auto"/>
              </w:rPr>
            </w:pP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0077C0"/>
            </w:tcBorders>
          </w:tcPr>
          <w:p>
            <w:pPr>
              <w:spacing w:after="0"/>
              <w:rPr>
                <w:sz w:val="16"/>
                <w:szCs w:val="16"/>
                <w:color w:val="auto"/>
              </w:rPr>
            </w:pPr>
          </w:p>
        </w:tc>
        <w:tc>
          <w:tcPr>
            <w:tcW w:w="120" w:type="dxa"/>
            <w:vAlign w:val="bottom"/>
            <w:tcBorders>
              <w:bottom w:val="single" w:sz="8" w:color="0077C0"/>
            </w:tcBorders>
          </w:tcPr>
          <w:p>
            <w:pPr>
              <w:spacing w:after="0"/>
              <w:rPr>
                <w:sz w:val="16"/>
                <w:szCs w:val="16"/>
                <w:color w:val="auto"/>
              </w:rPr>
            </w:pPr>
          </w:p>
        </w:tc>
        <w:tc>
          <w:tcPr>
            <w:tcW w:w="380" w:type="dxa"/>
            <w:vAlign w:val="bottom"/>
            <w:tcBorders>
              <w:bottom w:val="single" w:sz="8" w:color="0077C0"/>
            </w:tcBorders>
          </w:tcPr>
          <w:p>
            <w:pPr>
              <w:spacing w:after="0"/>
              <w:rPr>
                <w:sz w:val="16"/>
                <w:szCs w:val="16"/>
                <w:color w:val="auto"/>
              </w:rPr>
            </w:pP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400" w:type="dxa"/>
            <w:vAlign w:val="bottom"/>
            <w:tcBorders>
              <w:bottom w:val="single" w:sz="8" w:color="0077C0"/>
            </w:tcBorders>
          </w:tcPr>
          <w:p>
            <w:pPr>
              <w:spacing w:after="0"/>
              <w:rPr>
                <w:sz w:val="16"/>
                <w:szCs w:val="16"/>
                <w:color w:val="auto"/>
              </w:rPr>
            </w:pPr>
          </w:p>
        </w:tc>
        <w:tc>
          <w:tcPr>
            <w:tcW w:w="280" w:type="dxa"/>
            <w:vAlign w:val="bottom"/>
            <w:tcBorders>
              <w:bottom w:val="single" w:sz="8" w:color="0077C0"/>
            </w:tcBorders>
          </w:tcPr>
          <w:p>
            <w:pPr>
              <w:spacing w:after="0"/>
              <w:rPr>
                <w:sz w:val="16"/>
                <w:szCs w:val="16"/>
                <w:color w:val="auto"/>
              </w:rPr>
            </w:pP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320" w:type="dxa"/>
            <w:vAlign w:val="bottom"/>
            <w:tcBorders>
              <w:bottom w:val="single" w:sz="8" w:color="0077C0"/>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attributable to Chevron</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17,661</w:t>
            </w:r>
          </w:p>
        </w:tc>
        <w:tc>
          <w:tcPr>
            <w:tcW w:w="320" w:type="dxa"/>
            <w:vAlign w:val="bottom"/>
          </w:tcPr>
          <w:p>
            <w:pPr>
              <w:spacing w:after="0"/>
              <w:rPr>
                <w:sz w:val="16"/>
                <w:szCs w:val="16"/>
                <w:color w:val="auto"/>
              </w:rPr>
            </w:pPr>
          </w:p>
        </w:tc>
        <w:tc>
          <w:tcPr>
            <w:tcW w:w="120" w:type="dxa"/>
            <w:vAlign w:val="bottom"/>
            <w:tcBorders>
              <w:right w:val="single" w:sz="8" w:color="0077C0"/>
            </w:tcBorders>
          </w:tcPr>
          <w:p>
            <w:pPr>
              <w:spacing w:after="0"/>
              <w:rPr>
                <w:sz w:val="16"/>
                <w:szCs w:val="16"/>
                <w:color w:val="auto"/>
              </w:rPr>
            </w:pPr>
          </w:p>
        </w:tc>
        <w:tc>
          <w:tcPr>
            <w:tcW w:w="3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21,369</w:t>
            </w:r>
          </w:p>
        </w:tc>
        <w:tc>
          <w:tcPr>
            <w:tcW w:w="4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35,465</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Chevron Corporation Stockholders’ Equity at December 31</w:t>
            </w:r>
          </w:p>
        </w:tc>
        <w:tc>
          <w:tcPr>
            <w:tcW w:w="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152,318</w:t>
            </w:r>
          </w:p>
        </w:tc>
        <w:tc>
          <w:tcPr>
            <w:tcW w:w="320" w:type="dxa"/>
            <w:vAlign w:val="bottom"/>
          </w:tcPr>
          <w:p>
            <w:pPr>
              <w:spacing w:after="0"/>
              <w:rPr>
                <w:sz w:val="16"/>
                <w:szCs w:val="16"/>
                <w:color w:val="auto"/>
              </w:rPr>
            </w:pPr>
          </w:p>
        </w:tc>
        <w:tc>
          <w:tcPr>
            <w:tcW w:w="120" w:type="dxa"/>
            <w:vAlign w:val="bottom"/>
            <w:tcBorders>
              <w:right w:val="single" w:sz="8" w:color="0077C0"/>
            </w:tcBorders>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160,957</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159,282</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Chevron Corporation Stockholders’ Equity</w:t>
            </w: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156,638</w:t>
            </w:r>
          </w:p>
        </w:tc>
        <w:tc>
          <w:tcPr>
            <w:tcW w:w="320" w:type="dxa"/>
            <w:vAlign w:val="bottom"/>
          </w:tcPr>
          <w:p>
            <w:pPr>
              <w:spacing w:after="0"/>
              <w:rPr>
                <w:sz w:val="17"/>
                <w:szCs w:val="17"/>
                <w:color w:val="auto"/>
              </w:rPr>
            </w:pPr>
          </w:p>
        </w:tc>
        <w:tc>
          <w:tcPr>
            <w:tcW w:w="120" w:type="dxa"/>
            <w:vAlign w:val="bottom"/>
            <w:tcBorders>
              <w:right w:val="single" w:sz="8" w:color="0077C0"/>
            </w:tcBorders>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160,120</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149,175</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98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720" w:type="dxa"/>
            <w:vAlign w:val="bottom"/>
            <w:tcBorders>
              <w:bottom w:val="single" w:sz="8" w:color="0077C0"/>
            </w:tcBorders>
          </w:tcPr>
          <w:p>
            <w:pPr>
              <w:spacing w:after="0"/>
              <w:rPr>
                <w:sz w:val="2"/>
                <w:szCs w:val="2"/>
                <w:color w:val="auto"/>
              </w:rPr>
            </w:pPr>
          </w:p>
        </w:tc>
        <w:tc>
          <w:tcPr>
            <w:tcW w:w="320" w:type="dxa"/>
            <w:vAlign w:val="bottom"/>
            <w:tcBorders>
              <w:bottom w:val="single" w:sz="8" w:color="006EBF"/>
            </w:tcBorders>
          </w:tcPr>
          <w:p>
            <w:pPr>
              <w:spacing w:after="0"/>
              <w:rPr>
                <w:sz w:val="2"/>
                <w:szCs w:val="2"/>
                <w:color w:val="auto"/>
              </w:rPr>
            </w:pPr>
          </w:p>
        </w:tc>
        <w:tc>
          <w:tcPr>
            <w:tcW w:w="120" w:type="dxa"/>
            <w:vAlign w:val="bottom"/>
            <w:tcBorders>
              <w:bottom w:val="single" w:sz="8" w:color="0077C0"/>
              <w:right w:val="single" w:sz="8" w:color="0077C0"/>
            </w:tcBorders>
          </w:tcPr>
          <w:p>
            <w:pPr>
              <w:spacing w:after="0"/>
              <w:rPr>
                <w:sz w:val="2"/>
                <w:szCs w:val="2"/>
                <w:color w:val="auto"/>
              </w:rPr>
            </w:pPr>
          </w:p>
        </w:tc>
        <w:tc>
          <w:tcPr>
            <w:tcW w:w="380" w:type="dxa"/>
            <w:vAlign w:val="bottom"/>
            <w:tcBorders>
              <w:bottom w:val="single" w:sz="8" w:color="0077C0"/>
            </w:tcBorders>
          </w:tcPr>
          <w:p>
            <w:pPr>
              <w:spacing w:after="0"/>
              <w:rPr>
                <w:sz w:val="2"/>
                <w:szCs w:val="2"/>
                <w:color w:val="auto"/>
              </w:rPr>
            </w:pPr>
          </w:p>
        </w:tc>
        <w:tc>
          <w:tcPr>
            <w:tcW w:w="720" w:type="dxa"/>
            <w:vAlign w:val="bottom"/>
            <w:tcBorders>
              <w:bottom w:val="single" w:sz="8" w:color="0077C0"/>
            </w:tcBorders>
          </w:tcPr>
          <w:p>
            <w:pPr>
              <w:spacing w:after="0"/>
              <w:rPr>
                <w:sz w:val="2"/>
                <w:szCs w:val="2"/>
                <w:color w:val="auto"/>
              </w:rPr>
            </w:pPr>
          </w:p>
        </w:tc>
        <w:tc>
          <w:tcPr>
            <w:tcW w:w="400" w:type="dxa"/>
            <w:vAlign w:val="bottom"/>
            <w:tcBorders>
              <w:bottom w:val="single" w:sz="8" w:color="006EBF"/>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720" w:type="dxa"/>
            <w:vAlign w:val="bottom"/>
            <w:tcBorders>
              <w:bottom w:val="single" w:sz="8" w:color="0077C0"/>
            </w:tcBorders>
          </w:tcPr>
          <w:p>
            <w:pPr>
              <w:spacing w:after="0"/>
              <w:rPr>
                <w:sz w:val="2"/>
                <w:szCs w:val="2"/>
                <w:color w:val="auto"/>
              </w:rPr>
            </w:pPr>
          </w:p>
        </w:tc>
        <w:tc>
          <w:tcPr>
            <w:tcW w:w="320" w:type="dxa"/>
            <w:vAlign w:val="bottom"/>
            <w:tcBorders>
              <w:bottom w:val="single" w:sz="8" w:color="006EBF"/>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8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Return on Average Stockholders’ Equity</w:t>
            </w:r>
          </w:p>
        </w:tc>
        <w:tc>
          <w:tcPr>
            <w:tcW w:w="280" w:type="dxa"/>
            <w:vAlign w:val="bottom"/>
            <w:tcBorders>
              <w:bottom w:val="single" w:sz="8" w:color="0077C0"/>
            </w:tcBorders>
          </w:tcPr>
          <w:p>
            <w:pPr>
              <w:spacing w:after="0"/>
              <w:rPr>
                <w:sz w:val="16"/>
                <w:szCs w:val="16"/>
                <w:color w:val="auto"/>
              </w:rPr>
            </w:pP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11.3</w:t>
            </w:r>
          </w:p>
        </w:tc>
        <w:tc>
          <w:tcPr>
            <w:tcW w:w="320" w:type="dxa"/>
            <w:vAlign w:val="bottom"/>
            <w:tcBorders>
              <w:bottom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20" w:type="dxa"/>
            <w:vAlign w:val="bottom"/>
            <w:tcBorders>
              <w:bottom w:val="single" w:sz="8" w:color="0077C0"/>
              <w:right w:val="single" w:sz="8" w:color="0077C0"/>
            </w:tcBorders>
          </w:tcPr>
          <w:p>
            <w:pPr>
              <w:spacing w:after="0"/>
              <w:rPr>
                <w:sz w:val="16"/>
                <w:szCs w:val="16"/>
                <w:color w:val="auto"/>
              </w:rPr>
            </w:pPr>
          </w:p>
        </w:tc>
        <w:tc>
          <w:tcPr>
            <w:tcW w:w="380" w:type="dxa"/>
            <w:vAlign w:val="bottom"/>
            <w:tcBorders>
              <w:bottom w:val="single" w:sz="8" w:color="0077C0"/>
            </w:tcBorders>
          </w:tcPr>
          <w:p>
            <w:pPr>
              <w:spacing w:after="0"/>
              <w:rPr>
                <w:sz w:val="16"/>
                <w:szCs w:val="16"/>
                <w:color w:val="auto"/>
              </w:rPr>
            </w:pP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400" w:type="dxa"/>
            <w:vAlign w:val="bottom"/>
            <w:tcBorders>
              <w:bottom w:val="single" w:sz="8" w:color="0077C0"/>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0077C0"/>
            </w:tcBorders>
          </w:tcPr>
          <w:p>
            <w:pPr>
              <w:spacing w:after="0"/>
              <w:rPr>
                <w:sz w:val="16"/>
                <w:szCs w:val="16"/>
                <w:color w:val="auto"/>
              </w:rPr>
            </w:pP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3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77C0"/>
        </w:rPr>
        <w:t>Financial and Derivative Instrument Market Risk</w:t>
      </w:r>
    </w:p>
    <w:p>
      <w:pPr>
        <w:spacing w:after="0" w:line="104" w:lineRule="exact"/>
        <w:rPr>
          <w:sz w:val="20"/>
          <w:szCs w:val="20"/>
          <w:color w:val="auto"/>
        </w:rPr>
      </w:pPr>
    </w:p>
    <w:p>
      <w:pPr>
        <w:jc w:val="both"/>
        <w:ind w:left="20"/>
        <w:spacing w:after="0" w:line="274" w:lineRule="auto"/>
        <w:rPr>
          <w:sz w:val="20"/>
          <w:szCs w:val="20"/>
          <w:color w:val="auto"/>
        </w:rPr>
      </w:pPr>
      <w:r>
        <w:rPr>
          <w:rFonts w:ascii="Times New Roman" w:cs="Times New Roman" w:eastAsia="Times New Roman" w:hAnsi="Times New Roman"/>
          <w:sz w:val="18"/>
          <w:szCs w:val="18"/>
          <w:color w:val="auto"/>
        </w:rPr>
        <w:t xml:space="preserve">The market risk associated with the company’s portfolio of financial and derivative instruments is discussed below. The estimates of financial exposure to market risk do not represent the company’s projection of future market changes. The actual impact of future market changes could differ materially due to factors discussed elsewhere in this report, including those set forth under the heading </w:t>
      </w:r>
      <w:r>
        <w:rPr>
          <w:rFonts w:ascii="Times New Roman" w:cs="Times New Roman" w:eastAsia="Times New Roman" w:hAnsi="Times New Roman"/>
          <w:sz w:val="18"/>
          <w:szCs w:val="18"/>
          <w:u w:val="single" w:color="auto"/>
          <w:color w:val="0000FF"/>
        </w:rPr>
        <w:t>Item 1A. Risk Factors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414" w:right="339" w:bottom="1440" w:gutter="0" w:footer="0" w:header="0"/>
        </w:sectPr>
      </w:pPr>
    </w:p>
    <w:bookmarkStart w:id="54" w:name="page55"/>
    <w:bookmarkEnd w:id="54"/>
    <w:p>
      <w:pPr>
        <w:spacing w:after="0"/>
        <w:tabs>
          <w:tab w:leader="none" w:pos="9400" w:val="left"/>
        </w:tabs>
        <w:rPr>
          <w:sz w:val="20"/>
          <w:szCs w:val="20"/>
          <w:color w:val="auto"/>
        </w:rPr>
      </w:pPr>
      <w:r>
        <w:rPr>
          <w:rFonts w:ascii="Arial" w:cs="Arial" w:eastAsia="Arial" w:hAnsi="Arial"/>
          <w:sz w:val="14"/>
          <w:szCs w:val="14"/>
          <w:color w:val="0077C0"/>
        </w:rPr>
        <w:t>Management’s Discussion and Analysis of Financial Condition and Results of Operations</w:t>
      </w:r>
      <w:r>
        <w:rPr>
          <w:sz w:val="20"/>
          <w:szCs w:val="20"/>
          <w:color w:val="auto"/>
        </w:rPr>
        <w:tab/>
      </w:r>
      <w:r>
        <w:rPr>
          <w:rFonts w:ascii="Arial" w:cs="Arial" w:eastAsia="Arial" w:hAnsi="Arial"/>
          <w:sz w:val="14"/>
          <w:szCs w:val="14"/>
          <w:color w:val="0077C0"/>
        </w:rPr>
        <w:t>Financial Table of Contents</w:t>
      </w:r>
    </w:p>
    <w:p>
      <w:pPr>
        <w:spacing w:after="0" w:line="200" w:lineRule="exact"/>
        <w:rPr>
          <w:sz w:val="20"/>
          <w:szCs w:val="20"/>
          <w:color w:val="auto"/>
        </w:rPr>
      </w:pPr>
    </w:p>
    <w:p>
      <w:pPr>
        <w:spacing w:after="0" w:line="314" w:lineRule="exact"/>
        <w:rPr>
          <w:sz w:val="20"/>
          <w:szCs w:val="20"/>
          <w:color w:val="auto"/>
        </w:rPr>
      </w:pPr>
    </w:p>
    <w:p>
      <w:pPr>
        <w:jc w:val="both"/>
        <w:ind w:left="20"/>
        <w:spacing w:after="0" w:line="271"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Derivative Commodity Instruments </w:t>
      </w:r>
      <w:r>
        <w:rPr>
          <w:rFonts w:ascii="Times New Roman" w:cs="Times New Roman" w:eastAsia="Times New Roman" w:hAnsi="Times New Roman"/>
          <w:sz w:val="18"/>
          <w:szCs w:val="18"/>
          <w:color w:val="000000"/>
        </w:rPr>
        <w:t>Chevron is exposed to market risks related to the price volatility of crude oil, refined products, NGLs, natural gas,</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liquefied natural gas and refinery feedstocks. The company uses derivative commodity instruments to manage these exposures on a portion of its activity, including firm commitments and anticipated transactions for the purchase, sale and storage of crude oil, refined products, NGLs, natural gas, liquefied natural gas and feedstock for company refineries. The company also uses derivative commodity instruments for limited trading purposes. The results of these activities were not material to the company’s financial position, results of operations or cash flows in 2024.</w:t>
      </w:r>
    </w:p>
    <w:p>
      <w:pPr>
        <w:spacing w:after="0" w:line="50" w:lineRule="exact"/>
        <w:rPr>
          <w:sz w:val="20"/>
          <w:szCs w:val="20"/>
          <w:color w:val="auto"/>
        </w:rPr>
      </w:pPr>
    </w:p>
    <w:p>
      <w:pPr>
        <w:jc w:val="both"/>
        <w:ind w:left="20"/>
        <w:spacing w:after="0" w:line="274" w:lineRule="auto"/>
        <w:rPr>
          <w:sz w:val="20"/>
          <w:szCs w:val="20"/>
          <w:color w:val="auto"/>
        </w:rPr>
      </w:pPr>
      <w:r>
        <w:rPr>
          <w:rFonts w:ascii="Times New Roman" w:cs="Times New Roman" w:eastAsia="Times New Roman" w:hAnsi="Times New Roman"/>
          <w:sz w:val="18"/>
          <w:szCs w:val="18"/>
          <w:color w:val="auto"/>
        </w:rPr>
        <w:t>The company’s market exposure positions are monitored on a daily basis by an internal Risk Control group in accordance with the company’s risk management policies. The company’s risk management practices and its compliance with policies are reviewed by the Audit Committee of the company’s Board of Directors.</w:t>
      </w:r>
    </w:p>
    <w:p>
      <w:pPr>
        <w:spacing w:after="0" w:line="61" w:lineRule="exact"/>
        <w:rPr>
          <w:sz w:val="20"/>
          <w:szCs w:val="20"/>
          <w:color w:val="auto"/>
        </w:rPr>
      </w:pPr>
    </w:p>
    <w:p>
      <w:pPr>
        <w:jc w:val="both"/>
        <w:ind w:left="20"/>
        <w:spacing w:after="0" w:line="274" w:lineRule="auto"/>
        <w:rPr>
          <w:sz w:val="20"/>
          <w:szCs w:val="20"/>
          <w:color w:val="auto"/>
        </w:rPr>
      </w:pPr>
      <w:r>
        <w:rPr>
          <w:rFonts w:ascii="Times New Roman" w:cs="Times New Roman" w:eastAsia="Times New Roman" w:hAnsi="Times New Roman"/>
          <w:sz w:val="18"/>
          <w:szCs w:val="18"/>
          <w:color w:val="auto"/>
        </w:rPr>
        <w:t>Derivatives beyond those designated as normal purchase and normal sale contracts are recorded at fair value on the Consolidated Balance Sheet with resulting gains and losses reflected in income. Fair values are derived principally from published market quotes and other independent third-party quotes. The change in fair value of Chevron’s derivative commodity instruments in 2024 was not material to the company’s results of operations.</w:t>
      </w:r>
    </w:p>
    <w:p>
      <w:pPr>
        <w:spacing w:after="0" w:line="47" w:lineRule="exact"/>
        <w:rPr>
          <w:sz w:val="20"/>
          <w:szCs w:val="20"/>
          <w:color w:val="auto"/>
        </w:rPr>
      </w:pPr>
    </w:p>
    <w:p>
      <w:pPr>
        <w:jc w:val="both"/>
        <w:ind w:left="20"/>
        <w:spacing w:after="0" w:line="271" w:lineRule="auto"/>
        <w:rPr>
          <w:sz w:val="20"/>
          <w:szCs w:val="20"/>
          <w:color w:val="auto"/>
        </w:rPr>
      </w:pPr>
      <w:r>
        <w:rPr>
          <w:rFonts w:ascii="Times New Roman" w:cs="Times New Roman" w:eastAsia="Times New Roman" w:hAnsi="Times New Roman"/>
          <w:sz w:val="18"/>
          <w:szCs w:val="18"/>
          <w:color w:val="auto"/>
        </w:rPr>
        <w:t>The company uses the Monte Carlo simulation method as its Value-at-Risk (VaR) model to estimate the maximum potential loss in fair value, at the 95 percent confidence level with a one-day holding period, from the effect of adverse changes in market conditions on derivative commodity instruments held or issued. Based on these inputs, the VaR for the company’s primary risk exposures in the area of derivative commodity instruments at December 31, 2024 and 2023 was not material to the company’s cash flows or results of operations.</w:t>
      </w:r>
    </w:p>
    <w:p>
      <w:pPr>
        <w:spacing w:after="0" w:line="47" w:lineRule="exact"/>
        <w:rPr>
          <w:sz w:val="20"/>
          <w:szCs w:val="20"/>
          <w:color w:val="auto"/>
        </w:rPr>
      </w:pPr>
    </w:p>
    <w:p>
      <w:pPr>
        <w:jc w:val="both"/>
        <w:ind w:left="20"/>
        <w:spacing w:after="0" w:line="273"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Foreign Currency </w:t>
      </w:r>
      <w:r>
        <w:rPr>
          <w:rFonts w:ascii="Times New Roman" w:cs="Times New Roman" w:eastAsia="Times New Roman" w:hAnsi="Times New Roman"/>
          <w:sz w:val="18"/>
          <w:szCs w:val="18"/>
          <w:color w:val="000000"/>
        </w:rPr>
        <w:t>The company may enter into foreign currency derivative contracts to manage some of its foreign currency exposures. These exposures</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include revenue and anticipated purchase transactions, including foreign currency capital expenditures and lease commitments. The foreign currency derivative contracts, if any, are recorded at fair value on the balance sheet with resulting gains and losses reflected in income. There were no open foreign currency derivative contracts at December 31, 2024.</w:t>
      </w:r>
    </w:p>
    <w:p>
      <w:pPr>
        <w:spacing w:after="0" w:line="57" w:lineRule="exact"/>
        <w:rPr>
          <w:sz w:val="20"/>
          <w:szCs w:val="20"/>
          <w:color w:val="auto"/>
        </w:rPr>
      </w:pPr>
    </w:p>
    <w:p>
      <w:pPr>
        <w:jc w:val="both"/>
        <w:ind w:left="20"/>
        <w:spacing w:after="0" w:line="276"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Interest Rates </w:t>
      </w:r>
      <w:r>
        <w:rPr>
          <w:rFonts w:ascii="Times New Roman" w:cs="Times New Roman" w:eastAsia="Times New Roman" w:hAnsi="Times New Roman"/>
          <w:sz w:val="18"/>
          <w:szCs w:val="18"/>
          <w:color w:val="000000"/>
        </w:rPr>
        <w:t>The company may enter into interest rate swaps from time to time as part of its overall strategy to manage the interest rate risk on its debt.</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Interest rate swaps, if any, are recorded at fair value on the balance sheet with resulting gains and losses reflected in income. At year-end 2024, the company had no interest rate swaps.</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77C0"/>
        </w:rPr>
        <w:t>Transactions With Related Parties</w:t>
      </w:r>
    </w:p>
    <w:p>
      <w:pPr>
        <w:spacing w:after="0" w:line="104" w:lineRule="exact"/>
        <w:rPr>
          <w:sz w:val="20"/>
          <w:szCs w:val="20"/>
          <w:color w:val="auto"/>
        </w:rPr>
      </w:pPr>
    </w:p>
    <w:p>
      <w:pPr>
        <w:jc w:val="both"/>
        <w:ind w:left="20"/>
        <w:spacing w:after="0" w:line="274" w:lineRule="auto"/>
        <w:rPr>
          <w:sz w:val="20"/>
          <w:szCs w:val="20"/>
          <w:color w:val="auto"/>
        </w:rPr>
      </w:pPr>
      <w:r>
        <w:rPr>
          <w:rFonts w:ascii="Times New Roman" w:cs="Times New Roman" w:eastAsia="Times New Roman" w:hAnsi="Times New Roman"/>
          <w:sz w:val="18"/>
          <w:szCs w:val="18"/>
          <w:color w:val="auto"/>
        </w:rPr>
        <w:t xml:space="preserve">Chevron enters into a number of business arrangements with related parties, principally its equity affiliates. These arrangements include long-term supply or offtake agreements and long-term purchase agreements. Refer to “Other Information” in </w:t>
      </w:r>
      <w:r>
        <w:rPr>
          <w:rFonts w:ascii="Times New Roman" w:cs="Times New Roman" w:eastAsia="Times New Roman" w:hAnsi="Times New Roman"/>
          <w:sz w:val="18"/>
          <w:szCs w:val="18"/>
          <w:u w:val="single" w:color="auto"/>
          <w:color w:val="0000FF"/>
        </w:rPr>
        <w:t>Note 15 Investments and Advances</w:t>
      </w:r>
      <w:r>
        <w:rPr>
          <w:rFonts w:ascii="Times New Roman" w:cs="Times New Roman" w:eastAsia="Times New Roman" w:hAnsi="Times New Roman"/>
          <w:sz w:val="18"/>
          <w:szCs w:val="18"/>
          <w:color w:val="auto"/>
        </w:rPr>
        <w:t xml:space="preserve"> for further discussion. Management believes these agreements have been negotiated on terms consistent with those that would have been negotiated with an unrelated party.</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77C0"/>
        </w:rPr>
        <w:t>Litigation and Other Contingencies</w:t>
      </w:r>
    </w:p>
    <w:p>
      <w:pPr>
        <w:spacing w:after="0" w:line="100" w:lineRule="exact"/>
        <w:rPr>
          <w:sz w:val="20"/>
          <w:szCs w:val="20"/>
          <w:color w:val="auto"/>
        </w:rPr>
      </w:pPr>
    </w:p>
    <w:p>
      <w:pPr>
        <w:ind w:left="20" w:right="1020"/>
        <w:spacing w:after="0" w:line="367"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Climate Change </w:t>
      </w:r>
      <w:r>
        <w:rPr>
          <w:rFonts w:ascii="Times New Roman" w:cs="Times New Roman" w:eastAsia="Times New Roman" w:hAnsi="Times New Roman"/>
          <w:sz w:val="18"/>
          <w:szCs w:val="18"/>
          <w:color w:val="000000"/>
        </w:rPr>
        <w:t>Information related to climate change-related matters is included in</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u w:val="single" w:color="auto"/>
          <w:color w:val="0000FF"/>
        </w:rPr>
        <w:t>Note 16 Litigation</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under the heading “Climate Change.”</w:t>
      </w:r>
      <w:r>
        <w:rPr>
          <w:rFonts w:ascii="Times New Roman" w:cs="Times New Roman" w:eastAsia="Times New Roman" w:hAnsi="Times New Roman"/>
          <w:sz w:val="18"/>
          <w:szCs w:val="18"/>
          <w:b w:val="1"/>
          <w:bCs w:val="1"/>
          <w:i w:val="1"/>
          <w:iCs w:val="1"/>
          <w:color w:val="FF0000"/>
        </w:rPr>
        <w:t xml:space="preserve"> Louisiana </w:t>
      </w:r>
      <w:r>
        <w:rPr>
          <w:rFonts w:ascii="Times New Roman" w:cs="Times New Roman" w:eastAsia="Times New Roman" w:hAnsi="Times New Roman"/>
          <w:sz w:val="18"/>
          <w:szCs w:val="18"/>
          <w:color w:val="000000"/>
        </w:rPr>
        <w:t>Information related to Louisiana coastal matters is included in</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u w:val="single" w:color="auto"/>
          <w:color w:val="0000FF"/>
        </w:rPr>
        <w:t>Note 16 Litigation</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under the heading “Louisiana.”</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FF0000"/>
        </w:rPr>
        <w:t xml:space="preserve">Environmental </w:t>
      </w:r>
      <w:r>
        <w:rPr>
          <w:rFonts w:ascii="Times New Roman" w:cs="Times New Roman" w:eastAsia="Times New Roman" w:hAnsi="Times New Roman"/>
          <w:sz w:val="18"/>
          <w:szCs w:val="18"/>
          <w:color w:val="000000"/>
        </w:rPr>
        <w:t>The following table displays the annual changes to the company’s before-tax environmental remediation reserves, including those for U.S.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federal Superfund sites and analogous sites under state laws.</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3180" w:type="dxa"/>
            <w:vAlign w:val="bottom"/>
          </w:tcPr>
          <w:p>
            <w:pPr>
              <w:spacing w:after="0"/>
              <w:rPr>
                <w:sz w:val="16"/>
                <w:szCs w:val="16"/>
                <w:color w:val="auto"/>
              </w:rPr>
            </w:pPr>
          </w:p>
        </w:tc>
        <w:tc>
          <w:tcPr>
            <w:tcW w:w="96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00" w:type="dxa"/>
            <w:vAlign w:val="bottom"/>
          </w:tcPr>
          <w:p>
            <w:pPr>
              <w:spacing w:after="0"/>
              <w:rPr>
                <w:sz w:val="16"/>
                <w:szCs w:val="16"/>
                <w:color w:val="auto"/>
              </w:rPr>
            </w:pPr>
          </w:p>
        </w:tc>
        <w:tc>
          <w:tcPr>
            <w:tcW w:w="880" w:type="dxa"/>
            <w:vAlign w:val="bottom"/>
          </w:tcPr>
          <w:p>
            <w:pPr>
              <w:jc w:val="center"/>
              <w:ind w:left="388"/>
              <w:spacing w:after="0"/>
              <w:rPr>
                <w:sz w:val="20"/>
                <w:szCs w:val="20"/>
                <w:color w:val="auto"/>
              </w:rPr>
            </w:pPr>
            <w:r>
              <w:rPr>
                <w:rFonts w:ascii="Times New Roman" w:cs="Times New Roman" w:eastAsia="Times New Roman" w:hAnsi="Times New Roman"/>
                <w:sz w:val="14"/>
                <w:szCs w:val="14"/>
                <w:color w:val="auto"/>
              </w:rPr>
              <w:t>2023</w:t>
            </w:r>
          </w:p>
        </w:tc>
        <w:tc>
          <w:tcPr>
            <w:tcW w:w="660" w:type="dxa"/>
            <w:vAlign w:val="bottom"/>
          </w:tcPr>
          <w:p>
            <w:pPr>
              <w:spacing w:after="0"/>
              <w:rPr>
                <w:sz w:val="16"/>
                <w:szCs w:val="16"/>
                <w:color w:val="auto"/>
              </w:rPr>
            </w:pPr>
          </w:p>
        </w:tc>
        <w:tc>
          <w:tcPr>
            <w:tcW w:w="860" w:type="dxa"/>
            <w:vAlign w:val="bottom"/>
          </w:tcPr>
          <w:p>
            <w:pPr>
              <w:jc w:val="center"/>
              <w:ind w:left="468"/>
              <w:spacing w:after="0"/>
              <w:rPr>
                <w:sz w:val="20"/>
                <w:szCs w:val="20"/>
                <w:color w:val="auto"/>
              </w:rPr>
            </w:pPr>
            <w:r>
              <w:rPr>
                <w:rFonts w:ascii="Times New Roman" w:cs="Times New Roman" w:eastAsia="Times New Roman" w:hAnsi="Times New Roman"/>
                <w:sz w:val="14"/>
                <w:szCs w:val="14"/>
                <w:color w:val="auto"/>
                <w:w w:val="99"/>
              </w:rPr>
              <w:t>2022</w:t>
            </w:r>
          </w:p>
        </w:tc>
      </w:tr>
      <w:tr>
        <w:trPr>
          <w:trHeight w:val="23"/>
        </w:trPr>
        <w:tc>
          <w:tcPr>
            <w:tcW w:w="4100" w:type="dxa"/>
            <w:vAlign w:val="bottom"/>
            <w:tcBorders>
              <w:bottom w:val="single" w:sz="8" w:color="0077C0"/>
            </w:tcBorders>
          </w:tcPr>
          <w:p>
            <w:pPr>
              <w:spacing w:after="0"/>
              <w:rPr>
                <w:sz w:val="2"/>
                <w:szCs w:val="2"/>
                <w:color w:val="auto"/>
              </w:rPr>
            </w:pPr>
          </w:p>
        </w:tc>
        <w:tc>
          <w:tcPr>
            <w:tcW w:w="3180" w:type="dxa"/>
            <w:vAlign w:val="bottom"/>
            <w:tcBorders>
              <w:bottom w:val="single" w:sz="8" w:color="0077C0"/>
            </w:tcBorders>
          </w:tcPr>
          <w:p>
            <w:pPr>
              <w:spacing w:after="0"/>
              <w:rPr>
                <w:sz w:val="2"/>
                <w:szCs w:val="2"/>
                <w:color w:val="auto"/>
              </w:rPr>
            </w:pPr>
          </w:p>
        </w:tc>
        <w:tc>
          <w:tcPr>
            <w:tcW w:w="96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860" w:type="dxa"/>
            <w:vAlign w:val="bottom"/>
            <w:tcBorders>
              <w:bottom w:val="single" w:sz="8" w:color="0077C0"/>
            </w:tcBorders>
          </w:tcPr>
          <w:p>
            <w:pPr>
              <w:spacing w:after="0"/>
              <w:rPr>
                <w:sz w:val="2"/>
                <w:szCs w:val="2"/>
                <w:color w:val="auto"/>
              </w:rPr>
            </w:pPr>
          </w:p>
        </w:tc>
      </w:tr>
      <w:tr>
        <w:trPr>
          <w:trHeight w:val="184"/>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January 1</w:t>
            </w:r>
          </w:p>
        </w:tc>
        <w:tc>
          <w:tcPr>
            <w:tcW w:w="318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right w:val="single" w:sz="8" w:color="0077C0"/>
            </w:tcBorders>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936</w:t>
            </w:r>
          </w:p>
        </w:tc>
        <w:tc>
          <w:tcPr>
            <w:tcW w:w="60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center"/>
              <w:ind w:left="388"/>
              <w:spacing w:after="0"/>
              <w:rPr>
                <w:sz w:val="20"/>
                <w:szCs w:val="20"/>
                <w:color w:val="auto"/>
              </w:rPr>
            </w:pPr>
            <w:r>
              <w:rPr>
                <w:rFonts w:ascii="Times New Roman" w:cs="Times New Roman" w:eastAsia="Times New Roman" w:hAnsi="Times New Roman"/>
                <w:sz w:val="14"/>
                <w:szCs w:val="14"/>
                <w:color w:val="auto"/>
              </w:rPr>
              <w:t>868</w:t>
            </w:r>
          </w:p>
        </w:tc>
        <w:tc>
          <w:tcPr>
            <w:tcW w:w="66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center"/>
              <w:ind w:left="448"/>
              <w:spacing w:after="0"/>
              <w:rPr>
                <w:sz w:val="20"/>
                <w:szCs w:val="20"/>
                <w:color w:val="auto"/>
              </w:rPr>
            </w:pPr>
            <w:r>
              <w:rPr>
                <w:rFonts w:ascii="Times New Roman" w:cs="Times New Roman" w:eastAsia="Times New Roman" w:hAnsi="Times New Roman"/>
                <w:sz w:val="14"/>
                <w:szCs w:val="14"/>
                <w:color w:val="auto"/>
              </w:rPr>
              <w:t>960</w:t>
            </w:r>
          </w:p>
        </w:tc>
      </w:tr>
      <w:tr>
        <w:trPr>
          <w:trHeight w:val="191"/>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additions</w:t>
            </w:r>
          </w:p>
        </w:tc>
        <w:tc>
          <w:tcPr>
            <w:tcW w:w="3180" w:type="dxa"/>
            <w:vAlign w:val="bottom"/>
          </w:tcPr>
          <w:p>
            <w:pPr>
              <w:spacing w:after="0"/>
              <w:rPr>
                <w:sz w:val="16"/>
                <w:szCs w:val="16"/>
                <w:color w:val="auto"/>
              </w:rPr>
            </w:pPr>
          </w:p>
        </w:tc>
        <w:tc>
          <w:tcPr>
            <w:tcW w:w="960" w:type="dxa"/>
            <w:vAlign w:val="bottom"/>
            <w:tcBorders>
              <w:right w:val="single" w:sz="8" w:color="0077C0"/>
            </w:tcBorders>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264</w:t>
            </w:r>
          </w:p>
        </w:tc>
        <w:tc>
          <w:tcPr>
            <w:tcW w:w="600" w:type="dxa"/>
            <w:vAlign w:val="bottom"/>
          </w:tcPr>
          <w:p>
            <w:pPr>
              <w:spacing w:after="0"/>
              <w:rPr>
                <w:sz w:val="16"/>
                <w:szCs w:val="16"/>
                <w:color w:val="auto"/>
              </w:rPr>
            </w:pPr>
          </w:p>
        </w:tc>
        <w:tc>
          <w:tcPr>
            <w:tcW w:w="880" w:type="dxa"/>
            <w:vAlign w:val="bottom"/>
          </w:tcPr>
          <w:p>
            <w:pPr>
              <w:jc w:val="center"/>
              <w:ind w:left="388"/>
              <w:spacing w:after="0"/>
              <w:rPr>
                <w:sz w:val="20"/>
                <w:szCs w:val="20"/>
                <w:color w:val="auto"/>
              </w:rPr>
            </w:pPr>
            <w:r>
              <w:rPr>
                <w:rFonts w:ascii="Times New Roman" w:cs="Times New Roman" w:eastAsia="Times New Roman" w:hAnsi="Times New Roman"/>
                <w:sz w:val="14"/>
                <w:szCs w:val="14"/>
                <w:color w:val="auto"/>
              </w:rPr>
              <w:t>327</w:t>
            </w:r>
          </w:p>
        </w:tc>
        <w:tc>
          <w:tcPr>
            <w:tcW w:w="660" w:type="dxa"/>
            <w:vAlign w:val="bottom"/>
          </w:tcPr>
          <w:p>
            <w:pPr>
              <w:spacing w:after="0"/>
              <w:rPr>
                <w:sz w:val="16"/>
                <w:szCs w:val="16"/>
                <w:color w:val="auto"/>
              </w:rPr>
            </w:pPr>
          </w:p>
        </w:tc>
        <w:tc>
          <w:tcPr>
            <w:tcW w:w="860" w:type="dxa"/>
            <w:vAlign w:val="bottom"/>
          </w:tcPr>
          <w:p>
            <w:pPr>
              <w:jc w:val="center"/>
              <w:ind w:left="448"/>
              <w:spacing w:after="0"/>
              <w:rPr>
                <w:sz w:val="20"/>
                <w:szCs w:val="20"/>
                <w:color w:val="auto"/>
              </w:rPr>
            </w:pPr>
            <w:r>
              <w:rPr>
                <w:rFonts w:ascii="Times New Roman" w:cs="Times New Roman" w:eastAsia="Times New Roman" w:hAnsi="Times New Roman"/>
                <w:sz w:val="14"/>
                <w:szCs w:val="14"/>
                <w:color w:val="auto"/>
              </w:rPr>
              <w:t>182</w:t>
            </w:r>
          </w:p>
        </w:tc>
      </w:tr>
      <w:tr>
        <w:trPr>
          <w:trHeight w:val="203"/>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Expenditures</w:t>
            </w:r>
          </w:p>
        </w:tc>
        <w:tc>
          <w:tcPr>
            <w:tcW w:w="3180" w:type="dxa"/>
            <w:vAlign w:val="bottom"/>
          </w:tcPr>
          <w:p>
            <w:pPr>
              <w:spacing w:after="0"/>
              <w:rPr>
                <w:sz w:val="17"/>
                <w:szCs w:val="17"/>
                <w:color w:val="auto"/>
              </w:rPr>
            </w:pPr>
          </w:p>
        </w:tc>
        <w:tc>
          <w:tcPr>
            <w:tcW w:w="960" w:type="dxa"/>
            <w:vAlign w:val="bottom"/>
            <w:tcBorders>
              <w:right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(255)</w:t>
            </w:r>
          </w:p>
        </w:tc>
        <w:tc>
          <w:tcPr>
            <w:tcW w:w="60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(259)</w:t>
            </w:r>
          </w:p>
        </w:tc>
        <w:tc>
          <w:tcPr>
            <w:tcW w:w="6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w:t>
            </w:r>
          </w:p>
        </w:tc>
      </w:tr>
      <w:tr>
        <w:trPr>
          <w:trHeight w:val="23"/>
        </w:trPr>
        <w:tc>
          <w:tcPr>
            <w:tcW w:w="4100" w:type="dxa"/>
            <w:vAlign w:val="bottom"/>
            <w:tcBorders>
              <w:bottom w:val="single" w:sz="8" w:color="0077C0"/>
            </w:tcBorders>
          </w:tcPr>
          <w:p>
            <w:pPr>
              <w:spacing w:after="0"/>
              <w:rPr>
                <w:sz w:val="2"/>
                <w:szCs w:val="2"/>
                <w:color w:val="auto"/>
              </w:rPr>
            </w:pPr>
          </w:p>
        </w:tc>
        <w:tc>
          <w:tcPr>
            <w:tcW w:w="3180" w:type="dxa"/>
            <w:vAlign w:val="bottom"/>
            <w:tcBorders>
              <w:bottom w:val="single" w:sz="8" w:color="0077C0"/>
            </w:tcBorders>
          </w:tcPr>
          <w:p>
            <w:pPr>
              <w:spacing w:after="0"/>
              <w:rPr>
                <w:sz w:val="2"/>
                <w:szCs w:val="2"/>
                <w:color w:val="auto"/>
              </w:rPr>
            </w:pPr>
          </w:p>
        </w:tc>
        <w:tc>
          <w:tcPr>
            <w:tcW w:w="960" w:type="dxa"/>
            <w:vAlign w:val="bottom"/>
            <w:tcBorders>
              <w:bottom w:val="single" w:sz="8" w:color="0077C0"/>
              <w:right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860" w:type="dxa"/>
            <w:vAlign w:val="bottom"/>
            <w:tcBorders>
              <w:bottom w:val="single" w:sz="8" w:color="0077C0"/>
            </w:tcBorders>
          </w:tcPr>
          <w:p>
            <w:pPr>
              <w:spacing w:after="0"/>
              <w:rPr>
                <w:sz w:val="2"/>
                <w:szCs w:val="2"/>
                <w:color w:val="auto"/>
              </w:rPr>
            </w:pPr>
          </w:p>
        </w:tc>
      </w:tr>
      <w:tr>
        <w:trPr>
          <w:trHeight w:val="190"/>
        </w:trPr>
        <w:tc>
          <w:tcPr>
            <w:tcW w:w="410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w:t>
            </w:r>
          </w:p>
        </w:tc>
        <w:tc>
          <w:tcPr>
            <w:tcW w:w="3180" w:type="dxa"/>
            <w:vAlign w:val="bottom"/>
            <w:tcBorders>
              <w:bottom w:val="single" w:sz="8" w:color="0077C0"/>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0077C0"/>
              <w:right w:val="single" w:sz="8" w:color="0077C0"/>
            </w:tcBorders>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945</w:t>
            </w:r>
          </w:p>
        </w:tc>
        <w:tc>
          <w:tcPr>
            <w:tcW w:w="600" w:type="dxa"/>
            <w:vAlign w:val="bottom"/>
            <w:tcBorders>
              <w:bottom w:val="single" w:sz="8" w:color="0077C0"/>
            </w:tcBorders>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0077C0"/>
            </w:tcBorders>
          </w:tcPr>
          <w:p>
            <w:pPr>
              <w:jc w:val="center"/>
              <w:ind w:left="388"/>
              <w:spacing w:after="0"/>
              <w:rPr>
                <w:sz w:val="20"/>
                <w:szCs w:val="20"/>
                <w:color w:val="auto"/>
              </w:rPr>
            </w:pPr>
            <w:r>
              <w:rPr>
                <w:rFonts w:ascii="Times New Roman" w:cs="Times New Roman" w:eastAsia="Times New Roman" w:hAnsi="Times New Roman"/>
                <w:sz w:val="14"/>
                <w:szCs w:val="14"/>
                <w:color w:val="auto"/>
              </w:rPr>
              <w:t>936</w:t>
            </w:r>
          </w:p>
        </w:tc>
        <w:tc>
          <w:tcPr>
            <w:tcW w:w="660" w:type="dxa"/>
            <w:vAlign w:val="bottom"/>
            <w:tcBorders>
              <w:bottom w:val="single" w:sz="8" w:color="0077C0"/>
            </w:tcBorders>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0077C0"/>
            </w:tcBorders>
          </w:tcPr>
          <w:p>
            <w:pPr>
              <w:jc w:val="center"/>
              <w:ind w:left="448"/>
              <w:spacing w:after="0"/>
              <w:rPr>
                <w:sz w:val="20"/>
                <w:szCs w:val="20"/>
                <w:color w:val="auto"/>
              </w:rPr>
            </w:pPr>
            <w:r>
              <w:rPr>
                <w:rFonts w:ascii="Times New Roman" w:cs="Times New Roman" w:eastAsia="Times New Roman" w:hAnsi="Times New Roman"/>
                <w:sz w:val="14"/>
                <w:szCs w:val="14"/>
                <w:color w:val="auto"/>
              </w:rPr>
              <w:t>868</w:t>
            </w:r>
          </w:p>
        </w:tc>
      </w:tr>
    </w:tbl>
    <w:p>
      <w:pPr>
        <w:spacing w:after="0" w:line="130" w:lineRule="exact"/>
        <w:rPr>
          <w:sz w:val="20"/>
          <w:szCs w:val="20"/>
          <w:color w:val="auto"/>
        </w:rPr>
      </w:pPr>
    </w:p>
    <w:p>
      <w:pPr>
        <w:jc w:val="both"/>
        <w:ind w:left="20"/>
        <w:spacing w:after="0" w:line="274" w:lineRule="auto"/>
        <w:rPr>
          <w:sz w:val="20"/>
          <w:szCs w:val="20"/>
          <w:color w:val="auto"/>
        </w:rPr>
      </w:pPr>
      <w:r>
        <w:rPr>
          <w:rFonts w:ascii="Times New Roman" w:cs="Times New Roman" w:eastAsia="Times New Roman" w:hAnsi="Times New Roman"/>
          <w:sz w:val="18"/>
          <w:szCs w:val="18"/>
          <w:color w:val="auto"/>
        </w:rPr>
        <w:t>The company records asset retirement obligations when there is a legal obligation associated with the retirement of long-lived assets and the liability can be reasonably estimated. These asset retirement obligations include costs related to environmental issues. The liability balance of approximately $12.7 billion for asset retirement obligations at year-end 2024 is related primarily to upstream properties.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414" w:right="339" w:bottom="1440" w:gutter="0" w:footer="0" w:header="0"/>
        </w:sectPr>
      </w:pPr>
    </w:p>
    <w:bookmarkStart w:id="55" w:name="page56"/>
    <w:bookmarkEnd w:id="55"/>
    <w:p>
      <w:pPr>
        <w:spacing w:after="0"/>
        <w:tabs>
          <w:tab w:leader="none" w:pos="9400" w:val="left"/>
        </w:tabs>
        <w:rPr>
          <w:sz w:val="20"/>
          <w:szCs w:val="20"/>
          <w:color w:val="auto"/>
        </w:rPr>
      </w:pPr>
      <w:r>
        <w:rPr>
          <w:rFonts w:ascii="Arial" w:cs="Arial" w:eastAsia="Arial" w:hAnsi="Arial"/>
          <w:sz w:val="14"/>
          <w:szCs w:val="14"/>
          <w:color w:val="0077C0"/>
        </w:rPr>
        <w:t>Management’s Discussion and Analysis of Financial Condition and Results of Operations</w:t>
      </w:r>
      <w:r>
        <w:rPr>
          <w:sz w:val="20"/>
          <w:szCs w:val="20"/>
          <w:color w:val="auto"/>
        </w:rPr>
        <w:tab/>
      </w:r>
      <w:r>
        <w:rPr>
          <w:rFonts w:ascii="Arial" w:cs="Arial" w:eastAsia="Arial" w:hAnsi="Arial"/>
          <w:sz w:val="14"/>
          <w:szCs w:val="14"/>
          <w:color w:val="0077C0"/>
        </w:rPr>
        <w:t>Financial Table of Contents</w:t>
      </w:r>
    </w:p>
    <w:p>
      <w:pPr>
        <w:spacing w:after="0" w:line="200" w:lineRule="exact"/>
        <w:rPr>
          <w:sz w:val="20"/>
          <w:szCs w:val="20"/>
          <w:color w:val="auto"/>
        </w:rPr>
      </w:pPr>
    </w:p>
    <w:p>
      <w:pPr>
        <w:spacing w:after="0" w:line="318" w:lineRule="exact"/>
        <w:rPr>
          <w:sz w:val="20"/>
          <w:szCs w:val="20"/>
          <w:color w:val="auto"/>
        </w:rPr>
      </w:pPr>
    </w:p>
    <w:p>
      <w:pPr>
        <w:jc w:val="both"/>
        <w:ind w:left="20"/>
        <w:spacing w:after="0" w:line="274" w:lineRule="auto"/>
        <w:rPr>
          <w:sz w:val="20"/>
          <w:szCs w:val="20"/>
          <w:color w:val="auto"/>
        </w:rPr>
      </w:pPr>
      <w:r>
        <w:rPr>
          <w:rFonts w:ascii="Times New Roman" w:cs="Times New Roman" w:eastAsia="Times New Roman" w:hAnsi="Times New Roman"/>
          <w:sz w:val="18"/>
          <w:szCs w:val="18"/>
          <w:color w:val="auto"/>
        </w:rPr>
        <w:t>For the company’s other ongoing operating assets, such as refineries and chemicals facilities, no provisions are made for exit or cleanup costs that may be required when such assets reach the end of their useful lives unless a decision to sell or otherwise decommission the facility has been made, as the indeterminate settlement dates for the asset retirements prevent estimation of the fair value of the asset retirement obligation.</w:t>
      </w:r>
    </w:p>
    <w:p>
      <w:pPr>
        <w:spacing w:after="0" w:line="61" w:lineRule="exact"/>
        <w:rPr>
          <w:sz w:val="20"/>
          <w:szCs w:val="20"/>
          <w:color w:val="auto"/>
        </w:rPr>
      </w:pPr>
    </w:p>
    <w:p>
      <w:pPr>
        <w:jc w:val="both"/>
        <w:ind w:left="20"/>
        <w:spacing w:after="0" w:line="274" w:lineRule="auto"/>
        <w:rPr>
          <w:sz w:val="20"/>
          <w:szCs w:val="20"/>
          <w:color w:val="auto"/>
        </w:rPr>
      </w:pPr>
      <w:r>
        <w:rPr>
          <w:rFonts w:ascii="Times New Roman" w:cs="Times New Roman" w:eastAsia="Times New Roman" w:hAnsi="Times New Roman"/>
          <w:sz w:val="18"/>
          <w:szCs w:val="18"/>
          <w:color w:val="auto"/>
        </w:rPr>
        <w:t xml:space="preserve">The company records decommissioning obligations for previously divested assets when it is probable that the decommissioning obligations would revert to the Company and costs can be reasonably estimated. At the end of 2024, the liability balance was $2.5 billion. Refer to </w:t>
      </w:r>
      <w:r>
        <w:rPr>
          <w:rFonts w:ascii="Times New Roman" w:cs="Times New Roman" w:eastAsia="Times New Roman" w:hAnsi="Times New Roman"/>
          <w:sz w:val="18"/>
          <w:szCs w:val="18"/>
          <w:u w:val="single" w:color="auto"/>
          <w:color w:val="0000FF"/>
        </w:rPr>
        <w:t>Note 24 Other Contingencies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Commitments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additional discussion of decommissioning obligations for previously divested assets.</w:t>
      </w:r>
    </w:p>
    <w:p>
      <w:pPr>
        <w:spacing w:after="0" w:line="47" w:lineRule="exact"/>
        <w:rPr>
          <w:sz w:val="20"/>
          <w:szCs w:val="20"/>
          <w:color w:val="auto"/>
        </w:rPr>
      </w:pPr>
    </w:p>
    <w:p>
      <w:pPr>
        <w:jc w:val="both"/>
        <w:ind w:left="20"/>
        <w:spacing w:after="0" w:line="281" w:lineRule="auto"/>
        <w:rPr>
          <w:sz w:val="20"/>
          <w:szCs w:val="20"/>
          <w:color w:val="auto"/>
        </w:rPr>
      </w:pPr>
      <w:r>
        <w:rPr>
          <w:rFonts w:ascii="Times New Roman" w:cs="Times New Roman" w:eastAsia="Times New Roman" w:hAnsi="Times New Roman"/>
          <w:sz w:val="18"/>
          <w:szCs w:val="18"/>
          <w:color w:val="auto"/>
        </w:rPr>
        <w:t xml:space="preserve">Refer to the discussion below for additional information on environmental matters and their impact on Chevron, and on the company’s 2024 environmental expenditures. Refer to </w:t>
      </w:r>
      <w:r>
        <w:rPr>
          <w:rFonts w:ascii="Times New Roman" w:cs="Times New Roman" w:eastAsia="Times New Roman" w:hAnsi="Times New Roman"/>
          <w:sz w:val="18"/>
          <w:szCs w:val="18"/>
          <w:u w:val="single" w:color="auto"/>
          <w:color w:val="0000FF"/>
        </w:rPr>
        <w:t>Note 24 Other Contingencies and Commitments</w:t>
      </w:r>
      <w:r>
        <w:rPr>
          <w:rFonts w:ascii="Times New Roman" w:cs="Times New Roman" w:eastAsia="Times New Roman" w:hAnsi="Times New Roman"/>
          <w:sz w:val="18"/>
          <w:szCs w:val="18"/>
          <w:color w:val="auto"/>
        </w:rPr>
        <w:t xml:space="preserve"> for additional discussion of environmental remediation provisions. Refer also to </w:t>
      </w:r>
      <w:r>
        <w:rPr>
          <w:rFonts w:ascii="Times New Roman" w:cs="Times New Roman" w:eastAsia="Times New Roman" w:hAnsi="Times New Roman"/>
          <w:sz w:val="18"/>
          <w:szCs w:val="18"/>
          <w:u w:val="single" w:color="auto"/>
          <w:color w:val="0000FF"/>
        </w:rPr>
        <w:t>Note 25 Asset Retirement Obligations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additional discussion of the company’s asset retirement obligations.</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FF0000"/>
        </w:rPr>
        <w:t xml:space="preserve">Suspended Wells </w:t>
      </w:r>
      <w:r>
        <w:rPr>
          <w:rFonts w:ascii="Times New Roman" w:cs="Times New Roman" w:eastAsia="Times New Roman" w:hAnsi="Times New Roman"/>
          <w:sz w:val="18"/>
          <w:szCs w:val="18"/>
          <w:color w:val="000000"/>
        </w:rPr>
        <w:t>Information related to suspended wells is included in</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u w:val="single" w:color="auto"/>
          <w:color w:val="0000FF"/>
        </w:rPr>
        <w:t>Note 21 Accounting for Suspended Exploratory Wells</w:t>
      </w:r>
      <w:r>
        <w:rPr>
          <w:rFonts w:ascii="Times New Roman" w:cs="Times New Roman" w:eastAsia="Times New Roman" w:hAnsi="Times New Roman"/>
          <w:sz w:val="18"/>
          <w:szCs w:val="18"/>
          <w:color w:val="000000"/>
        </w:rPr>
        <w:t>.</w:t>
      </w:r>
    </w:p>
    <w:p>
      <w:pPr>
        <w:spacing w:after="0" w:line="104" w:lineRule="exact"/>
        <w:rPr>
          <w:sz w:val="20"/>
          <w:szCs w:val="20"/>
          <w:color w:val="auto"/>
        </w:rPr>
      </w:pPr>
    </w:p>
    <w:p>
      <w:pPr>
        <w:jc w:val="both"/>
        <w:ind w:left="20"/>
        <w:spacing w:after="0" w:line="302"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Income Taxes </w:t>
      </w:r>
      <w:r>
        <w:rPr>
          <w:rFonts w:ascii="Times New Roman" w:cs="Times New Roman" w:eastAsia="Times New Roman" w:hAnsi="Times New Roman"/>
          <w:sz w:val="18"/>
          <w:szCs w:val="18"/>
          <w:color w:val="000000"/>
        </w:rPr>
        <w:t>Information related to income tax contingencies is included in</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u w:val="single" w:color="auto"/>
          <w:color w:val="0000FF"/>
        </w:rPr>
        <w:t>Note 17 Taxes</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and in</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u w:val="single" w:color="auto"/>
          <w:color w:val="0000FF"/>
        </w:rPr>
        <w:t>Note 24 Other Contingencies and Commitments</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under</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the heading “Income Taxes.”</w:t>
      </w:r>
    </w:p>
    <w:p>
      <w:pPr>
        <w:spacing w:after="0" w:line="19" w:lineRule="exact"/>
        <w:rPr>
          <w:sz w:val="20"/>
          <w:szCs w:val="20"/>
          <w:color w:val="auto"/>
        </w:rPr>
      </w:pPr>
    </w:p>
    <w:p>
      <w:pPr>
        <w:jc w:val="both"/>
        <w:ind w:left="20"/>
        <w:spacing w:after="0" w:line="302"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Other Contingencies </w:t>
      </w:r>
      <w:r>
        <w:rPr>
          <w:rFonts w:ascii="Times New Roman" w:cs="Times New Roman" w:eastAsia="Times New Roman" w:hAnsi="Times New Roman"/>
          <w:sz w:val="18"/>
          <w:szCs w:val="18"/>
          <w:color w:val="000000"/>
        </w:rPr>
        <w:t>Information related to other contingencies is included in</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u w:val="single" w:color="auto"/>
          <w:color w:val="0000FF"/>
        </w:rPr>
        <w:t>Note 24 Other Contingencies and Commitments</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under the heading “Other</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Contingencies.”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77C0"/>
        </w:rPr>
        <w:t>Environmental Matters</w:t>
      </w:r>
    </w:p>
    <w:p>
      <w:pPr>
        <w:spacing w:after="0" w:line="118" w:lineRule="exact"/>
        <w:rPr>
          <w:sz w:val="20"/>
          <w:szCs w:val="20"/>
          <w:color w:val="auto"/>
        </w:rPr>
      </w:pPr>
    </w:p>
    <w:p>
      <w:pPr>
        <w:jc w:val="both"/>
        <w:ind w:left="20"/>
        <w:spacing w:after="0" w:line="263" w:lineRule="auto"/>
        <w:rPr>
          <w:sz w:val="20"/>
          <w:szCs w:val="20"/>
          <w:color w:val="auto"/>
        </w:rPr>
      </w:pPr>
      <w:r>
        <w:rPr>
          <w:rFonts w:ascii="Times New Roman" w:cs="Times New Roman" w:eastAsia="Times New Roman" w:hAnsi="Times New Roman"/>
          <w:sz w:val="18"/>
          <w:szCs w:val="18"/>
          <w:color w:val="auto"/>
        </w:rPr>
        <w:t xml:space="preserve">The company is subject to various international and U.S. federal, state and local environmental, health and safety laws, regulations and market-based programs. These laws, regulations and programs continue to evolve and are expected to increase in both number and complexity over time and govern not only the manner in which the company conducts its operations, but also the products it sells. Consideration of environmental issues and the responses to those issues through international agreements and national, regional or state legislation or regulations are integrated into the company’s strategy and planning, capital investment reviews and risk management tools and processes, where applicable. They are also factored into the company’s long-range supply, demand and energy price forecasts. These forecasts reflect long-range effects from electric vehicle and renewable fuel penetration, energy efficiency standards, climate-related policy actions, and demand response to oil and natural gas prices. In addition, legislation and regulations intended to address hydraulic fracturing also continue to evolve in many jurisdictions where we operate. Refer to </w:t>
      </w:r>
      <w:r>
        <w:rPr>
          <w:rFonts w:ascii="Times New Roman" w:cs="Times New Roman" w:eastAsia="Times New Roman" w:hAnsi="Times New Roman"/>
          <w:sz w:val="18"/>
          <w:szCs w:val="18"/>
          <w:u w:val="single" w:color="auto"/>
          <w:color w:val="0000FF"/>
        </w:rPr>
        <w:t>Item 1A. Risk Factors</w:t>
      </w:r>
      <w:r>
        <w:rPr>
          <w:rFonts w:ascii="Times New Roman" w:cs="Times New Roman" w:eastAsia="Times New Roman" w:hAnsi="Times New Roman"/>
          <w:sz w:val="18"/>
          <w:szCs w:val="18"/>
          <w:color w:val="auto"/>
        </w:rPr>
        <w:t xml:space="preserve"> for a discussion of some of the inherent risks of increasingly restrictive environmental and other regulation that could materially impact the company’s results of operations or financial condition. Refer to </w:t>
      </w:r>
      <w:r>
        <w:rPr>
          <w:rFonts w:ascii="Times New Roman" w:cs="Times New Roman" w:eastAsia="Times New Roman" w:hAnsi="Times New Roman"/>
          <w:sz w:val="18"/>
          <w:szCs w:val="18"/>
          <w:u w:val="single" w:color="auto"/>
          <w:color w:val="0000FF"/>
        </w:rPr>
        <w:t>Business Environment and Outlook</w:t>
      </w:r>
      <w:r>
        <w:rPr>
          <w:rFonts w:ascii="Times New Roman" w:cs="Times New Roman" w:eastAsia="Times New Roman" w:hAnsi="Times New Roman"/>
          <w:sz w:val="18"/>
          <w:szCs w:val="18"/>
          <w:color w:val="auto"/>
        </w:rPr>
        <w:t xml:space="preserve"> on pages 35 through 37 for a discussion of legislative and regulatory efforts to address climate change.</w:t>
      </w:r>
    </w:p>
    <w:p>
      <w:pPr>
        <w:spacing w:after="0" w:line="70"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Most of the costs of complying with existing laws and regulations pertaining to company operations and products are embedded in the normal costs of doing business. However, it is not possible to predict with certainty the amount of additional investments in new or existing technology or facilities or the amounts of increased operating costs to be incurred in the future to prevent, control, reduce or eliminate releases of hazardous materials or other pollutants into the environment; remediate and restore areas damaged by prior releases of hazardous materials; or comply with new environmental laws or regulations. Although these costs may be significant to the results of operations in any single period, the company does not presently expect them to have a material adverse effect on the company’s liquidity or financial position.</w:t>
      </w:r>
    </w:p>
    <w:p>
      <w:pPr>
        <w:spacing w:after="0" w:line="55" w:lineRule="exact"/>
        <w:rPr>
          <w:sz w:val="20"/>
          <w:szCs w:val="20"/>
          <w:color w:val="auto"/>
        </w:rPr>
      </w:pPr>
    </w:p>
    <w:p>
      <w:pPr>
        <w:jc w:val="both"/>
        <w:ind w:left="20"/>
        <w:spacing w:after="0" w:line="270" w:lineRule="auto"/>
        <w:rPr>
          <w:sz w:val="20"/>
          <w:szCs w:val="20"/>
          <w:color w:val="auto"/>
        </w:rPr>
      </w:pPr>
      <w:r>
        <w:rPr>
          <w:rFonts w:ascii="Times New Roman" w:cs="Times New Roman" w:eastAsia="Times New Roman" w:hAnsi="Times New Roman"/>
          <w:sz w:val="18"/>
          <w:szCs w:val="18"/>
          <w:color w:val="auto"/>
        </w:rPr>
        <w:t>Accidental leaks and spills requiring cleanup may occur in the ordinary course of business. The company may incur expenses for corrective actions at various owned and previously owned facilities and at third-party-owned waste disposal sites used by the company. An obligation may arise when operations are closed or sold or at non-Chevron sites where company products have been handled or disposed of. Most of the expenditures to fulfill these obligations relate to facilities and sites where past operations followed practices and procedures that were considered acceptable at the time but now require investigative or remedial work or both to meet current standards.</w:t>
      </w:r>
    </w:p>
    <w:p>
      <w:pPr>
        <w:spacing w:after="0" w:line="51" w:lineRule="exact"/>
        <w:rPr>
          <w:sz w:val="20"/>
          <w:szCs w:val="20"/>
          <w:color w:val="auto"/>
        </w:rPr>
      </w:pPr>
    </w:p>
    <w:p>
      <w:pPr>
        <w:jc w:val="both"/>
        <w:ind w:left="20"/>
        <w:spacing w:after="0" w:line="281" w:lineRule="auto"/>
        <w:rPr>
          <w:sz w:val="20"/>
          <w:szCs w:val="20"/>
          <w:color w:val="auto"/>
        </w:rPr>
      </w:pPr>
      <w:r>
        <w:rPr>
          <w:rFonts w:ascii="Times New Roman" w:cs="Times New Roman" w:eastAsia="Times New Roman" w:hAnsi="Times New Roman"/>
          <w:sz w:val="18"/>
          <w:szCs w:val="18"/>
          <w:color w:val="auto"/>
        </w:rPr>
        <w:t>Using definitions and guidelines established by the American Petroleum Institute, Chevron estimated its worldwide environmental spending in 2024 at approximately $2.5 billion for its consolidated companies. Included in these expenditures were approximately $0.6 billion of environmental capital expenditures and $1.9 billion of costs associated</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414" w:right="339" w:bottom="1440" w:gutter="0" w:footer="0" w:header="0"/>
        </w:sectPr>
      </w:pPr>
    </w:p>
    <w:bookmarkStart w:id="56" w:name="page57"/>
    <w:bookmarkEnd w:id="56"/>
    <w:p>
      <w:pPr>
        <w:spacing w:after="0"/>
        <w:tabs>
          <w:tab w:leader="none" w:pos="9400" w:val="left"/>
        </w:tabs>
        <w:rPr>
          <w:sz w:val="20"/>
          <w:szCs w:val="20"/>
          <w:color w:val="auto"/>
        </w:rPr>
      </w:pPr>
      <w:r>
        <w:rPr>
          <w:rFonts w:ascii="Arial" w:cs="Arial" w:eastAsia="Arial" w:hAnsi="Arial"/>
          <w:sz w:val="14"/>
          <w:szCs w:val="14"/>
          <w:color w:val="0077C0"/>
        </w:rPr>
        <w:t>Management’s Discussion and Analysis of Financial Condition and Results of Operations</w:t>
      </w:r>
      <w:r>
        <w:rPr>
          <w:sz w:val="20"/>
          <w:szCs w:val="20"/>
          <w:color w:val="auto"/>
        </w:rPr>
        <w:tab/>
      </w:r>
      <w:r>
        <w:rPr>
          <w:rFonts w:ascii="Arial" w:cs="Arial" w:eastAsia="Arial" w:hAnsi="Arial"/>
          <w:sz w:val="14"/>
          <w:szCs w:val="14"/>
          <w:color w:val="0077C0"/>
        </w:rPr>
        <w:t>Financial Table of Contents</w:t>
      </w:r>
    </w:p>
    <w:p>
      <w:pPr>
        <w:spacing w:after="0" w:line="200" w:lineRule="exact"/>
        <w:rPr>
          <w:sz w:val="20"/>
          <w:szCs w:val="20"/>
          <w:color w:val="auto"/>
        </w:rPr>
      </w:pPr>
    </w:p>
    <w:p>
      <w:pPr>
        <w:spacing w:after="0" w:line="318" w:lineRule="exact"/>
        <w:rPr>
          <w:sz w:val="20"/>
          <w:szCs w:val="20"/>
          <w:color w:val="auto"/>
        </w:rPr>
      </w:pPr>
    </w:p>
    <w:p>
      <w:pPr>
        <w:jc w:val="both"/>
        <w:ind w:left="20"/>
        <w:spacing w:after="0" w:line="297" w:lineRule="auto"/>
        <w:rPr>
          <w:sz w:val="20"/>
          <w:szCs w:val="20"/>
          <w:color w:val="auto"/>
        </w:rPr>
      </w:pPr>
      <w:r>
        <w:rPr>
          <w:rFonts w:ascii="Times New Roman" w:cs="Times New Roman" w:eastAsia="Times New Roman" w:hAnsi="Times New Roman"/>
          <w:sz w:val="18"/>
          <w:szCs w:val="18"/>
          <w:color w:val="auto"/>
        </w:rPr>
        <w:t>with the prevention, control, abatement or elimination of hazardous substances and pollutants from operating, closed or divested sites, and the decommissioning and restoration of sites.</w:t>
      </w:r>
    </w:p>
    <w:p>
      <w:pPr>
        <w:spacing w:after="0" w:line="28" w:lineRule="exact"/>
        <w:rPr>
          <w:sz w:val="20"/>
          <w:szCs w:val="20"/>
          <w:color w:val="auto"/>
        </w:rPr>
      </w:pPr>
    </w:p>
    <w:p>
      <w:pPr>
        <w:jc w:val="both"/>
        <w:ind w:left="20"/>
        <w:spacing w:after="0" w:line="297" w:lineRule="auto"/>
        <w:rPr>
          <w:sz w:val="20"/>
          <w:szCs w:val="20"/>
          <w:color w:val="auto"/>
        </w:rPr>
      </w:pPr>
      <w:r>
        <w:rPr>
          <w:rFonts w:ascii="Times New Roman" w:cs="Times New Roman" w:eastAsia="Times New Roman" w:hAnsi="Times New Roman"/>
          <w:sz w:val="18"/>
          <w:szCs w:val="18"/>
          <w:color w:val="auto"/>
        </w:rPr>
        <w:t>For 2025, total worldwide environmental capital expenditures are estimated at $0.6 billion. These capital costs are in addition to the ongoing costs of complying with environmental regulations and the costs to remediate previously contaminated sites.</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77C0"/>
        </w:rPr>
        <w:t>Critical Accounting Estimates and Assumptions</w:t>
      </w:r>
    </w:p>
    <w:p>
      <w:pPr>
        <w:spacing w:after="0" w:line="118"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Management makes many estimates and assumptions in the application of accounting principles generally accepted in the United States of America (GAAP) that may have a material impact on the company’s consolidated financial statements and related disclosures and on the comparability of such information over different reporting periods. Such estimates and assumptions affect reported amounts of assets, liabilities, revenues and expenses, as well as disclosures of contingent assets and liabilities. Estimates and assumptions are based on management’s experience and other information available prior to the issuance of the financial statements. Materially different results can occur as circumstances change and additional information becomes known.</w:t>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discussion in this section of “critical” accounting estimates and assumptions is according to the disclosure guidelines of the SEC, wherein:</w:t>
      </w:r>
    </w:p>
    <w:p>
      <w:pPr>
        <w:spacing w:after="0" w:line="63" w:lineRule="exact"/>
        <w:rPr>
          <w:sz w:val="20"/>
          <w:szCs w:val="20"/>
          <w:color w:val="auto"/>
        </w:rPr>
      </w:pPr>
    </w:p>
    <w:p>
      <w:pPr>
        <w:ind w:left="1000" w:hanging="324"/>
        <w:spacing w:after="0" w:line="281"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estimates and assumptions is material due to the levels of subjectivity and judgment necessary to account for highly uncertain matters, or the susceptibility of such matters to change; and</w:t>
      </w:r>
    </w:p>
    <w:p>
      <w:pPr>
        <w:spacing w:after="0" w:line="1" w:lineRule="exact"/>
        <w:rPr>
          <w:rFonts w:ascii="Times New Roman" w:cs="Times New Roman" w:eastAsia="Times New Roman" w:hAnsi="Times New Roman"/>
          <w:sz w:val="18"/>
          <w:szCs w:val="18"/>
          <w:color w:val="auto"/>
        </w:rPr>
      </w:pPr>
    </w:p>
    <w:p>
      <w:pPr>
        <w:ind w:left="1000" w:hanging="324"/>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estimates and assumptions on the company’s financial condition or operating performance is material.</w:t>
      </w:r>
    </w:p>
    <w:p>
      <w:pPr>
        <w:spacing w:after="0" w:line="63" w:lineRule="exact"/>
        <w:rPr>
          <w:sz w:val="20"/>
          <w:szCs w:val="20"/>
          <w:color w:val="auto"/>
        </w:rPr>
      </w:pPr>
    </w:p>
    <w:p>
      <w:pPr>
        <w:jc w:val="both"/>
        <w:ind w:left="20"/>
        <w:spacing w:after="0" w:line="274" w:lineRule="auto"/>
        <w:rPr>
          <w:sz w:val="20"/>
          <w:szCs w:val="20"/>
          <w:color w:val="auto"/>
        </w:rPr>
      </w:pPr>
      <w:r>
        <w:rPr>
          <w:rFonts w:ascii="Times New Roman" w:cs="Times New Roman" w:eastAsia="Times New Roman" w:hAnsi="Times New Roman"/>
          <w:sz w:val="18"/>
          <w:szCs w:val="18"/>
          <w:color w:val="auto"/>
        </w:rPr>
        <w:t>The development and selection of accounting estimates and assumptions, including those deemed “critical,” and the associated disclosures in this discussion have been discussed with the Audit Committee of the Board of Directors. The areas of accounting and the associated “critical” estimates and assumptions made by the company are as follows:</w:t>
      </w:r>
    </w:p>
    <w:p>
      <w:pPr>
        <w:spacing w:after="0" w:line="43"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Oil and Gas Reserves </w:t>
      </w:r>
      <w:r>
        <w:rPr>
          <w:rFonts w:ascii="Times New Roman" w:cs="Times New Roman" w:eastAsia="Times New Roman" w:hAnsi="Times New Roman"/>
          <w:sz w:val="18"/>
          <w:szCs w:val="18"/>
          <w:color w:val="000000"/>
        </w:rPr>
        <w:t>Crude oil, NGLs and natural gas reserves are estimates of future production that impact certain asset and expense accounts included</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in the Consolidated Financial Statements. Proved reserves are the estimated quantities of oil and gas that geoscience and engineering data demonstrate with reasonable certainty to be economically producible in the future under existing economic conditions, operating methods and government regulations. Proved reserves include both developed and undeveloped volumes. Proved developed reserves represent volumes expected to be recovered through existing wells with existing equipment and operating methods. Proved undeveloped reserves are volumes expected to be recovered from new wells on undrilled proved acreage, or from existing wells where a relatively major expenditure is required for recompletion. Variables impacting Chevron’s estimated volumes of crude oil, NGLs and natural gas reserves include field performance, available technology, commodity prices, and development, production and carbon costs.</w:t>
      </w:r>
    </w:p>
    <w:p>
      <w:pPr>
        <w:spacing w:after="0" w:line="59" w:lineRule="exact"/>
        <w:rPr>
          <w:sz w:val="20"/>
          <w:szCs w:val="20"/>
          <w:color w:val="auto"/>
        </w:rPr>
      </w:pPr>
    </w:p>
    <w:p>
      <w:pPr>
        <w:jc w:val="both"/>
        <w:ind w:left="20"/>
        <w:spacing w:after="0" w:line="274" w:lineRule="auto"/>
        <w:rPr>
          <w:sz w:val="20"/>
          <w:szCs w:val="20"/>
          <w:color w:val="auto"/>
        </w:rPr>
      </w:pPr>
      <w:r>
        <w:rPr>
          <w:rFonts w:ascii="Times New Roman" w:cs="Times New Roman" w:eastAsia="Times New Roman" w:hAnsi="Times New Roman"/>
          <w:sz w:val="18"/>
          <w:szCs w:val="18"/>
          <w:color w:val="auto"/>
        </w:rPr>
        <w:t>The estimates of crude oil, NGLs and natural gas reserves are important to the timing of expense recognition for costs incurred and to the valuation of certain oil and gas producing assets. Impacts of oil and gas reserves on Chevron’s Consolidated Financial Statements, using the successful efforts method of accounting, include the following:</w:t>
      </w:r>
    </w:p>
    <w:p>
      <w:pPr>
        <w:spacing w:after="0" w:line="61" w:lineRule="exact"/>
        <w:rPr>
          <w:sz w:val="20"/>
          <w:szCs w:val="20"/>
          <w:color w:val="auto"/>
        </w:rPr>
      </w:pPr>
    </w:p>
    <w:p>
      <w:pPr>
        <w:jc w:val="both"/>
        <w:ind w:left="1000" w:hanging="324"/>
        <w:spacing w:after="0" w:line="256"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Depletion and Amortization (DD&amp;A) - Capitalized exploratory drilling and development costs are depreciated on a unit-of-production (UOP) basis using proved developed reserves. Acquisition costs of proved properties are amortized on a UOP basis using total proved reserves. During 2024, Chevron’s UOP DD&amp;A for oil and gas properties was $13.0 billion, and proved developed reserves at the beginning of 2024 were 6.8 billion barrels for consolidated companies. If the estimates of proved reserves used in the UOP calculations for consolidated operations had been lower by five percent across all oil and gas properties, UOP DD&amp;A in 2024 would have increased by approximately $700 million.</w:t>
      </w:r>
    </w:p>
    <w:p>
      <w:pPr>
        <w:spacing w:after="0" w:line="25" w:lineRule="exact"/>
        <w:rPr>
          <w:rFonts w:ascii="Times New Roman" w:cs="Times New Roman" w:eastAsia="Times New Roman" w:hAnsi="Times New Roman"/>
          <w:sz w:val="18"/>
          <w:szCs w:val="18"/>
          <w:color w:val="auto"/>
        </w:rPr>
      </w:pPr>
    </w:p>
    <w:p>
      <w:pPr>
        <w:jc w:val="both"/>
        <w:ind w:left="1000" w:hanging="324"/>
        <w:spacing w:after="0" w:line="261"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Impairment - Oil and gas reserves are used in assessing oil and gas producing properties for impairment. A significant reduction in the estimated reserves of a property would trigger an impairment review. Proved reserves (and, in some cases, a portion of unproved resources) are used to estimate future production volumes in the cash flow model. For a further discussion of estimates and assumptions used in impairment assessments, see </w:t>
      </w:r>
      <w:r>
        <w:rPr>
          <w:rFonts w:ascii="Times New Roman" w:cs="Times New Roman" w:eastAsia="Times New Roman" w:hAnsi="Times New Roman"/>
          <w:sz w:val="18"/>
          <w:szCs w:val="18"/>
          <w:i w:val="1"/>
          <w:iCs w:val="1"/>
          <w:color w:val="auto"/>
        </w:rPr>
        <w:t>Impairment of Properties, Plant and Equipment and Investments in Affiliates</w:t>
      </w:r>
      <w:r>
        <w:rPr>
          <w:rFonts w:ascii="Times New Roman" w:cs="Times New Roman" w:eastAsia="Times New Roman" w:hAnsi="Times New Roman"/>
          <w:sz w:val="18"/>
          <w:szCs w:val="18"/>
          <w:color w:val="auto"/>
        </w:rPr>
        <w:t xml:space="preserve"> below.</w:t>
      </w:r>
    </w:p>
    <w:p>
      <w:pPr>
        <w:spacing w:after="0" w:line="45" w:lineRule="exact"/>
        <w:rPr>
          <w:sz w:val="20"/>
          <w:szCs w:val="20"/>
          <w:color w:val="auto"/>
        </w:rPr>
      </w:pPr>
    </w:p>
    <w:p>
      <w:pPr>
        <w:jc w:val="both"/>
        <w:ind w:left="20"/>
        <w:spacing w:after="0" w:line="281"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u w:val="single" w:color="auto"/>
          <w:color w:val="0000FF"/>
        </w:rPr>
        <w:t>Table V</w:t>
      </w:r>
      <w:r>
        <w:rPr>
          <w:rFonts w:ascii="Times New Roman" w:cs="Times New Roman" w:eastAsia="Times New Roman" w:hAnsi="Times New Roman"/>
          <w:sz w:val="18"/>
          <w:szCs w:val="18"/>
          <w:color w:val="auto"/>
        </w:rPr>
        <w:t xml:space="preserve">, “Proved Reserve Quantity Information,” for the changes in proved reserve estimates for each of the three years ended December 31, 2022, 2023 and 2024, and to </w:t>
      </w:r>
      <w:r>
        <w:rPr>
          <w:rFonts w:ascii="Times New Roman" w:cs="Times New Roman" w:eastAsia="Times New Roman" w:hAnsi="Times New Roman"/>
          <w:sz w:val="18"/>
          <w:szCs w:val="18"/>
          <w:u w:val="single" w:color="auto"/>
          <w:color w:val="0000FF"/>
        </w:rPr>
        <w:t>Table VII</w:t>
      </w:r>
      <w:r>
        <w:rPr>
          <w:rFonts w:ascii="Times New Roman" w:cs="Times New Roman" w:eastAsia="Times New Roman" w:hAnsi="Times New Roman"/>
          <w:sz w:val="18"/>
          <w:szCs w:val="18"/>
          <w:color w:val="auto"/>
        </w:rPr>
        <w:t>, “Changes in the Standardized Measure of Discounted Future Net Cash Flows From Proved Reserves” for estimates of proved reserve values for each of the three years ended December 31, 2022, 2023 and 2024.</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414" w:right="339" w:bottom="1440" w:gutter="0" w:footer="0" w:header="0"/>
        </w:sectPr>
      </w:pPr>
    </w:p>
    <w:bookmarkStart w:id="57" w:name="page58"/>
    <w:bookmarkEnd w:id="57"/>
    <w:p>
      <w:pPr>
        <w:spacing w:after="0"/>
        <w:tabs>
          <w:tab w:leader="none" w:pos="9400" w:val="left"/>
        </w:tabs>
        <w:rPr>
          <w:sz w:val="20"/>
          <w:szCs w:val="20"/>
          <w:color w:val="auto"/>
        </w:rPr>
      </w:pPr>
      <w:r>
        <w:rPr>
          <w:rFonts w:ascii="Arial" w:cs="Arial" w:eastAsia="Arial" w:hAnsi="Arial"/>
          <w:sz w:val="14"/>
          <w:szCs w:val="14"/>
          <w:color w:val="0077C0"/>
        </w:rPr>
        <w:t>Management’s Discussion and Analysis of Financial Condition and Results of Operations</w:t>
      </w:r>
      <w:r>
        <w:rPr>
          <w:sz w:val="20"/>
          <w:szCs w:val="20"/>
          <w:color w:val="auto"/>
        </w:rPr>
        <w:tab/>
      </w:r>
      <w:r>
        <w:rPr>
          <w:rFonts w:ascii="Arial" w:cs="Arial" w:eastAsia="Arial" w:hAnsi="Arial"/>
          <w:sz w:val="14"/>
          <w:szCs w:val="14"/>
          <w:color w:val="0077C0"/>
        </w:rPr>
        <w:t>Financial Table of Contents</w:t>
      </w:r>
    </w:p>
    <w:p>
      <w:pPr>
        <w:spacing w:after="0" w:line="200" w:lineRule="exact"/>
        <w:rPr>
          <w:sz w:val="20"/>
          <w:szCs w:val="20"/>
          <w:color w:val="auto"/>
        </w:rPr>
      </w:pPr>
    </w:p>
    <w:p>
      <w:pPr>
        <w:spacing w:after="0" w:line="318" w:lineRule="exact"/>
        <w:rPr>
          <w:sz w:val="20"/>
          <w:szCs w:val="20"/>
          <w:color w:val="auto"/>
        </w:rPr>
      </w:pPr>
    </w:p>
    <w:p>
      <w:pPr>
        <w:jc w:val="both"/>
        <w:ind w:left="20"/>
        <w:spacing w:after="0" w:line="297" w:lineRule="auto"/>
        <w:rPr>
          <w:sz w:val="20"/>
          <w:szCs w:val="20"/>
          <w:color w:val="auto"/>
        </w:rPr>
      </w:pPr>
      <w:r>
        <w:rPr>
          <w:rFonts w:ascii="Times New Roman" w:cs="Times New Roman" w:eastAsia="Times New Roman" w:hAnsi="Times New Roman"/>
          <w:sz w:val="18"/>
          <w:szCs w:val="18"/>
          <w:color w:val="auto"/>
        </w:rPr>
        <w:t xml:space="preserve">This Oil and Gas Reserves commentary should be read in conjunction with the Properties, Plant and Equipment section of </w:t>
      </w:r>
      <w:r>
        <w:rPr>
          <w:rFonts w:ascii="Times New Roman" w:cs="Times New Roman" w:eastAsia="Times New Roman" w:hAnsi="Times New Roman"/>
          <w:sz w:val="18"/>
          <w:szCs w:val="18"/>
          <w:u w:val="single" w:color="auto"/>
          <w:color w:val="0000FF"/>
        </w:rPr>
        <w:t>Note 1 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Accounting Policies</w:t>
      </w:r>
      <w:r>
        <w:rPr>
          <w:rFonts w:ascii="Times New Roman" w:cs="Times New Roman" w:eastAsia="Times New Roman" w:hAnsi="Times New Roman"/>
          <w:sz w:val="18"/>
          <w:szCs w:val="18"/>
          <w:color w:val="000000"/>
        </w:rPr>
        <w:t>, which includes a description of the “successful efforts” method of accounting for oil and gas exploration and production activities.</w:t>
      </w:r>
    </w:p>
    <w:p>
      <w:pPr>
        <w:spacing w:after="0" w:line="24" w:lineRule="exact"/>
        <w:rPr>
          <w:sz w:val="20"/>
          <w:szCs w:val="20"/>
          <w:color w:val="auto"/>
        </w:rPr>
      </w:pPr>
    </w:p>
    <w:p>
      <w:pPr>
        <w:jc w:val="both"/>
        <w:ind w:left="20"/>
        <w:spacing w:after="0" w:line="273"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Impairment of Properties, Plant and Equipment and Investments in Affiliates </w:t>
      </w:r>
      <w:r>
        <w:rPr>
          <w:rFonts w:ascii="Times New Roman" w:cs="Times New Roman" w:eastAsia="Times New Roman" w:hAnsi="Times New Roman"/>
          <w:sz w:val="18"/>
          <w:szCs w:val="18"/>
          <w:color w:val="000000"/>
        </w:rPr>
        <w:t>The company assesses its properties, plant and equipment (PP&amp;E) for</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possible impairment whenever events or changes in circumstances indicate that the carrying value of the assets may not be recoverable. If the carrying value of an asset exceeds the future undiscounted cash flows expected from the asset, an impairment charge is recorded for the excess of the carrying value of the asset over its estimated fair value.</w:t>
      </w:r>
    </w:p>
    <w:p>
      <w:pPr>
        <w:spacing w:after="0" w:line="48" w:lineRule="exact"/>
        <w:rPr>
          <w:sz w:val="20"/>
          <w:szCs w:val="20"/>
          <w:color w:val="auto"/>
        </w:rPr>
      </w:pPr>
    </w:p>
    <w:p>
      <w:pPr>
        <w:jc w:val="both"/>
        <w:ind w:left="20"/>
        <w:spacing w:after="0" w:line="269" w:lineRule="auto"/>
        <w:rPr>
          <w:sz w:val="20"/>
          <w:szCs w:val="20"/>
          <w:color w:val="auto"/>
        </w:rPr>
      </w:pPr>
      <w:r>
        <w:rPr>
          <w:rFonts w:ascii="Times New Roman" w:cs="Times New Roman" w:eastAsia="Times New Roman" w:hAnsi="Times New Roman"/>
          <w:sz w:val="18"/>
          <w:szCs w:val="18"/>
          <w:color w:val="auto"/>
        </w:rPr>
        <w:t xml:space="preserve">Determination as to whether and how much an asset is impaired involves management estimates on highly uncertain matters, such as future commodity prices, operating expenses, carbon costs, production profiles, the pace of the energy transition, and the outlook for global or regional market supply-and-demand conditions for crude oil, NGLs, natural gas, commodity chemicals and refined products. However, the impairment reviews and calculations are based on assumptions that are generally consistent with the company’s business plans and long-term investment decisions. Refer also to the discussion of impairments of properties, plant and equipment in </w:t>
      </w:r>
      <w:r>
        <w:rPr>
          <w:rFonts w:ascii="Times New Roman" w:cs="Times New Roman" w:eastAsia="Times New Roman" w:hAnsi="Times New Roman"/>
          <w:sz w:val="18"/>
          <w:szCs w:val="18"/>
          <w:u w:val="single" w:color="auto"/>
          <w:color w:val="0000FF"/>
        </w:rPr>
        <w:t>Note 18 Properties, Plant and Equipment</w:t>
      </w:r>
      <w:r>
        <w:rPr>
          <w:rFonts w:ascii="Times New Roman" w:cs="Times New Roman" w:eastAsia="Times New Roman" w:hAnsi="Times New Roman"/>
          <w:sz w:val="18"/>
          <w:szCs w:val="18"/>
          <w:color w:val="auto"/>
        </w:rPr>
        <w:t xml:space="preserve"> and to the section on Properties, Plant and Equipment in </w:t>
      </w:r>
      <w:r>
        <w:rPr>
          <w:rFonts w:ascii="Times New Roman" w:cs="Times New Roman" w:eastAsia="Times New Roman" w:hAnsi="Times New Roman"/>
          <w:sz w:val="18"/>
          <w:szCs w:val="18"/>
          <w:u w:val="single" w:color="auto"/>
          <w:color w:val="0000FF"/>
        </w:rPr>
        <w:t>Note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Summary of Significant Accounting Policies</w:t>
      </w:r>
      <w:r>
        <w:rPr>
          <w:rFonts w:ascii="Times New Roman" w:cs="Times New Roman" w:eastAsia="Times New Roman" w:hAnsi="Times New Roman"/>
          <w:sz w:val="18"/>
          <w:szCs w:val="18"/>
          <w:color w:val="000000"/>
        </w:rPr>
        <w:t>.</w:t>
      </w:r>
    </w:p>
    <w:p>
      <w:pPr>
        <w:spacing w:after="0" w:line="53"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8"/>
          <w:szCs w:val="18"/>
          <w:color w:val="auto"/>
        </w:rPr>
        <w:t>The company performs impairment assessments when triggering events arise to determine whether any write-down in the carrying value of an asset or asset group is required. For example, when significant downward revisions to crude oil, NGLs and natural gas reserves are made for any single field or concession, an impairment review is performed to determine if the carrying value of the asset remains recoverable. Similarly, a significant downward revision in the company’s crude oil, NGLs or natural gas price outlook would trigger impairment reviews for impacted upstream assets. In addition, impairments could occur due to changes in national, state or local environmental regulations or laws, including those designed to stop or impede the development or production of oil and gas. Also, if the expectation of sale of a particular asset or asset group in any period has been deemed more likely than not, an impairment review is performed, and if the estimated future undiscounted cash flows exceed the carrying value of the asset or asset group, no impairment charge is required. Such calculations are reviewed each period until the asset or asset group is disposed. Assets that are not impaired on a held-and-used basis could possibly become impaired if a decision is made to sell such assets. That is, the assets would be impaired if they are classified as held-for-sale and the estimated proceeds from the sale, less costs to sell, are less than the assets’ associated carrying values.</w:t>
      </w:r>
    </w:p>
    <w:p>
      <w:pPr>
        <w:spacing w:after="0" w:line="59" w:lineRule="exact"/>
        <w:rPr>
          <w:sz w:val="20"/>
          <w:szCs w:val="20"/>
          <w:color w:val="auto"/>
        </w:rPr>
      </w:pPr>
    </w:p>
    <w:p>
      <w:pPr>
        <w:jc w:val="both"/>
        <w:ind w:left="20"/>
        <w:spacing w:after="0" w:line="271" w:lineRule="auto"/>
        <w:rPr>
          <w:sz w:val="20"/>
          <w:szCs w:val="20"/>
          <w:color w:val="auto"/>
        </w:rPr>
      </w:pPr>
      <w:r>
        <w:rPr>
          <w:rFonts w:ascii="Times New Roman" w:cs="Times New Roman" w:eastAsia="Times New Roman" w:hAnsi="Times New Roman"/>
          <w:sz w:val="18"/>
          <w:szCs w:val="18"/>
          <w:color w:val="auto"/>
        </w:rPr>
        <w:t>Investments in common stock of affiliates that are accounted for under the equity method, as well as investments in other securities of these equity investees, are reviewed for impairment when the fair value of the investment falls below the company’s carrying value. When this occurs, a determination must be made as to whether this loss is other-than-temporary, in which case the investment is impaired. Because of the number of differing assumptions potentially affecting whether an investment is impaired in any period or the amount of the impairment, a sensitivity analysis is not practicable.</w:t>
      </w:r>
    </w:p>
    <w:p>
      <w:pPr>
        <w:spacing w:after="0" w:line="51" w:lineRule="exact"/>
        <w:rPr>
          <w:sz w:val="20"/>
          <w:szCs w:val="20"/>
          <w:color w:val="auto"/>
        </w:rPr>
      </w:pPr>
    </w:p>
    <w:p>
      <w:pPr>
        <w:jc w:val="both"/>
        <w:ind w:left="20"/>
        <w:spacing w:after="0" w:line="271" w:lineRule="auto"/>
        <w:rPr>
          <w:sz w:val="20"/>
          <w:szCs w:val="20"/>
          <w:color w:val="auto"/>
        </w:rPr>
      </w:pPr>
      <w:r>
        <w:rPr>
          <w:rFonts w:ascii="Times New Roman" w:cs="Times New Roman" w:eastAsia="Times New Roman" w:hAnsi="Times New Roman"/>
          <w:sz w:val="18"/>
          <w:szCs w:val="18"/>
          <w:color w:val="auto"/>
        </w:rPr>
        <w:t>A sensitivity analysis of the impact on earnings for these periods if other assumptions had been used in impairment reviews and impairment calculations is not practicable, given the broad range of the company’s PP&amp;E and the number of assumptions involved in the estimates. That is, favorable changes to some assumptions might have avoided the need to impair any assets in these periods, whereas unfavorable changes might have caused an additional unknown number of other assets to become impaired, or resulted in larger impacts on impaired assets.</w:t>
      </w:r>
    </w:p>
    <w:p>
      <w:pPr>
        <w:spacing w:after="0" w:line="60" w:lineRule="exact"/>
        <w:rPr>
          <w:sz w:val="20"/>
          <w:szCs w:val="20"/>
          <w:color w:val="auto"/>
        </w:rPr>
      </w:pPr>
    </w:p>
    <w:p>
      <w:pPr>
        <w:jc w:val="both"/>
        <w:ind w:left="20"/>
        <w:spacing w:after="0" w:line="267"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Asset Retirement Obligations </w:t>
      </w:r>
      <w:r>
        <w:rPr>
          <w:rFonts w:ascii="Times New Roman" w:cs="Times New Roman" w:eastAsia="Times New Roman" w:hAnsi="Times New Roman"/>
          <w:sz w:val="18"/>
          <w:szCs w:val="18"/>
          <w:color w:val="000000"/>
        </w:rPr>
        <w:t>In the determination of fair value for an asset retirement obligation (ARO), the company uses various assumptions and</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 xml:space="preserve">judgments, including such factors as the existence of a legal obligation, estimated amounts and timing of settlements, discount and inflation rates, and the expected impact of advances in technology and process improvements. A sensitivity analysis of the ARO impact on earnings for 2024 is not practicable, given the broad range of the company’s long-lived assets and the number of assumptions involved in the estimates. That is, favorable changes to some assumptions would have reduced estimated future obligations, thereby lowering accretion expense and amortization costs, whereas unfavorable changes would have the opposite effect. Refer to </w:t>
      </w:r>
      <w:r>
        <w:rPr>
          <w:rFonts w:ascii="Times New Roman" w:cs="Times New Roman" w:eastAsia="Times New Roman" w:hAnsi="Times New Roman"/>
          <w:sz w:val="18"/>
          <w:szCs w:val="18"/>
          <w:u w:val="single" w:color="auto"/>
          <w:color w:val="0000FF"/>
        </w:rPr>
        <w:t>Note 25 Asset Retirement Obligations</w:t>
      </w:r>
      <w:r>
        <w:rPr>
          <w:rFonts w:ascii="Times New Roman" w:cs="Times New Roman" w:eastAsia="Times New Roman" w:hAnsi="Times New Roman"/>
          <w:sz w:val="18"/>
          <w:szCs w:val="18"/>
          <w:color w:val="000000"/>
        </w:rPr>
        <w:t xml:space="preserve"> for additional discussions on asset retirement obligations.</w:t>
      </w:r>
    </w:p>
    <w:p>
      <w:pPr>
        <w:spacing w:after="0" w:line="49" w:lineRule="exact"/>
        <w:rPr>
          <w:sz w:val="20"/>
          <w:szCs w:val="20"/>
          <w:color w:val="auto"/>
        </w:rPr>
      </w:pPr>
    </w:p>
    <w:p>
      <w:pPr>
        <w:jc w:val="both"/>
        <w:ind w:left="20"/>
        <w:spacing w:after="0" w:line="284"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Pension and Other Post-Employment Benefit Plans </w:t>
      </w:r>
      <w:r>
        <w:rPr>
          <w:rFonts w:ascii="Times New Roman" w:cs="Times New Roman" w:eastAsia="Times New Roman" w:hAnsi="Times New Roman"/>
          <w:sz w:val="18"/>
          <w:szCs w:val="18"/>
          <w:u w:val="single" w:color="auto"/>
          <w:color w:val="0000FF"/>
        </w:rPr>
        <w:t>Note 23 Employee Benefit Plans</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includes information on the funded status of the company’s pension</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and other post-employment benefit (OPEB) plans reflected on the Consolidated Balance Sheet; the components of pension and OPEB expense reflected on the Consolidated Statement of Income; and the related underlying assumptions.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414" w:right="339" w:bottom="1440" w:gutter="0" w:footer="0" w:header="0"/>
        </w:sectPr>
      </w:pPr>
    </w:p>
    <w:bookmarkStart w:id="58" w:name="page59"/>
    <w:bookmarkEnd w:id="58"/>
    <w:p>
      <w:pPr>
        <w:spacing w:after="0"/>
        <w:tabs>
          <w:tab w:leader="none" w:pos="9400" w:val="left"/>
        </w:tabs>
        <w:rPr>
          <w:sz w:val="20"/>
          <w:szCs w:val="20"/>
          <w:color w:val="auto"/>
        </w:rPr>
      </w:pPr>
      <w:r>
        <w:rPr>
          <w:rFonts w:ascii="Arial" w:cs="Arial" w:eastAsia="Arial" w:hAnsi="Arial"/>
          <w:sz w:val="14"/>
          <w:szCs w:val="14"/>
          <w:color w:val="0077C0"/>
        </w:rPr>
        <w:t>Management’s Discussion and Analysis of Financial Condition and Results of Operations</w:t>
      </w:r>
      <w:r>
        <w:rPr>
          <w:sz w:val="20"/>
          <w:szCs w:val="20"/>
          <w:color w:val="auto"/>
        </w:rPr>
        <w:tab/>
      </w:r>
      <w:r>
        <w:rPr>
          <w:rFonts w:ascii="Arial" w:cs="Arial" w:eastAsia="Arial" w:hAnsi="Arial"/>
          <w:sz w:val="14"/>
          <w:szCs w:val="14"/>
          <w:color w:val="0077C0"/>
        </w:rPr>
        <w:t>Financial Table of Contents</w:t>
      </w:r>
    </w:p>
    <w:p>
      <w:pPr>
        <w:spacing w:after="0" w:line="200" w:lineRule="exact"/>
        <w:rPr>
          <w:sz w:val="20"/>
          <w:szCs w:val="20"/>
          <w:color w:val="auto"/>
        </w:rPr>
      </w:pPr>
    </w:p>
    <w:p>
      <w:pPr>
        <w:spacing w:after="0" w:line="318"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 xml:space="preserve">The determination of pension plan expense and obligations is based on a number of actuarial assumptions. Two critical assumptions are the expected long-term rate of return on plan assets and the discount rate applied to pension plan obligations. Critical assumptions in determining expense and obligations for OPEB plans, which provide for certain health care and life insurance benefits for qualifying retired employees and which are not funded, are the discount rate and the assumed health care cost-trend rates. Information related to the company’s processes to develop these assumptions is included in </w:t>
      </w:r>
      <w:r>
        <w:rPr>
          <w:rFonts w:ascii="Times New Roman" w:cs="Times New Roman" w:eastAsia="Times New Roman" w:hAnsi="Times New Roman"/>
          <w:sz w:val="18"/>
          <w:szCs w:val="18"/>
          <w:u w:val="single" w:color="auto"/>
          <w:color w:val="0000FF"/>
        </w:rPr>
        <w:t>Note 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Employee Benefit Plans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under the relevant headings. Actual rates may vary significantly from estimates because of unanticipated changes beyond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company’s control.</w:t>
      </w:r>
    </w:p>
    <w:p>
      <w:pPr>
        <w:spacing w:after="0" w:line="68" w:lineRule="exact"/>
        <w:rPr>
          <w:sz w:val="20"/>
          <w:szCs w:val="20"/>
          <w:color w:val="auto"/>
        </w:rPr>
      </w:pPr>
    </w:p>
    <w:p>
      <w:pPr>
        <w:jc w:val="both"/>
        <w:ind w:left="20"/>
        <w:spacing w:after="0" w:line="271" w:lineRule="auto"/>
        <w:rPr>
          <w:sz w:val="20"/>
          <w:szCs w:val="20"/>
          <w:color w:val="auto"/>
        </w:rPr>
      </w:pPr>
      <w:r>
        <w:rPr>
          <w:rFonts w:ascii="Times New Roman" w:cs="Times New Roman" w:eastAsia="Times New Roman" w:hAnsi="Times New Roman"/>
          <w:sz w:val="18"/>
          <w:szCs w:val="18"/>
          <w:color w:val="auto"/>
        </w:rPr>
        <w:t>For 2024, the company used an expected long-term rate of return of 7.0 percent and a discount rate for service costs of 5.0 percent and a discount rate for interest cost of 4.8 percent for the primary U.S. pension plan. The actual return for 2024 was 3.6 percent. For the 10 years ended December 31, 2024, actual asset returns averaged 4.9 percent for this plan. Additionally, with the exception of four years within this 10-year period, actual asset returns for this plan equaled or exceeded 7.0 percent during each year.</w:t>
      </w:r>
    </w:p>
    <w:p>
      <w:pPr>
        <w:spacing w:after="0" w:line="51" w:lineRule="exact"/>
        <w:rPr>
          <w:sz w:val="20"/>
          <w:szCs w:val="20"/>
          <w:color w:val="auto"/>
        </w:rPr>
      </w:pPr>
    </w:p>
    <w:p>
      <w:pPr>
        <w:jc w:val="both"/>
        <w:ind w:left="20"/>
        <w:spacing w:after="0" w:line="270" w:lineRule="auto"/>
        <w:rPr>
          <w:sz w:val="20"/>
          <w:szCs w:val="20"/>
          <w:color w:val="auto"/>
        </w:rPr>
      </w:pPr>
      <w:r>
        <w:rPr>
          <w:rFonts w:ascii="Times New Roman" w:cs="Times New Roman" w:eastAsia="Times New Roman" w:hAnsi="Times New Roman"/>
          <w:sz w:val="18"/>
          <w:szCs w:val="18"/>
          <w:color w:val="auto"/>
        </w:rPr>
        <w:t>Total pension expense for 2024 was $551 million. An increase in the expected long-term return on plan assets or the discount rate would reduce pension plan expense, and vice versa. As an indication of the sensitivity of pension expense to the long-term rate of return assumption, a one percent increase in this assumption for the company’s primary U.S. pension plan, which accounted for about 63 percent of companywide pension expense, would have reduced total pension plan expense for 2024 by approximately $84 million. A one percent increase in the discount rates for this same plan would have reduced pension expense for 2024 by approximately $106 million.</w:t>
      </w:r>
    </w:p>
    <w:p>
      <w:pPr>
        <w:spacing w:after="0" w:line="51"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The aggregate funded status recognized at December 31, 2024, was a net liability of approximately $0.8 billion. An increase in the discount rate would decrease the pension obligation, thus changing the funded status of a plan. At December 31, 2024, the company used a discount rate of 5.7 percent to measure the obligations for the primary U.S. pension plan. As an indication of the sensitivity of pension liabilities to the discount rate assumption, a 0.25 percent increase in the discount rate applied to the company’s primary U.S. pension plan, which accounted for about 66 percent of the companywide pension obligation, would have reduced the plan obligation by approximately $261 million, and would have increased the plan’s surplus from $573 million to $834 million.</w:t>
      </w:r>
    </w:p>
    <w:p>
      <w:pPr>
        <w:spacing w:after="0" w:line="55" w:lineRule="exact"/>
        <w:rPr>
          <w:sz w:val="20"/>
          <w:szCs w:val="20"/>
          <w:color w:val="auto"/>
        </w:rPr>
      </w:pPr>
    </w:p>
    <w:p>
      <w:pPr>
        <w:jc w:val="both"/>
        <w:ind w:left="20"/>
        <w:spacing w:after="0" w:line="271" w:lineRule="auto"/>
        <w:rPr>
          <w:sz w:val="20"/>
          <w:szCs w:val="20"/>
          <w:color w:val="auto"/>
        </w:rPr>
      </w:pPr>
      <w:r>
        <w:rPr>
          <w:rFonts w:ascii="Times New Roman" w:cs="Times New Roman" w:eastAsia="Times New Roman" w:hAnsi="Times New Roman"/>
          <w:sz w:val="18"/>
          <w:szCs w:val="18"/>
          <w:color w:val="auto"/>
        </w:rPr>
        <w:t>For the company’s OPEB plans, expense for 2024 was $91 million, and the total liability, all unfunded at the end of 2024, was $1.9 billion. For the primary U.S. OPEB plan, the company used a discount rate for service cost of 5.1 percent and a discount rate for interest cost of 4.9 percent to measure expense in 2024, and a 5.6 percent discount rate to measure the benefit obligations at December 31, 2024. Discount rate changes, similar to those used in the pension sensitivity analysis, resulted in an immaterial impact on 2024 OPEB expense and OPEB liabilities at the end of 2024.</w:t>
      </w:r>
    </w:p>
    <w:p>
      <w:pPr>
        <w:spacing w:after="0" w:line="64" w:lineRule="exact"/>
        <w:rPr>
          <w:sz w:val="20"/>
          <w:szCs w:val="20"/>
          <w:color w:val="auto"/>
        </w:rPr>
      </w:pPr>
    </w:p>
    <w:p>
      <w:pPr>
        <w:jc w:val="both"/>
        <w:ind w:left="20"/>
        <w:spacing w:after="0" w:line="271" w:lineRule="auto"/>
        <w:rPr>
          <w:sz w:val="20"/>
          <w:szCs w:val="20"/>
          <w:color w:val="auto"/>
        </w:rPr>
      </w:pPr>
      <w:r>
        <w:rPr>
          <w:rFonts w:ascii="Times New Roman" w:cs="Times New Roman" w:eastAsia="Times New Roman" w:hAnsi="Times New Roman"/>
          <w:sz w:val="18"/>
          <w:szCs w:val="18"/>
          <w:color w:val="auto"/>
        </w:rPr>
        <w:t xml:space="preserve">Differences between the various assumptions used to determine expense and the funded status of each plan and actual experience are included in actuarial gain/loss. Refer to page 95 in </w:t>
      </w:r>
      <w:r>
        <w:rPr>
          <w:rFonts w:ascii="Times New Roman" w:cs="Times New Roman" w:eastAsia="Times New Roman" w:hAnsi="Times New Roman"/>
          <w:sz w:val="18"/>
          <w:szCs w:val="18"/>
          <w:u w:val="single" w:color="auto"/>
          <w:color w:val="0000FF"/>
        </w:rPr>
        <w:t>Note 23 Employee Benefit Plans</w:t>
      </w:r>
      <w:r>
        <w:rPr>
          <w:rFonts w:ascii="Times New Roman" w:cs="Times New Roman" w:eastAsia="Times New Roman" w:hAnsi="Times New Roman"/>
          <w:sz w:val="18"/>
          <w:szCs w:val="18"/>
          <w:color w:val="auto"/>
        </w:rPr>
        <w:t xml:space="preserve"> for more information on the $3.2 billion of before-tax actuarial losses recorded by the company as of December 31, 2024. In addition, information related to company contributions is included on page 98 in </w:t>
      </w:r>
      <w:r>
        <w:rPr>
          <w:rFonts w:ascii="Times New Roman" w:cs="Times New Roman" w:eastAsia="Times New Roman" w:hAnsi="Times New Roman"/>
          <w:sz w:val="18"/>
          <w:szCs w:val="18"/>
          <w:u w:val="single" w:color="auto"/>
          <w:color w:val="0000FF"/>
        </w:rPr>
        <w:t>Note 23 Employee Benefit Plans</w:t>
      </w:r>
      <w:r>
        <w:rPr>
          <w:rFonts w:ascii="Times New Roman" w:cs="Times New Roman" w:eastAsia="Times New Roman" w:hAnsi="Times New Roman"/>
          <w:sz w:val="18"/>
          <w:szCs w:val="18"/>
          <w:color w:val="auto"/>
        </w:rPr>
        <w:t xml:space="preserve"> under the heading “Cash Contributions and Benefit Payments.”</w:t>
      </w:r>
    </w:p>
    <w:p>
      <w:pPr>
        <w:spacing w:after="0" w:line="47"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Contingent Losses </w:t>
      </w:r>
      <w:r>
        <w:rPr>
          <w:rFonts w:ascii="Times New Roman" w:cs="Times New Roman" w:eastAsia="Times New Roman" w:hAnsi="Times New Roman"/>
          <w:sz w:val="18"/>
          <w:szCs w:val="18"/>
          <w:color w:val="000000"/>
        </w:rPr>
        <w:t>Management also makes judgments and estimates in recording liabilities for claims, litigation, tax matters, transferred liabilities from</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previously divested assets, and environmental remediation. Actual costs can frequently vary from estimates for a variety of reasons. For example, the costs for settlement of claims and litigation can vary from estimates based on differing interpretations of laws, opinions on culpability and assessments on the amount of damages. The costs for decommissioning obligations for previously divested assets can also vary from estimates. Recording of liabilities for such costs typically requires judgment to assess the likelihood of decommissioning obligations reverting to the company, the timing of decommissioning activity, regulatory requirements and the scope of decommissioning activities. Similarly, liabilities for environmental remediation are subject to change because of changes in laws, regulations and their interpretation, the determination of additional information on the extent and nature of site contamination, and improvements in technology.</w:t>
      </w:r>
    </w:p>
    <w:p>
      <w:pPr>
        <w:spacing w:after="0" w:line="59" w:lineRule="exact"/>
        <w:rPr>
          <w:sz w:val="20"/>
          <w:szCs w:val="20"/>
          <w:color w:val="auto"/>
        </w:rPr>
      </w:pPr>
    </w:p>
    <w:p>
      <w:pPr>
        <w:jc w:val="both"/>
        <w:ind w:left="20"/>
        <w:spacing w:after="0" w:line="270" w:lineRule="auto"/>
        <w:rPr>
          <w:sz w:val="20"/>
          <w:szCs w:val="20"/>
          <w:color w:val="auto"/>
        </w:rPr>
      </w:pPr>
      <w:r>
        <w:rPr>
          <w:rFonts w:ascii="Times New Roman" w:cs="Times New Roman" w:eastAsia="Times New Roman" w:hAnsi="Times New Roman"/>
          <w:sz w:val="18"/>
          <w:szCs w:val="18"/>
          <w:color w:val="auto"/>
        </w:rPr>
        <w:t xml:space="preserve">Under the accounting rules, a liability is generally recorded for these types of contingencies if management determines the loss to be both probable and estimable. The company generally reports these losses as “Operating expenses,” “Selling, general and administrative expenses” or “Other income (loss)” on the Consolidated Statement of Income. An exception to this handling is for income tax matters, for which benefits are recognized only if management determines the tax position is more likely than not (i.e., likelihood greater than 50 percent) to be allowed by the tax jurisdiction. For additional discussion of income tax uncertainties, refer to </w:t>
      </w:r>
      <w:r>
        <w:rPr>
          <w:rFonts w:ascii="Times New Roman" w:cs="Times New Roman" w:eastAsia="Times New Roman" w:hAnsi="Times New Roman"/>
          <w:sz w:val="18"/>
          <w:szCs w:val="18"/>
          <w:u w:val="single" w:color="auto"/>
          <w:color w:val="0000FF"/>
        </w:rPr>
        <w:t>Note 24 Other Contingencies and Commitments</w:t>
      </w:r>
      <w:r>
        <w:rPr>
          <w:rFonts w:ascii="Times New Roman" w:cs="Times New Roman" w:eastAsia="Times New Roman" w:hAnsi="Times New Roman"/>
          <w:sz w:val="18"/>
          <w:szCs w:val="18"/>
          <w:color w:val="auto"/>
        </w:rPr>
        <w:t xml:space="preserve"> under the heading “Income Taxes.”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414" w:right="339" w:bottom="1440" w:gutter="0" w:footer="0" w:header="0"/>
        </w:sectPr>
      </w:pPr>
    </w:p>
    <w:bookmarkStart w:id="59" w:name="page60"/>
    <w:bookmarkEnd w:id="59"/>
    <w:p>
      <w:pPr>
        <w:spacing w:after="0"/>
        <w:tabs>
          <w:tab w:leader="none" w:pos="9400" w:val="left"/>
        </w:tabs>
        <w:rPr>
          <w:sz w:val="20"/>
          <w:szCs w:val="20"/>
          <w:color w:val="auto"/>
        </w:rPr>
      </w:pPr>
      <w:r>
        <w:rPr>
          <w:rFonts w:ascii="Arial" w:cs="Arial" w:eastAsia="Arial" w:hAnsi="Arial"/>
          <w:sz w:val="14"/>
          <w:szCs w:val="14"/>
          <w:color w:val="0077C0"/>
        </w:rPr>
        <w:t>Management’s Discussion and Analysis of Financial Condition and Results of Operations</w:t>
      </w:r>
      <w:r>
        <w:rPr>
          <w:sz w:val="20"/>
          <w:szCs w:val="20"/>
          <w:color w:val="auto"/>
        </w:rPr>
        <w:tab/>
      </w:r>
      <w:r>
        <w:rPr>
          <w:rFonts w:ascii="Arial" w:cs="Arial" w:eastAsia="Arial" w:hAnsi="Arial"/>
          <w:sz w:val="14"/>
          <w:szCs w:val="14"/>
          <w:color w:val="0077C0"/>
        </w:rPr>
        <w:t>Financial Table of Contents</w:t>
      </w:r>
    </w:p>
    <w:p>
      <w:pPr>
        <w:spacing w:after="0" w:line="200" w:lineRule="exact"/>
        <w:rPr>
          <w:sz w:val="20"/>
          <w:szCs w:val="20"/>
          <w:color w:val="auto"/>
        </w:rPr>
      </w:pPr>
    </w:p>
    <w:p>
      <w:pPr>
        <w:spacing w:after="0" w:line="318" w:lineRule="exact"/>
        <w:rPr>
          <w:sz w:val="20"/>
          <w:szCs w:val="20"/>
          <w:color w:val="auto"/>
        </w:rPr>
      </w:pPr>
    </w:p>
    <w:p>
      <w:pPr>
        <w:jc w:val="both"/>
        <w:ind w:left="20"/>
        <w:spacing w:after="0" w:line="297" w:lineRule="auto"/>
        <w:rPr>
          <w:sz w:val="20"/>
          <w:szCs w:val="20"/>
          <w:color w:val="auto"/>
        </w:rPr>
      </w:pPr>
      <w:r>
        <w:rPr>
          <w:rFonts w:ascii="Times New Roman" w:cs="Times New Roman" w:eastAsia="Times New Roman" w:hAnsi="Times New Roman"/>
          <w:sz w:val="18"/>
          <w:szCs w:val="18"/>
          <w:color w:val="auto"/>
        </w:rPr>
        <w:t>Refer also to the business segment discussions elsewhere in this section for the effect on earnings from losses associated with certain litigation, environmental remediation and tax matters for the three years ended December 31, 2024.</w:t>
      </w:r>
    </w:p>
    <w:p>
      <w:pPr>
        <w:spacing w:after="0" w:line="28" w:lineRule="exact"/>
        <w:rPr>
          <w:sz w:val="20"/>
          <w:szCs w:val="20"/>
          <w:color w:val="auto"/>
        </w:rPr>
      </w:pPr>
    </w:p>
    <w:p>
      <w:pPr>
        <w:jc w:val="both"/>
        <w:ind w:left="20"/>
        <w:spacing w:after="0" w:line="270" w:lineRule="auto"/>
        <w:rPr>
          <w:sz w:val="20"/>
          <w:szCs w:val="20"/>
          <w:color w:val="auto"/>
        </w:rPr>
      </w:pPr>
      <w:r>
        <w:rPr>
          <w:rFonts w:ascii="Times New Roman" w:cs="Times New Roman" w:eastAsia="Times New Roman" w:hAnsi="Times New Roman"/>
          <w:sz w:val="18"/>
          <w:szCs w:val="18"/>
          <w:color w:val="auto"/>
        </w:rPr>
        <w:t xml:space="preserve">An estimate as to the sensitivity to earnings for these periods if other assumptions had been used in recording these liabilities is not practicable because of the number of contingencies that must be assessed, the number of underlying assumptions and the wide range of reasonably possible outcomes, both in terms of the probability of loss and the estimates of such loss. For further information, refer to “Changes in management’s estimates and assumptions may have a material impact on the company’s consolidated financial statements and financial or operational performance in any given period” in </w:t>
      </w:r>
      <w:r>
        <w:rPr>
          <w:rFonts w:ascii="Times New Roman" w:cs="Times New Roman" w:eastAsia="Times New Roman" w:hAnsi="Times New Roman"/>
          <w:sz w:val="18"/>
          <w:szCs w:val="18"/>
          <w:u w:val="single" w:color="auto"/>
          <w:color w:val="0000FF"/>
        </w:rPr>
        <w:t>Item 1A.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Factors</w:t>
      </w:r>
      <w:r>
        <w:rPr>
          <w:rFonts w:ascii="Times New Roman" w:cs="Times New Roman" w:eastAsia="Times New Roman" w:hAnsi="Times New Roman"/>
          <w:sz w:val="18"/>
          <w:szCs w:val="18"/>
          <w:color w:val="000000"/>
        </w:rPr>
        <w:t>, on page 27.</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77C0"/>
        </w:rPr>
        <w:t>New Accounting Standards</w:t>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u w:val="single" w:color="auto"/>
          <w:color w:val="0000FF"/>
        </w:rPr>
        <w:t>Note 4 New Accounting Standards</w:t>
      </w:r>
      <w:r>
        <w:rPr>
          <w:rFonts w:ascii="Times New Roman" w:cs="Times New Roman" w:eastAsia="Times New Roman" w:hAnsi="Times New Roman"/>
          <w:sz w:val="18"/>
          <w:szCs w:val="18"/>
          <w:color w:val="auto"/>
        </w:rPr>
        <w:t xml:space="preserve"> for information regarding new accounting standards.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414" w:right="339" w:bottom="1440" w:gutter="0" w:footer="0" w:header="0"/>
        </w:sectPr>
      </w:pPr>
    </w:p>
    <w:bookmarkStart w:id="60" w:name="page61"/>
    <w:bookmarkEnd w:id="60"/>
    <w:p>
      <w:pPr>
        <w:ind w:left="9480"/>
        <w:spacing w:after="0"/>
        <w:rPr>
          <w:sz w:val="20"/>
          <w:szCs w:val="20"/>
          <w:color w:val="auto"/>
        </w:rPr>
      </w:pPr>
      <w:r>
        <w:rPr>
          <w:rFonts w:ascii="Arial" w:cs="Arial" w:eastAsia="Arial" w:hAnsi="Arial"/>
          <w:sz w:val="14"/>
          <w:szCs w:val="14"/>
          <w:color w:val="0077C0"/>
        </w:rPr>
        <w:t>Financial 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Quarterly Results</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0077C0"/>
        </w:rPr>
        <w:t>Unaudited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60" w:type="dxa"/>
            <w:vAlign w:val="bottom"/>
            <w:tcBorders>
              <w:bottom w:val="single" w:sz="8" w:color="E8EFF9"/>
            </w:tcBorders>
            <w:shd w:val="clear" w:color="auto" w:fill="E8EFF9"/>
          </w:tcPr>
          <w:p>
            <w:pPr>
              <w:spacing w:after="0"/>
              <w:rPr>
                <w:sz w:val="17"/>
                <w:szCs w:val="17"/>
                <w:color w:val="auto"/>
              </w:rPr>
            </w:pPr>
          </w:p>
        </w:tc>
        <w:tc>
          <w:tcPr>
            <w:tcW w:w="120" w:type="dxa"/>
            <w:vAlign w:val="bottom"/>
            <w:tcBorders>
              <w:bottom w:val="single" w:sz="8" w:color="0077C0"/>
            </w:tcBorders>
            <w:shd w:val="clear" w:color="auto" w:fill="E8EFF9"/>
          </w:tcPr>
          <w:p>
            <w:pPr>
              <w:spacing w:after="0"/>
              <w:rPr>
                <w:sz w:val="17"/>
                <w:szCs w:val="17"/>
                <w:color w:val="auto"/>
              </w:rPr>
            </w:pPr>
          </w:p>
        </w:tc>
        <w:tc>
          <w:tcPr>
            <w:tcW w:w="690" w:type="dxa"/>
            <w:vAlign w:val="bottom"/>
            <w:tcBorders>
              <w:bottom w:val="single" w:sz="8" w:color="0077C0"/>
            </w:tcBorders>
            <w:shd w:val="clear" w:color="auto" w:fill="E8EFF9"/>
          </w:tcPr>
          <w:p>
            <w:pPr>
              <w:spacing w:after="0"/>
              <w:rPr>
                <w:sz w:val="17"/>
                <w:szCs w:val="17"/>
                <w:color w:val="auto"/>
              </w:rPr>
            </w:pPr>
          </w:p>
        </w:tc>
        <w:tc>
          <w:tcPr>
            <w:tcW w:w="170" w:type="dxa"/>
            <w:vAlign w:val="bottom"/>
            <w:tcBorders>
              <w:bottom w:val="single" w:sz="8" w:color="0077C0"/>
            </w:tcBorders>
            <w:shd w:val="clear" w:color="auto" w:fill="E8EFF9"/>
          </w:tcPr>
          <w:p>
            <w:pPr>
              <w:spacing w:after="0"/>
              <w:rPr>
                <w:sz w:val="17"/>
                <w:szCs w:val="17"/>
                <w:color w:val="auto"/>
              </w:rPr>
            </w:pPr>
          </w:p>
        </w:tc>
        <w:tc>
          <w:tcPr>
            <w:tcW w:w="620" w:type="dxa"/>
            <w:vAlign w:val="bottom"/>
            <w:tcBorders>
              <w:bottom w:val="single" w:sz="8" w:color="0077C0"/>
            </w:tcBorders>
            <w:shd w:val="clear" w:color="auto" w:fill="E8EFF9"/>
          </w:tcPr>
          <w:p>
            <w:pPr>
              <w:spacing w:after="0"/>
              <w:rPr>
                <w:sz w:val="17"/>
                <w:szCs w:val="17"/>
                <w:color w:val="auto"/>
              </w:rPr>
            </w:pPr>
          </w:p>
        </w:tc>
        <w:tc>
          <w:tcPr>
            <w:tcW w:w="220" w:type="dxa"/>
            <w:vAlign w:val="bottom"/>
            <w:tcBorders>
              <w:bottom w:val="single" w:sz="8" w:color="0077C0"/>
            </w:tcBorders>
            <w:shd w:val="clear" w:color="auto" w:fill="E8EFF9"/>
          </w:tcPr>
          <w:p>
            <w:pPr>
              <w:spacing w:after="0"/>
              <w:rPr>
                <w:sz w:val="17"/>
                <w:szCs w:val="17"/>
                <w:color w:val="auto"/>
              </w:rPr>
            </w:pPr>
          </w:p>
        </w:tc>
        <w:tc>
          <w:tcPr>
            <w:tcW w:w="660" w:type="dxa"/>
            <w:vAlign w:val="bottom"/>
            <w:tcBorders>
              <w:bottom w:val="single" w:sz="8" w:color="0077C0"/>
            </w:tcBorders>
            <w:shd w:val="clear" w:color="auto" w:fill="E8EFF9"/>
          </w:tcPr>
          <w:p>
            <w:pPr>
              <w:spacing w:after="0"/>
              <w:rPr>
                <w:sz w:val="17"/>
                <w:szCs w:val="17"/>
                <w:color w:val="auto"/>
              </w:rPr>
            </w:pPr>
          </w:p>
        </w:tc>
        <w:tc>
          <w:tcPr>
            <w:tcW w:w="200" w:type="dxa"/>
            <w:vAlign w:val="bottom"/>
            <w:tcBorders>
              <w:bottom w:val="single" w:sz="8" w:color="0077C0"/>
            </w:tcBorders>
            <w:shd w:val="clear" w:color="auto" w:fill="E8EFF9"/>
          </w:tcPr>
          <w:p>
            <w:pPr>
              <w:spacing w:after="0"/>
              <w:rPr>
                <w:sz w:val="17"/>
                <w:szCs w:val="17"/>
                <w:color w:val="auto"/>
              </w:rPr>
            </w:pPr>
          </w:p>
        </w:tc>
        <w:tc>
          <w:tcPr>
            <w:tcW w:w="66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0077C0"/>
            </w:tcBorders>
            <w:shd w:val="clear" w:color="auto" w:fill="E8EFF9"/>
          </w:tcPr>
          <w:p>
            <w:pPr>
              <w:spacing w:after="0"/>
              <w:rPr>
                <w:sz w:val="17"/>
                <w:szCs w:val="17"/>
                <w:color w:val="auto"/>
              </w:rPr>
            </w:pPr>
          </w:p>
        </w:tc>
        <w:tc>
          <w:tcPr>
            <w:tcW w:w="620" w:type="dxa"/>
            <w:vAlign w:val="bottom"/>
            <w:tcBorders>
              <w:bottom w:val="single" w:sz="8" w:color="0077C0"/>
            </w:tcBorders>
            <w:shd w:val="clear" w:color="auto" w:fill="E8EFF9"/>
          </w:tcPr>
          <w:p>
            <w:pPr>
              <w:spacing w:after="0"/>
              <w:rPr>
                <w:sz w:val="17"/>
                <w:szCs w:val="17"/>
                <w:color w:val="auto"/>
              </w:rPr>
            </w:pPr>
          </w:p>
        </w:tc>
        <w:tc>
          <w:tcPr>
            <w:tcW w:w="220" w:type="dxa"/>
            <w:vAlign w:val="bottom"/>
            <w:tcBorders>
              <w:bottom w:val="single" w:sz="8" w:color="0077C0"/>
            </w:tcBorders>
            <w:shd w:val="clear" w:color="auto" w:fill="E8EFF9"/>
          </w:tcPr>
          <w:p>
            <w:pPr>
              <w:spacing w:after="0"/>
              <w:rPr>
                <w:sz w:val="17"/>
                <w:szCs w:val="17"/>
                <w:color w:val="auto"/>
              </w:rPr>
            </w:pPr>
          </w:p>
        </w:tc>
        <w:tc>
          <w:tcPr>
            <w:tcW w:w="660" w:type="dxa"/>
            <w:vAlign w:val="bottom"/>
            <w:tcBorders>
              <w:bottom w:val="single" w:sz="8" w:color="0077C0"/>
            </w:tcBorders>
            <w:shd w:val="clear" w:color="auto" w:fill="E8EFF9"/>
          </w:tcPr>
          <w:p>
            <w:pPr>
              <w:spacing w:after="0"/>
              <w:rPr>
                <w:sz w:val="17"/>
                <w:szCs w:val="17"/>
                <w:color w:val="auto"/>
              </w:rPr>
            </w:pPr>
          </w:p>
        </w:tc>
        <w:tc>
          <w:tcPr>
            <w:tcW w:w="200" w:type="dxa"/>
            <w:vAlign w:val="bottom"/>
            <w:tcBorders>
              <w:bottom w:val="single" w:sz="8" w:color="0077C0"/>
            </w:tcBorders>
            <w:shd w:val="clear" w:color="auto" w:fill="E8EFF9"/>
          </w:tcPr>
          <w:p>
            <w:pPr>
              <w:spacing w:after="0"/>
              <w:rPr>
                <w:sz w:val="17"/>
                <w:szCs w:val="17"/>
                <w:color w:val="auto"/>
              </w:rPr>
            </w:pPr>
          </w:p>
        </w:tc>
        <w:tc>
          <w:tcPr>
            <w:tcW w:w="660" w:type="dxa"/>
            <w:vAlign w:val="bottom"/>
            <w:tcBorders>
              <w:bottom w:val="single" w:sz="8" w:color="0077C0"/>
            </w:tcBorders>
            <w:shd w:val="clear" w:color="auto" w:fill="E8EFF9"/>
          </w:tcPr>
          <w:p>
            <w:pPr>
              <w:spacing w:after="0"/>
              <w:rPr>
                <w:sz w:val="17"/>
                <w:szCs w:val="17"/>
                <w:color w:val="auto"/>
              </w:rPr>
            </w:pPr>
          </w:p>
        </w:tc>
        <w:tc>
          <w:tcPr>
            <w:tcW w:w="220" w:type="dxa"/>
            <w:vAlign w:val="bottom"/>
            <w:tcBorders>
              <w:bottom w:val="single" w:sz="8" w:color="0077C0"/>
            </w:tcBorders>
            <w:shd w:val="clear" w:color="auto" w:fill="E8EFF9"/>
          </w:tcPr>
          <w:p>
            <w:pPr>
              <w:spacing w:after="0"/>
              <w:rPr>
                <w:sz w:val="17"/>
                <w:szCs w:val="17"/>
                <w:color w:val="auto"/>
              </w:rPr>
            </w:pPr>
          </w:p>
        </w:tc>
        <w:tc>
          <w:tcPr>
            <w:tcW w:w="64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190"/>
        </w:trPr>
        <w:tc>
          <w:tcPr>
            <w:tcW w:w="4460" w:type="dxa"/>
            <w:vAlign w:val="bottom"/>
            <w:tcBorders>
              <w:bottom w:val="single" w:sz="8" w:color="0077C0"/>
            </w:tcBorders>
            <w:shd w:val="clear" w:color="auto" w:fill="E8EFF9"/>
          </w:tcPr>
          <w:p>
            <w:pPr>
              <w:ind w:left="20"/>
              <w:spacing w:after="0"/>
              <w:rPr>
                <w:sz w:val="20"/>
                <w:szCs w:val="20"/>
                <w:color w:val="auto"/>
              </w:rPr>
            </w:pPr>
            <w:r>
              <w:rPr>
                <w:rFonts w:ascii="Times New Roman" w:cs="Times New Roman" w:eastAsia="Times New Roman" w:hAnsi="Times New Roman"/>
                <w:sz w:val="14"/>
                <w:szCs w:val="14"/>
                <w:color w:val="auto"/>
              </w:rPr>
              <w:t>Millions of dollars, except per-share amounts</w:t>
            </w:r>
          </w:p>
        </w:tc>
        <w:tc>
          <w:tcPr>
            <w:tcW w:w="120" w:type="dxa"/>
            <w:vAlign w:val="bottom"/>
            <w:tcBorders>
              <w:bottom w:val="single" w:sz="8" w:color="0077C0"/>
            </w:tcBorders>
            <w:shd w:val="clear" w:color="auto" w:fill="E8EFF9"/>
          </w:tcPr>
          <w:p>
            <w:pPr>
              <w:spacing w:after="0"/>
              <w:rPr>
                <w:sz w:val="16"/>
                <w:szCs w:val="16"/>
                <w:color w:val="auto"/>
              </w:rPr>
            </w:pPr>
          </w:p>
        </w:tc>
        <w:tc>
          <w:tcPr>
            <w:tcW w:w="69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4th Q</w:t>
            </w:r>
          </w:p>
        </w:tc>
        <w:tc>
          <w:tcPr>
            <w:tcW w:w="170" w:type="dxa"/>
            <w:vAlign w:val="bottom"/>
            <w:tcBorders>
              <w:bottom w:val="single" w:sz="8" w:color="0077C0"/>
            </w:tcBorders>
            <w:shd w:val="clear" w:color="auto" w:fill="E8EFF9"/>
          </w:tcPr>
          <w:p>
            <w:pPr>
              <w:spacing w:after="0"/>
              <w:rPr>
                <w:sz w:val="16"/>
                <w:szCs w:val="16"/>
                <w:color w:val="auto"/>
              </w:rPr>
            </w:pPr>
          </w:p>
        </w:tc>
        <w:tc>
          <w:tcPr>
            <w:tcW w:w="62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3rd Q</w:t>
            </w:r>
          </w:p>
        </w:tc>
        <w:tc>
          <w:tcPr>
            <w:tcW w:w="220" w:type="dxa"/>
            <w:vAlign w:val="bottom"/>
            <w:tcBorders>
              <w:bottom w:val="single" w:sz="8" w:color="0077C0"/>
            </w:tcBorders>
            <w:shd w:val="clear" w:color="auto" w:fill="E8EFF9"/>
          </w:tcPr>
          <w:p>
            <w:pPr>
              <w:spacing w:after="0"/>
              <w:rPr>
                <w:sz w:val="16"/>
                <w:szCs w:val="16"/>
                <w:color w:val="auto"/>
              </w:rPr>
            </w:pPr>
          </w:p>
        </w:tc>
        <w:tc>
          <w:tcPr>
            <w:tcW w:w="66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2nd Q</w:t>
            </w:r>
          </w:p>
        </w:tc>
        <w:tc>
          <w:tcPr>
            <w:tcW w:w="200" w:type="dxa"/>
            <w:vAlign w:val="bottom"/>
            <w:tcBorders>
              <w:bottom w:val="single" w:sz="8" w:color="0077C0"/>
            </w:tcBorders>
            <w:shd w:val="clear" w:color="auto" w:fill="E8EFF9"/>
          </w:tcPr>
          <w:p>
            <w:pPr>
              <w:spacing w:after="0"/>
              <w:rPr>
                <w:sz w:val="16"/>
                <w:szCs w:val="16"/>
                <w:color w:val="auto"/>
              </w:rPr>
            </w:pPr>
          </w:p>
        </w:tc>
        <w:tc>
          <w:tcPr>
            <w:tcW w:w="66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1st Q</w:t>
            </w:r>
          </w:p>
        </w:tc>
        <w:tc>
          <w:tcPr>
            <w:tcW w:w="220" w:type="dxa"/>
            <w:vAlign w:val="bottom"/>
            <w:tcBorders>
              <w:bottom w:val="single" w:sz="8" w:color="0077C0"/>
            </w:tcBorders>
            <w:shd w:val="clear" w:color="auto" w:fill="E8EFF9"/>
          </w:tcPr>
          <w:p>
            <w:pPr>
              <w:spacing w:after="0"/>
              <w:rPr>
                <w:sz w:val="16"/>
                <w:szCs w:val="16"/>
                <w:color w:val="auto"/>
              </w:rPr>
            </w:pPr>
          </w:p>
        </w:tc>
        <w:tc>
          <w:tcPr>
            <w:tcW w:w="62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4th Q</w:t>
            </w:r>
          </w:p>
        </w:tc>
        <w:tc>
          <w:tcPr>
            <w:tcW w:w="220" w:type="dxa"/>
            <w:vAlign w:val="bottom"/>
            <w:tcBorders>
              <w:bottom w:val="single" w:sz="8" w:color="0077C0"/>
            </w:tcBorders>
            <w:shd w:val="clear" w:color="auto" w:fill="E8EFF9"/>
          </w:tcPr>
          <w:p>
            <w:pPr>
              <w:spacing w:after="0"/>
              <w:rPr>
                <w:sz w:val="16"/>
                <w:szCs w:val="16"/>
                <w:color w:val="auto"/>
              </w:rPr>
            </w:pPr>
          </w:p>
        </w:tc>
        <w:tc>
          <w:tcPr>
            <w:tcW w:w="66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3rd Q</w:t>
            </w:r>
          </w:p>
        </w:tc>
        <w:tc>
          <w:tcPr>
            <w:tcW w:w="200" w:type="dxa"/>
            <w:vAlign w:val="bottom"/>
            <w:tcBorders>
              <w:bottom w:val="single" w:sz="8" w:color="0077C0"/>
            </w:tcBorders>
            <w:shd w:val="clear" w:color="auto" w:fill="E8EFF9"/>
          </w:tcPr>
          <w:p>
            <w:pPr>
              <w:spacing w:after="0"/>
              <w:rPr>
                <w:sz w:val="16"/>
                <w:szCs w:val="16"/>
                <w:color w:val="auto"/>
              </w:rPr>
            </w:pPr>
          </w:p>
        </w:tc>
        <w:tc>
          <w:tcPr>
            <w:tcW w:w="66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2nd Q</w:t>
            </w:r>
          </w:p>
        </w:tc>
        <w:tc>
          <w:tcPr>
            <w:tcW w:w="220" w:type="dxa"/>
            <w:vAlign w:val="bottom"/>
            <w:tcBorders>
              <w:bottom w:val="single" w:sz="8" w:color="0077C0"/>
            </w:tcBorders>
            <w:shd w:val="clear" w:color="auto" w:fill="E8EFF9"/>
          </w:tcPr>
          <w:p>
            <w:pPr>
              <w:spacing w:after="0"/>
              <w:rPr>
                <w:sz w:val="16"/>
                <w:szCs w:val="16"/>
                <w:color w:val="auto"/>
              </w:rPr>
            </w:pPr>
          </w:p>
        </w:tc>
        <w:tc>
          <w:tcPr>
            <w:tcW w:w="64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1st Q</w:t>
            </w:r>
          </w:p>
        </w:tc>
      </w:tr>
      <w:tr>
        <w:trPr>
          <w:trHeight w:val="190"/>
        </w:trPr>
        <w:tc>
          <w:tcPr>
            <w:tcW w:w="4460" w:type="dxa"/>
            <w:vAlign w:val="bottom"/>
            <w:shd w:val="clear" w:color="auto" w:fill="E8EFF9"/>
          </w:tcPr>
          <w:p>
            <w:pPr>
              <w:ind w:left="20"/>
              <w:spacing w:after="0"/>
              <w:rPr>
                <w:sz w:val="20"/>
                <w:szCs w:val="20"/>
                <w:color w:val="auto"/>
              </w:rPr>
            </w:pPr>
            <w:r>
              <w:rPr>
                <w:rFonts w:ascii="Times New Roman" w:cs="Times New Roman" w:eastAsia="Times New Roman" w:hAnsi="Times New Roman"/>
                <w:sz w:val="14"/>
                <w:szCs w:val="14"/>
                <w:b w:val="1"/>
                <w:bCs w:val="1"/>
                <w:color w:val="0077C0"/>
              </w:rPr>
              <w:t>Revenues and Other Income</w:t>
            </w:r>
          </w:p>
        </w:tc>
        <w:tc>
          <w:tcPr>
            <w:tcW w:w="120" w:type="dxa"/>
            <w:vAlign w:val="bottom"/>
            <w:shd w:val="clear" w:color="auto" w:fill="E8EFF9"/>
          </w:tcPr>
          <w:p>
            <w:pPr>
              <w:spacing w:after="0"/>
              <w:rPr>
                <w:sz w:val="16"/>
                <w:szCs w:val="16"/>
                <w:color w:val="auto"/>
              </w:rPr>
            </w:pPr>
          </w:p>
        </w:tc>
        <w:tc>
          <w:tcPr>
            <w:tcW w:w="690" w:type="dxa"/>
            <w:vAlign w:val="bottom"/>
            <w:shd w:val="clear" w:color="auto" w:fill="E8EFF9"/>
          </w:tcPr>
          <w:p>
            <w:pPr>
              <w:spacing w:after="0"/>
              <w:rPr>
                <w:sz w:val="16"/>
                <w:szCs w:val="16"/>
                <w:color w:val="auto"/>
              </w:rPr>
            </w:pPr>
          </w:p>
        </w:tc>
        <w:tc>
          <w:tcPr>
            <w:tcW w:w="170" w:type="dxa"/>
            <w:vAlign w:val="bottom"/>
            <w:shd w:val="clear" w:color="auto" w:fill="E8EFF9"/>
          </w:tcPr>
          <w:p>
            <w:pPr>
              <w:spacing w:after="0"/>
              <w:rPr>
                <w:sz w:val="16"/>
                <w:szCs w:val="16"/>
                <w:color w:val="auto"/>
              </w:rPr>
            </w:pPr>
          </w:p>
        </w:tc>
        <w:tc>
          <w:tcPr>
            <w:tcW w:w="620" w:type="dxa"/>
            <w:vAlign w:val="bottom"/>
            <w:shd w:val="clear" w:color="auto" w:fill="E8EFF9"/>
          </w:tcPr>
          <w:p>
            <w:pPr>
              <w:spacing w:after="0"/>
              <w:rPr>
                <w:sz w:val="16"/>
                <w:szCs w:val="16"/>
                <w:color w:val="auto"/>
              </w:rPr>
            </w:pPr>
          </w:p>
        </w:tc>
        <w:tc>
          <w:tcPr>
            <w:tcW w:w="220" w:type="dxa"/>
            <w:vAlign w:val="bottom"/>
            <w:shd w:val="clear" w:color="auto" w:fill="E8EFF9"/>
          </w:tcPr>
          <w:p>
            <w:pPr>
              <w:spacing w:after="0"/>
              <w:rPr>
                <w:sz w:val="16"/>
                <w:szCs w:val="16"/>
                <w:color w:val="auto"/>
              </w:rPr>
            </w:pPr>
          </w:p>
        </w:tc>
        <w:tc>
          <w:tcPr>
            <w:tcW w:w="660" w:type="dxa"/>
            <w:vAlign w:val="bottom"/>
            <w:shd w:val="clear" w:color="auto" w:fill="E8EFF9"/>
          </w:tcPr>
          <w:p>
            <w:pPr>
              <w:spacing w:after="0"/>
              <w:rPr>
                <w:sz w:val="16"/>
                <w:szCs w:val="16"/>
                <w:color w:val="auto"/>
              </w:rPr>
            </w:pPr>
          </w:p>
        </w:tc>
        <w:tc>
          <w:tcPr>
            <w:tcW w:w="200" w:type="dxa"/>
            <w:vAlign w:val="bottom"/>
            <w:shd w:val="clear" w:color="auto" w:fill="E8EFF9"/>
          </w:tcPr>
          <w:p>
            <w:pPr>
              <w:spacing w:after="0"/>
              <w:rPr>
                <w:sz w:val="16"/>
                <w:szCs w:val="16"/>
                <w:color w:val="auto"/>
              </w:rPr>
            </w:pPr>
          </w:p>
        </w:tc>
        <w:tc>
          <w:tcPr>
            <w:tcW w:w="660" w:type="dxa"/>
            <w:vAlign w:val="bottom"/>
            <w:shd w:val="clear" w:color="auto" w:fill="E8EFF9"/>
          </w:tcPr>
          <w:p>
            <w:pPr>
              <w:spacing w:after="0"/>
              <w:rPr>
                <w:sz w:val="16"/>
                <w:szCs w:val="16"/>
                <w:color w:val="auto"/>
              </w:rPr>
            </w:pPr>
          </w:p>
        </w:tc>
        <w:tc>
          <w:tcPr>
            <w:tcW w:w="220" w:type="dxa"/>
            <w:vAlign w:val="bottom"/>
            <w:shd w:val="clear" w:color="auto" w:fill="E8EFF9"/>
          </w:tcPr>
          <w:p>
            <w:pPr>
              <w:spacing w:after="0"/>
              <w:rPr>
                <w:sz w:val="16"/>
                <w:szCs w:val="16"/>
                <w:color w:val="auto"/>
              </w:rPr>
            </w:pPr>
          </w:p>
        </w:tc>
        <w:tc>
          <w:tcPr>
            <w:tcW w:w="620" w:type="dxa"/>
            <w:vAlign w:val="bottom"/>
            <w:shd w:val="clear" w:color="auto" w:fill="E8EFF9"/>
          </w:tcPr>
          <w:p>
            <w:pPr>
              <w:spacing w:after="0"/>
              <w:rPr>
                <w:sz w:val="16"/>
                <w:szCs w:val="16"/>
                <w:color w:val="auto"/>
              </w:rPr>
            </w:pPr>
          </w:p>
        </w:tc>
        <w:tc>
          <w:tcPr>
            <w:tcW w:w="220" w:type="dxa"/>
            <w:vAlign w:val="bottom"/>
            <w:shd w:val="clear" w:color="auto" w:fill="E8EFF9"/>
          </w:tcPr>
          <w:p>
            <w:pPr>
              <w:spacing w:after="0"/>
              <w:rPr>
                <w:sz w:val="16"/>
                <w:szCs w:val="16"/>
                <w:color w:val="auto"/>
              </w:rPr>
            </w:pPr>
          </w:p>
        </w:tc>
        <w:tc>
          <w:tcPr>
            <w:tcW w:w="660" w:type="dxa"/>
            <w:vAlign w:val="bottom"/>
            <w:shd w:val="clear" w:color="auto" w:fill="E8EFF9"/>
          </w:tcPr>
          <w:p>
            <w:pPr>
              <w:spacing w:after="0"/>
              <w:rPr>
                <w:sz w:val="16"/>
                <w:szCs w:val="16"/>
                <w:color w:val="auto"/>
              </w:rPr>
            </w:pPr>
          </w:p>
        </w:tc>
        <w:tc>
          <w:tcPr>
            <w:tcW w:w="200" w:type="dxa"/>
            <w:vAlign w:val="bottom"/>
            <w:shd w:val="clear" w:color="auto" w:fill="E8EFF9"/>
          </w:tcPr>
          <w:p>
            <w:pPr>
              <w:spacing w:after="0"/>
              <w:rPr>
                <w:sz w:val="16"/>
                <w:szCs w:val="16"/>
                <w:color w:val="auto"/>
              </w:rPr>
            </w:pPr>
          </w:p>
        </w:tc>
        <w:tc>
          <w:tcPr>
            <w:tcW w:w="660" w:type="dxa"/>
            <w:vAlign w:val="bottom"/>
            <w:shd w:val="clear" w:color="auto" w:fill="E8EFF9"/>
          </w:tcPr>
          <w:p>
            <w:pPr>
              <w:spacing w:after="0"/>
              <w:rPr>
                <w:sz w:val="16"/>
                <w:szCs w:val="16"/>
                <w:color w:val="auto"/>
              </w:rPr>
            </w:pPr>
          </w:p>
        </w:tc>
        <w:tc>
          <w:tcPr>
            <w:tcW w:w="220" w:type="dxa"/>
            <w:vAlign w:val="bottom"/>
            <w:shd w:val="clear" w:color="auto" w:fill="E8EFF9"/>
          </w:tcPr>
          <w:p>
            <w:pPr>
              <w:spacing w:after="0"/>
              <w:rPr>
                <w:sz w:val="16"/>
                <w:szCs w:val="16"/>
                <w:color w:val="auto"/>
              </w:rPr>
            </w:pPr>
          </w:p>
        </w:tc>
        <w:tc>
          <w:tcPr>
            <w:tcW w:w="640" w:type="dxa"/>
            <w:vAlign w:val="bottom"/>
            <w:shd w:val="clear" w:color="auto" w:fill="E8EFF9"/>
          </w:tcPr>
          <w:p>
            <w:pPr>
              <w:spacing w:after="0"/>
              <w:rPr>
                <w:sz w:val="16"/>
                <w:szCs w:val="16"/>
                <w:color w:val="auto"/>
              </w:rPr>
            </w:pPr>
          </w:p>
        </w:tc>
      </w:tr>
      <w:tr>
        <w:trPr>
          <w:trHeight w:val="191"/>
        </w:trPr>
        <w:tc>
          <w:tcPr>
            <w:tcW w:w="4460" w:type="dxa"/>
            <w:vAlign w:val="bottom"/>
            <w:shd w:val="clear" w:color="auto" w:fill="E8EFF9"/>
          </w:tcPr>
          <w:p>
            <w:pPr>
              <w:ind w:left="100"/>
              <w:spacing w:after="0"/>
              <w:rPr>
                <w:sz w:val="20"/>
                <w:szCs w:val="20"/>
                <w:color w:val="auto"/>
              </w:rPr>
            </w:pPr>
            <w:r>
              <w:rPr>
                <w:rFonts w:ascii="Times New Roman" w:cs="Times New Roman" w:eastAsia="Times New Roman" w:hAnsi="Times New Roman"/>
                <w:sz w:val="14"/>
                <w:szCs w:val="14"/>
                <w:color w:val="auto"/>
              </w:rPr>
              <w:t>Sales and other operating revenues</w:t>
            </w:r>
          </w:p>
        </w:tc>
        <w:tc>
          <w:tcPr>
            <w:tcW w:w="12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90" w:type="dxa"/>
            <w:vAlign w:val="bottom"/>
            <w:shd w:val="clear" w:color="auto" w:fill="E8EFF9"/>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48,334</w:t>
            </w:r>
          </w:p>
        </w:tc>
        <w:tc>
          <w:tcPr>
            <w:tcW w:w="17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48,926</w:t>
            </w:r>
          </w:p>
        </w:tc>
        <w:tc>
          <w:tcPr>
            <w:tcW w:w="22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49,574</w:t>
            </w:r>
          </w:p>
        </w:tc>
        <w:tc>
          <w:tcPr>
            <w:tcW w:w="2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46,580</w:t>
            </w:r>
          </w:p>
        </w:tc>
        <w:tc>
          <w:tcPr>
            <w:tcW w:w="22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48,933</w:t>
            </w:r>
          </w:p>
        </w:tc>
        <w:tc>
          <w:tcPr>
            <w:tcW w:w="22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E8EFF9"/>
          </w:tcPr>
          <w:p>
            <w:pPr>
              <w:jc w:val="right"/>
              <w:ind w:right="8"/>
              <w:spacing w:after="0"/>
              <w:rPr>
                <w:sz w:val="20"/>
                <w:szCs w:val="20"/>
                <w:color w:val="auto"/>
              </w:rPr>
            </w:pPr>
            <w:r>
              <w:rPr>
                <w:rFonts w:ascii="Times New Roman" w:cs="Times New Roman" w:eastAsia="Times New Roman" w:hAnsi="Times New Roman"/>
                <w:sz w:val="14"/>
                <w:szCs w:val="14"/>
                <w:color w:val="auto"/>
              </w:rPr>
              <w:t>51,922</w:t>
            </w:r>
          </w:p>
        </w:tc>
        <w:tc>
          <w:tcPr>
            <w:tcW w:w="2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47,216</w:t>
            </w:r>
          </w:p>
        </w:tc>
        <w:tc>
          <w:tcPr>
            <w:tcW w:w="22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48,842</w:t>
            </w:r>
          </w:p>
        </w:tc>
      </w:tr>
      <w:tr>
        <w:trPr>
          <w:trHeight w:val="203"/>
        </w:trPr>
        <w:tc>
          <w:tcPr>
            <w:tcW w:w="4460" w:type="dxa"/>
            <w:vAlign w:val="bottom"/>
            <w:shd w:val="clear" w:color="auto" w:fill="E8EFF9"/>
          </w:tcPr>
          <w:p>
            <w:pPr>
              <w:ind w:left="100"/>
              <w:spacing w:after="0"/>
              <w:rPr>
                <w:sz w:val="20"/>
                <w:szCs w:val="20"/>
                <w:color w:val="auto"/>
              </w:rPr>
            </w:pPr>
            <w:r>
              <w:rPr>
                <w:rFonts w:ascii="Times New Roman" w:cs="Times New Roman" w:eastAsia="Times New Roman" w:hAnsi="Times New Roman"/>
                <w:sz w:val="14"/>
                <w:szCs w:val="14"/>
                <w:color w:val="auto"/>
              </w:rPr>
              <w:t>Income from equity affiliates</w:t>
            </w:r>
          </w:p>
        </w:tc>
        <w:tc>
          <w:tcPr>
            <w:tcW w:w="120" w:type="dxa"/>
            <w:vAlign w:val="bottom"/>
            <w:shd w:val="clear" w:color="auto" w:fill="E8EFF9"/>
          </w:tcPr>
          <w:p>
            <w:pPr>
              <w:spacing w:after="0"/>
              <w:rPr>
                <w:sz w:val="17"/>
                <w:szCs w:val="17"/>
                <w:color w:val="auto"/>
              </w:rPr>
            </w:pPr>
          </w:p>
        </w:tc>
        <w:tc>
          <w:tcPr>
            <w:tcW w:w="690" w:type="dxa"/>
            <w:vAlign w:val="bottom"/>
            <w:shd w:val="clear" w:color="auto" w:fill="E8EFF9"/>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688</w:t>
            </w:r>
          </w:p>
        </w:tc>
        <w:tc>
          <w:tcPr>
            <w:tcW w:w="170" w:type="dxa"/>
            <w:vAlign w:val="bottom"/>
            <w:shd w:val="clear" w:color="auto" w:fill="E8EFF9"/>
          </w:tcPr>
          <w:p>
            <w:pPr>
              <w:spacing w:after="0"/>
              <w:rPr>
                <w:sz w:val="17"/>
                <w:szCs w:val="17"/>
                <w:color w:val="auto"/>
              </w:rPr>
            </w:pPr>
          </w:p>
        </w:tc>
        <w:tc>
          <w:tcPr>
            <w:tcW w:w="62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1,261</w:t>
            </w:r>
          </w:p>
        </w:tc>
        <w:tc>
          <w:tcPr>
            <w:tcW w:w="220" w:type="dxa"/>
            <w:vAlign w:val="bottom"/>
            <w:shd w:val="clear" w:color="auto" w:fill="E8EFF9"/>
          </w:tcPr>
          <w:p>
            <w:pPr>
              <w:spacing w:after="0"/>
              <w:rPr>
                <w:sz w:val="17"/>
                <w:szCs w:val="17"/>
                <w:color w:val="auto"/>
              </w:rPr>
            </w:pPr>
          </w:p>
        </w:tc>
        <w:tc>
          <w:tcPr>
            <w:tcW w:w="6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1,206</w:t>
            </w:r>
          </w:p>
        </w:tc>
        <w:tc>
          <w:tcPr>
            <w:tcW w:w="200" w:type="dxa"/>
            <w:vAlign w:val="bottom"/>
            <w:shd w:val="clear" w:color="auto" w:fill="E8EFF9"/>
          </w:tcPr>
          <w:p>
            <w:pPr>
              <w:spacing w:after="0"/>
              <w:rPr>
                <w:sz w:val="17"/>
                <w:szCs w:val="17"/>
                <w:color w:val="auto"/>
              </w:rPr>
            </w:pPr>
          </w:p>
        </w:tc>
        <w:tc>
          <w:tcPr>
            <w:tcW w:w="6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1,441</w:t>
            </w:r>
          </w:p>
        </w:tc>
        <w:tc>
          <w:tcPr>
            <w:tcW w:w="220" w:type="dxa"/>
            <w:vAlign w:val="bottom"/>
            <w:shd w:val="clear" w:color="auto" w:fill="E8EFF9"/>
          </w:tcPr>
          <w:p>
            <w:pPr>
              <w:spacing w:after="0"/>
              <w:rPr>
                <w:sz w:val="17"/>
                <w:szCs w:val="17"/>
                <w:color w:val="auto"/>
              </w:rPr>
            </w:pPr>
          </w:p>
        </w:tc>
        <w:tc>
          <w:tcPr>
            <w:tcW w:w="62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220" w:type="dxa"/>
            <w:vAlign w:val="bottom"/>
            <w:shd w:val="clear" w:color="auto" w:fill="E8EFF9"/>
          </w:tcPr>
          <w:p>
            <w:pPr>
              <w:spacing w:after="0"/>
              <w:rPr>
                <w:sz w:val="17"/>
                <w:szCs w:val="17"/>
                <w:color w:val="auto"/>
              </w:rPr>
            </w:pPr>
          </w:p>
        </w:tc>
        <w:tc>
          <w:tcPr>
            <w:tcW w:w="660" w:type="dxa"/>
            <w:vAlign w:val="bottom"/>
            <w:shd w:val="clear" w:color="auto" w:fill="E8EFF9"/>
          </w:tcPr>
          <w:p>
            <w:pPr>
              <w:jc w:val="right"/>
              <w:ind w:right="8"/>
              <w:spacing w:after="0"/>
              <w:rPr>
                <w:sz w:val="20"/>
                <w:szCs w:val="20"/>
                <w:color w:val="auto"/>
              </w:rPr>
            </w:pPr>
            <w:r>
              <w:rPr>
                <w:rFonts w:ascii="Times New Roman" w:cs="Times New Roman" w:eastAsia="Times New Roman" w:hAnsi="Times New Roman"/>
                <w:sz w:val="14"/>
                <w:szCs w:val="14"/>
                <w:color w:val="auto"/>
              </w:rPr>
              <w:t>1,313</w:t>
            </w:r>
          </w:p>
        </w:tc>
        <w:tc>
          <w:tcPr>
            <w:tcW w:w="200" w:type="dxa"/>
            <w:vAlign w:val="bottom"/>
            <w:shd w:val="clear" w:color="auto" w:fill="E8EFF9"/>
          </w:tcPr>
          <w:p>
            <w:pPr>
              <w:spacing w:after="0"/>
              <w:rPr>
                <w:sz w:val="17"/>
                <w:szCs w:val="17"/>
                <w:color w:val="auto"/>
              </w:rPr>
            </w:pPr>
          </w:p>
        </w:tc>
        <w:tc>
          <w:tcPr>
            <w:tcW w:w="6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220" w:type="dxa"/>
            <w:vAlign w:val="bottom"/>
            <w:shd w:val="clear" w:color="auto" w:fill="E8EFF9"/>
          </w:tcPr>
          <w:p>
            <w:pPr>
              <w:spacing w:after="0"/>
              <w:rPr>
                <w:sz w:val="17"/>
                <w:szCs w:val="17"/>
                <w:color w:val="auto"/>
              </w:rPr>
            </w:pPr>
          </w:p>
        </w:tc>
        <w:tc>
          <w:tcPr>
            <w:tcW w:w="6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1,588</w:t>
            </w:r>
          </w:p>
        </w:tc>
      </w:tr>
      <w:tr>
        <w:trPr>
          <w:trHeight w:val="231"/>
        </w:trPr>
        <w:tc>
          <w:tcPr>
            <w:tcW w:w="4460" w:type="dxa"/>
            <w:vAlign w:val="bottom"/>
            <w:tcBorders>
              <w:bottom w:val="single" w:sz="8" w:color="E8EFF9"/>
            </w:tcBorders>
            <w:shd w:val="clear" w:color="auto" w:fill="E8EFF9"/>
          </w:tcPr>
          <w:p>
            <w:pPr>
              <w:ind w:left="100"/>
              <w:spacing w:after="0"/>
              <w:rPr>
                <w:sz w:val="20"/>
                <w:szCs w:val="20"/>
                <w:color w:val="auto"/>
              </w:rPr>
            </w:pPr>
            <w:r>
              <w:rPr>
                <w:rFonts w:ascii="Times New Roman" w:cs="Times New Roman" w:eastAsia="Times New Roman" w:hAnsi="Times New Roman"/>
                <w:sz w:val="14"/>
                <w:szCs w:val="14"/>
                <w:color w:val="auto"/>
              </w:rPr>
              <w:t>Other income (loss)</w:t>
            </w:r>
          </w:p>
        </w:tc>
        <w:tc>
          <w:tcPr>
            <w:tcW w:w="120" w:type="dxa"/>
            <w:vAlign w:val="bottom"/>
            <w:tcBorders>
              <w:bottom w:val="single" w:sz="8" w:color="E8EFF9"/>
            </w:tcBorders>
            <w:shd w:val="clear" w:color="auto" w:fill="E8EFF9"/>
          </w:tcPr>
          <w:p>
            <w:pPr>
              <w:spacing w:after="0"/>
              <w:rPr>
                <w:sz w:val="19"/>
                <w:szCs w:val="19"/>
                <w:color w:val="auto"/>
              </w:rPr>
            </w:pPr>
          </w:p>
        </w:tc>
        <w:tc>
          <w:tcPr>
            <w:tcW w:w="690" w:type="dxa"/>
            <w:vAlign w:val="bottom"/>
            <w:tcBorders>
              <w:bottom w:val="single" w:sz="8" w:color="E8EFF9"/>
            </w:tcBorders>
            <w:shd w:val="clear" w:color="auto" w:fill="E8EFF9"/>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3,204</w:t>
            </w:r>
          </w:p>
        </w:tc>
        <w:tc>
          <w:tcPr>
            <w:tcW w:w="170" w:type="dxa"/>
            <w:vAlign w:val="bottom"/>
            <w:tcBorders>
              <w:bottom w:val="single" w:sz="8" w:color="E8EFF9"/>
            </w:tcBorders>
            <w:shd w:val="clear" w:color="auto" w:fill="E8EFF9"/>
          </w:tcPr>
          <w:p>
            <w:pPr>
              <w:spacing w:after="0"/>
              <w:rPr>
                <w:sz w:val="19"/>
                <w:szCs w:val="19"/>
                <w:color w:val="auto"/>
              </w:rPr>
            </w:pPr>
          </w:p>
        </w:tc>
        <w:tc>
          <w:tcPr>
            <w:tcW w:w="620" w:type="dxa"/>
            <w:vAlign w:val="bottom"/>
            <w:tcBorders>
              <w:bottom w:val="single" w:sz="8" w:color="E8EFF9"/>
            </w:tcBorders>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482</w:t>
            </w:r>
          </w:p>
        </w:tc>
        <w:tc>
          <w:tcPr>
            <w:tcW w:w="220" w:type="dxa"/>
            <w:vAlign w:val="bottom"/>
            <w:tcBorders>
              <w:bottom w:val="single" w:sz="8" w:color="E8EFF9"/>
            </w:tcBorders>
            <w:shd w:val="clear" w:color="auto" w:fill="E8EFF9"/>
          </w:tcPr>
          <w:p>
            <w:pPr>
              <w:spacing w:after="0"/>
              <w:rPr>
                <w:sz w:val="19"/>
                <w:szCs w:val="19"/>
                <w:color w:val="auto"/>
              </w:rPr>
            </w:pPr>
          </w:p>
        </w:tc>
        <w:tc>
          <w:tcPr>
            <w:tcW w:w="660" w:type="dxa"/>
            <w:vAlign w:val="bottom"/>
            <w:tcBorders>
              <w:bottom w:val="single" w:sz="8" w:color="E8EFF9"/>
            </w:tcBorders>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401</w:t>
            </w:r>
          </w:p>
        </w:tc>
        <w:tc>
          <w:tcPr>
            <w:tcW w:w="200" w:type="dxa"/>
            <w:vAlign w:val="bottom"/>
            <w:tcBorders>
              <w:bottom w:val="single" w:sz="8" w:color="E8EFF9"/>
            </w:tcBorders>
            <w:shd w:val="clear" w:color="auto" w:fill="E8EFF9"/>
          </w:tcPr>
          <w:p>
            <w:pPr>
              <w:spacing w:after="0"/>
              <w:rPr>
                <w:sz w:val="19"/>
                <w:szCs w:val="19"/>
                <w:color w:val="auto"/>
              </w:rPr>
            </w:pPr>
          </w:p>
        </w:tc>
        <w:tc>
          <w:tcPr>
            <w:tcW w:w="660" w:type="dxa"/>
            <w:vAlign w:val="bottom"/>
            <w:tcBorders>
              <w:bottom w:val="single" w:sz="8" w:color="E8EFF9"/>
            </w:tcBorders>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695</w:t>
            </w:r>
          </w:p>
        </w:tc>
        <w:tc>
          <w:tcPr>
            <w:tcW w:w="220" w:type="dxa"/>
            <w:vAlign w:val="bottom"/>
            <w:tcBorders>
              <w:bottom w:val="single" w:sz="8" w:color="E8EFF9"/>
            </w:tcBorders>
            <w:shd w:val="clear" w:color="auto" w:fill="E8EFF9"/>
          </w:tcPr>
          <w:p>
            <w:pPr>
              <w:spacing w:after="0"/>
              <w:rPr>
                <w:sz w:val="19"/>
                <w:szCs w:val="19"/>
                <w:color w:val="auto"/>
              </w:rPr>
            </w:pPr>
          </w:p>
        </w:tc>
        <w:tc>
          <w:tcPr>
            <w:tcW w:w="620" w:type="dxa"/>
            <w:vAlign w:val="bottom"/>
            <w:tcBorders>
              <w:bottom w:val="single" w:sz="8" w:color="E8EFF9"/>
            </w:tcBorders>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(2,743)</w:t>
            </w:r>
          </w:p>
        </w:tc>
        <w:tc>
          <w:tcPr>
            <w:tcW w:w="220" w:type="dxa"/>
            <w:vAlign w:val="bottom"/>
            <w:tcBorders>
              <w:bottom w:val="single" w:sz="8" w:color="E8EFF9"/>
            </w:tcBorders>
            <w:shd w:val="clear" w:color="auto" w:fill="E8EFF9"/>
          </w:tcPr>
          <w:p>
            <w:pPr>
              <w:spacing w:after="0"/>
              <w:rPr>
                <w:sz w:val="19"/>
                <w:szCs w:val="19"/>
                <w:color w:val="auto"/>
              </w:rPr>
            </w:pPr>
          </w:p>
        </w:tc>
        <w:tc>
          <w:tcPr>
            <w:tcW w:w="660" w:type="dxa"/>
            <w:vAlign w:val="bottom"/>
            <w:tcBorders>
              <w:bottom w:val="single" w:sz="8" w:color="E8EFF9"/>
            </w:tcBorders>
            <w:shd w:val="clear" w:color="auto" w:fill="E8EFF9"/>
          </w:tcPr>
          <w:p>
            <w:pPr>
              <w:jc w:val="right"/>
              <w:ind w:right="8"/>
              <w:spacing w:after="0"/>
              <w:rPr>
                <w:sz w:val="20"/>
                <w:szCs w:val="20"/>
                <w:color w:val="auto"/>
              </w:rPr>
            </w:pPr>
            <w:r>
              <w:rPr>
                <w:rFonts w:ascii="Times New Roman" w:cs="Times New Roman" w:eastAsia="Times New Roman" w:hAnsi="Times New Roman"/>
                <w:sz w:val="14"/>
                <w:szCs w:val="14"/>
                <w:color w:val="auto"/>
              </w:rPr>
              <w:t>845</w:t>
            </w:r>
          </w:p>
        </w:tc>
        <w:tc>
          <w:tcPr>
            <w:tcW w:w="200" w:type="dxa"/>
            <w:vAlign w:val="bottom"/>
            <w:tcBorders>
              <w:bottom w:val="single" w:sz="8" w:color="E8EFF9"/>
            </w:tcBorders>
            <w:shd w:val="clear" w:color="auto" w:fill="E8EFF9"/>
          </w:tcPr>
          <w:p>
            <w:pPr>
              <w:spacing w:after="0"/>
              <w:rPr>
                <w:sz w:val="19"/>
                <w:szCs w:val="19"/>
                <w:color w:val="auto"/>
              </w:rPr>
            </w:pPr>
          </w:p>
        </w:tc>
        <w:tc>
          <w:tcPr>
            <w:tcW w:w="660" w:type="dxa"/>
            <w:vAlign w:val="bottom"/>
            <w:tcBorders>
              <w:bottom w:val="single" w:sz="8" w:color="E8EFF9"/>
            </w:tcBorders>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220" w:type="dxa"/>
            <w:vAlign w:val="bottom"/>
            <w:tcBorders>
              <w:bottom w:val="single" w:sz="8" w:color="E8EFF9"/>
            </w:tcBorders>
            <w:shd w:val="clear" w:color="auto" w:fill="E8EFF9"/>
          </w:tcPr>
          <w:p>
            <w:pPr>
              <w:spacing w:after="0"/>
              <w:rPr>
                <w:sz w:val="19"/>
                <w:szCs w:val="19"/>
                <w:color w:val="auto"/>
              </w:rPr>
            </w:pPr>
          </w:p>
        </w:tc>
        <w:tc>
          <w:tcPr>
            <w:tcW w:w="640" w:type="dxa"/>
            <w:vAlign w:val="bottom"/>
            <w:tcBorders>
              <w:bottom w:val="single" w:sz="8" w:color="E8EFF9"/>
            </w:tcBorders>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363</w:t>
            </w:r>
          </w:p>
        </w:tc>
      </w:tr>
      <w:tr>
        <w:trPr>
          <w:trHeight w:val="190"/>
        </w:trPr>
        <w:tc>
          <w:tcPr>
            <w:tcW w:w="4460" w:type="dxa"/>
            <w:vAlign w:val="bottom"/>
            <w:tcBorders>
              <w:top w:val="single" w:sz="8" w:color="0077C0"/>
              <w:bottom w:val="single" w:sz="8" w:color="0077C0"/>
            </w:tcBorders>
            <w:shd w:val="clear" w:color="auto" w:fill="E8EFF9"/>
          </w:tcPr>
          <w:p>
            <w:pPr>
              <w:ind w:left="20"/>
              <w:spacing w:after="0"/>
              <w:rPr>
                <w:sz w:val="20"/>
                <w:szCs w:val="20"/>
                <w:color w:val="auto"/>
              </w:rPr>
            </w:pPr>
            <w:r>
              <w:rPr>
                <w:rFonts w:ascii="Times New Roman" w:cs="Times New Roman" w:eastAsia="Times New Roman" w:hAnsi="Times New Roman"/>
                <w:sz w:val="14"/>
                <w:szCs w:val="14"/>
                <w:b w:val="1"/>
                <w:bCs w:val="1"/>
                <w:color w:val="0077C0"/>
              </w:rPr>
              <w:t>Total Revenues and Other Income</w:t>
            </w:r>
          </w:p>
        </w:tc>
        <w:tc>
          <w:tcPr>
            <w:tcW w:w="120" w:type="dxa"/>
            <w:vAlign w:val="bottom"/>
            <w:tcBorders>
              <w:top w:val="single" w:sz="8" w:color="0077C0"/>
              <w:bottom w:val="single" w:sz="8" w:color="0077C0"/>
            </w:tcBorders>
            <w:shd w:val="clear" w:color="auto" w:fill="E8EFF9"/>
          </w:tcPr>
          <w:p>
            <w:pPr>
              <w:spacing w:after="0"/>
              <w:rPr>
                <w:sz w:val="16"/>
                <w:szCs w:val="16"/>
                <w:color w:val="auto"/>
              </w:rPr>
            </w:pPr>
          </w:p>
        </w:tc>
        <w:tc>
          <w:tcPr>
            <w:tcW w:w="690" w:type="dxa"/>
            <w:vAlign w:val="bottom"/>
            <w:tcBorders>
              <w:top w:val="single" w:sz="8" w:color="0077C0"/>
              <w:bottom w:val="single" w:sz="8" w:color="0077C0"/>
            </w:tcBorders>
            <w:shd w:val="clear" w:color="auto" w:fill="E8EFF9"/>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52,226</w:t>
            </w:r>
          </w:p>
        </w:tc>
        <w:tc>
          <w:tcPr>
            <w:tcW w:w="170" w:type="dxa"/>
            <w:vAlign w:val="bottom"/>
            <w:tcBorders>
              <w:top w:val="single" w:sz="8" w:color="0077C0"/>
              <w:bottom w:val="single" w:sz="8" w:color="0077C0"/>
            </w:tcBorders>
            <w:shd w:val="clear" w:color="auto" w:fill="E8EFF9"/>
          </w:tcPr>
          <w:p>
            <w:pPr>
              <w:spacing w:after="0"/>
              <w:rPr>
                <w:sz w:val="16"/>
                <w:szCs w:val="16"/>
                <w:color w:val="auto"/>
              </w:rPr>
            </w:pPr>
          </w:p>
        </w:tc>
        <w:tc>
          <w:tcPr>
            <w:tcW w:w="620" w:type="dxa"/>
            <w:vAlign w:val="bottom"/>
            <w:tcBorders>
              <w:top w:val="single" w:sz="8" w:color="0077C0"/>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50,669</w:t>
            </w:r>
          </w:p>
        </w:tc>
        <w:tc>
          <w:tcPr>
            <w:tcW w:w="220" w:type="dxa"/>
            <w:vAlign w:val="bottom"/>
            <w:tcBorders>
              <w:top w:val="single" w:sz="8" w:color="0077C0"/>
              <w:bottom w:val="single" w:sz="8" w:color="0077C0"/>
            </w:tcBorders>
            <w:shd w:val="clear" w:color="auto" w:fill="E8EFF9"/>
          </w:tcPr>
          <w:p>
            <w:pPr>
              <w:spacing w:after="0"/>
              <w:rPr>
                <w:sz w:val="16"/>
                <w:szCs w:val="16"/>
                <w:color w:val="auto"/>
              </w:rPr>
            </w:pPr>
          </w:p>
        </w:tc>
        <w:tc>
          <w:tcPr>
            <w:tcW w:w="660" w:type="dxa"/>
            <w:vAlign w:val="bottom"/>
            <w:tcBorders>
              <w:top w:val="single" w:sz="8" w:color="0077C0"/>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51,181</w:t>
            </w:r>
          </w:p>
        </w:tc>
        <w:tc>
          <w:tcPr>
            <w:tcW w:w="200" w:type="dxa"/>
            <w:vAlign w:val="bottom"/>
            <w:tcBorders>
              <w:top w:val="single" w:sz="8" w:color="0077C0"/>
              <w:bottom w:val="single" w:sz="8" w:color="0077C0"/>
            </w:tcBorders>
            <w:shd w:val="clear" w:color="auto" w:fill="E8EFF9"/>
          </w:tcPr>
          <w:p>
            <w:pPr>
              <w:spacing w:after="0"/>
              <w:rPr>
                <w:sz w:val="16"/>
                <w:szCs w:val="16"/>
                <w:color w:val="auto"/>
              </w:rPr>
            </w:pPr>
          </w:p>
        </w:tc>
        <w:tc>
          <w:tcPr>
            <w:tcW w:w="660" w:type="dxa"/>
            <w:vAlign w:val="bottom"/>
            <w:tcBorders>
              <w:top w:val="single" w:sz="8" w:color="0077C0"/>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48,716</w:t>
            </w:r>
          </w:p>
        </w:tc>
        <w:tc>
          <w:tcPr>
            <w:tcW w:w="220" w:type="dxa"/>
            <w:vAlign w:val="bottom"/>
            <w:tcBorders>
              <w:top w:val="single" w:sz="8" w:color="0077C0"/>
              <w:bottom w:val="single" w:sz="8" w:color="0077C0"/>
            </w:tcBorders>
            <w:shd w:val="clear" w:color="auto" w:fill="E8EFF9"/>
          </w:tcPr>
          <w:p>
            <w:pPr>
              <w:spacing w:after="0"/>
              <w:rPr>
                <w:sz w:val="16"/>
                <w:szCs w:val="16"/>
                <w:color w:val="auto"/>
              </w:rPr>
            </w:pPr>
          </w:p>
        </w:tc>
        <w:tc>
          <w:tcPr>
            <w:tcW w:w="620" w:type="dxa"/>
            <w:vAlign w:val="bottom"/>
            <w:tcBorders>
              <w:top w:val="single" w:sz="8" w:color="0077C0"/>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47,180</w:t>
            </w:r>
          </w:p>
        </w:tc>
        <w:tc>
          <w:tcPr>
            <w:tcW w:w="220" w:type="dxa"/>
            <w:vAlign w:val="bottom"/>
            <w:tcBorders>
              <w:top w:val="single" w:sz="8" w:color="0077C0"/>
              <w:bottom w:val="single" w:sz="8" w:color="0077C0"/>
            </w:tcBorders>
            <w:shd w:val="clear" w:color="auto" w:fill="E8EFF9"/>
          </w:tcPr>
          <w:p>
            <w:pPr>
              <w:spacing w:after="0"/>
              <w:rPr>
                <w:sz w:val="16"/>
                <w:szCs w:val="16"/>
                <w:color w:val="auto"/>
              </w:rPr>
            </w:pPr>
          </w:p>
        </w:tc>
        <w:tc>
          <w:tcPr>
            <w:tcW w:w="660" w:type="dxa"/>
            <w:vAlign w:val="bottom"/>
            <w:tcBorders>
              <w:top w:val="single" w:sz="8" w:color="0077C0"/>
              <w:bottom w:val="single" w:sz="8" w:color="0077C0"/>
            </w:tcBorders>
            <w:shd w:val="clear" w:color="auto" w:fill="E8EFF9"/>
          </w:tcPr>
          <w:p>
            <w:pPr>
              <w:jc w:val="right"/>
              <w:ind w:right="8"/>
              <w:spacing w:after="0"/>
              <w:rPr>
                <w:sz w:val="20"/>
                <w:szCs w:val="20"/>
                <w:color w:val="auto"/>
              </w:rPr>
            </w:pPr>
            <w:r>
              <w:rPr>
                <w:rFonts w:ascii="Times New Roman" w:cs="Times New Roman" w:eastAsia="Times New Roman" w:hAnsi="Times New Roman"/>
                <w:sz w:val="14"/>
                <w:szCs w:val="14"/>
                <w:color w:val="auto"/>
              </w:rPr>
              <w:t>54,080</w:t>
            </w:r>
          </w:p>
        </w:tc>
        <w:tc>
          <w:tcPr>
            <w:tcW w:w="200" w:type="dxa"/>
            <w:vAlign w:val="bottom"/>
            <w:tcBorders>
              <w:top w:val="single" w:sz="8" w:color="0077C0"/>
              <w:bottom w:val="single" w:sz="8" w:color="0077C0"/>
            </w:tcBorders>
            <w:shd w:val="clear" w:color="auto" w:fill="E8EFF9"/>
          </w:tcPr>
          <w:p>
            <w:pPr>
              <w:spacing w:after="0"/>
              <w:rPr>
                <w:sz w:val="16"/>
                <w:szCs w:val="16"/>
                <w:color w:val="auto"/>
              </w:rPr>
            </w:pPr>
          </w:p>
        </w:tc>
        <w:tc>
          <w:tcPr>
            <w:tcW w:w="660" w:type="dxa"/>
            <w:vAlign w:val="bottom"/>
            <w:tcBorders>
              <w:top w:val="single" w:sz="8" w:color="0077C0"/>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48,896</w:t>
            </w:r>
          </w:p>
        </w:tc>
        <w:tc>
          <w:tcPr>
            <w:tcW w:w="220" w:type="dxa"/>
            <w:vAlign w:val="bottom"/>
            <w:tcBorders>
              <w:top w:val="single" w:sz="8" w:color="0077C0"/>
              <w:bottom w:val="single" w:sz="8" w:color="0077C0"/>
            </w:tcBorders>
            <w:shd w:val="clear" w:color="auto" w:fill="E8EFF9"/>
          </w:tcPr>
          <w:p>
            <w:pPr>
              <w:spacing w:after="0"/>
              <w:rPr>
                <w:sz w:val="16"/>
                <w:szCs w:val="16"/>
                <w:color w:val="auto"/>
              </w:rPr>
            </w:pPr>
          </w:p>
        </w:tc>
        <w:tc>
          <w:tcPr>
            <w:tcW w:w="640" w:type="dxa"/>
            <w:vAlign w:val="bottom"/>
            <w:tcBorders>
              <w:top w:val="single" w:sz="8" w:color="0077C0"/>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50,793</w:t>
            </w:r>
          </w:p>
        </w:tc>
      </w:tr>
      <w:tr>
        <w:trPr>
          <w:trHeight w:val="190"/>
        </w:trPr>
        <w:tc>
          <w:tcPr>
            <w:tcW w:w="4460" w:type="dxa"/>
            <w:vAlign w:val="bottom"/>
            <w:shd w:val="clear" w:color="auto" w:fill="E8EFF9"/>
          </w:tcPr>
          <w:p>
            <w:pPr>
              <w:ind w:left="20"/>
              <w:spacing w:after="0"/>
              <w:rPr>
                <w:sz w:val="20"/>
                <w:szCs w:val="20"/>
                <w:color w:val="auto"/>
              </w:rPr>
            </w:pPr>
            <w:r>
              <w:rPr>
                <w:rFonts w:ascii="Times New Roman" w:cs="Times New Roman" w:eastAsia="Times New Roman" w:hAnsi="Times New Roman"/>
                <w:sz w:val="14"/>
                <w:szCs w:val="14"/>
                <w:b w:val="1"/>
                <w:bCs w:val="1"/>
                <w:color w:val="0077C0"/>
              </w:rPr>
              <w:t>Costs and Other Deductions</w:t>
            </w:r>
          </w:p>
        </w:tc>
        <w:tc>
          <w:tcPr>
            <w:tcW w:w="120" w:type="dxa"/>
            <w:vAlign w:val="bottom"/>
            <w:shd w:val="clear" w:color="auto" w:fill="E8EFF9"/>
          </w:tcPr>
          <w:p>
            <w:pPr>
              <w:spacing w:after="0"/>
              <w:rPr>
                <w:sz w:val="16"/>
                <w:szCs w:val="16"/>
                <w:color w:val="auto"/>
              </w:rPr>
            </w:pPr>
          </w:p>
        </w:tc>
        <w:tc>
          <w:tcPr>
            <w:tcW w:w="690" w:type="dxa"/>
            <w:vAlign w:val="bottom"/>
            <w:shd w:val="clear" w:color="auto" w:fill="E8EFF9"/>
          </w:tcPr>
          <w:p>
            <w:pPr>
              <w:spacing w:after="0"/>
              <w:rPr>
                <w:sz w:val="16"/>
                <w:szCs w:val="16"/>
                <w:color w:val="auto"/>
              </w:rPr>
            </w:pPr>
          </w:p>
        </w:tc>
        <w:tc>
          <w:tcPr>
            <w:tcW w:w="170" w:type="dxa"/>
            <w:vAlign w:val="bottom"/>
            <w:shd w:val="clear" w:color="auto" w:fill="E8EFF9"/>
          </w:tcPr>
          <w:p>
            <w:pPr>
              <w:spacing w:after="0"/>
              <w:rPr>
                <w:sz w:val="16"/>
                <w:szCs w:val="16"/>
                <w:color w:val="auto"/>
              </w:rPr>
            </w:pPr>
          </w:p>
        </w:tc>
        <w:tc>
          <w:tcPr>
            <w:tcW w:w="620" w:type="dxa"/>
            <w:vAlign w:val="bottom"/>
            <w:shd w:val="clear" w:color="auto" w:fill="E8EFF9"/>
          </w:tcPr>
          <w:p>
            <w:pPr>
              <w:spacing w:after="0"/>
              <w:rPr>
                <w:sz w:val="16"/>
                <w:szCs w:val="16"/>
                <w:color w:val="auto"/>
              </w:rPr>
            </w:pPr>
          </w:p>
        </w:tc>
        <w:tc>
          <w:tcPr>
            <w:tcW w:w="220" w:type="dxa"/>
            <w:vAlign w:val="bottom"/>
            <w:shd w:val="clear" w:color="auto" w:fill="E8EFF9"/>
          </w:tcPr>
          <w:p>
            <w:pPr>
              <w:spacing w:after="0"/>
              <w:rPr>
                <w:sz w:val="16"/>
                <w:szCs w:val="16"/>
                <w:color w:val="auto"/>
              </w:rPr>
            </w:pPr>
          </w:p>
        </w:tc>
        <w:tc>
          <w:tcPr>
            <w:tcW w:w="660" w:type="dxa"/>
            <w:vAlign w:val="bottom"/>
            <w:shd w:val="clear" w:color="auto" w:fill="E8EFF9"/>
          </w:tcPr>
          <w:p>
            <w:pPr>
              <w:spacing w:after="0"/>
              <w:rPr>
                <w:sz w:val="16"/>
                <w:szCs w:val="16"/>
                <w:color w:val="auto"/>
              </w:rPr>
            </w:pPr>
          </w:p>
        </w:tc>
        <w:tc>
          <w:tcPr>
            <w:tcW w:w="200" w:type="dxa"/>
            <w:vAlign w:val="bottom"/>
            <w:shd w:val="clear" w:color="auto" w:fill="E8EFF9"/>
          </w:tcPr>
          <w:p>
            <w:pPr>
              <w:spacing w:after="0"/>
              <w:rPr>
                <w:sz w:val="16"/>
                <w:szCs w:val="16"/>
                <w:color w:val="auto"/>
              </w:rPr>
            </w:pPr>
          </w:p>
        </w:tc>
        <w:tc>
          <w:tcPr>
            <w:tcW w:w="660" w:type="dxa"/>
            <w:vAlign w:val="bottom"/>
            <w:shd w:val="clear" w:color="auto" w:fill="E8EFF9"/>
          </w:tcPr>
          <w:p>
            <w:pPr>
              <w:spacing w:after="0"/>
              <w:rPr>
                <w:sz w:val="16"/>
                <w:szCs w:val="16"/>
                <w:color w:val="auto"/>
              </w:rPr>
            </w:pPr>
          </w:p>
        </w:tc>
        <w:tc>
          <w:tcPr>
            <w:tcW w:w="220" w:type="dxa"/>
            <w:vAlign w:val="bottom"/>
            <w:shd w:val="clear" w:color="auto" w:fill="E8EFF9"/>
          </w:tcPr>
          <w:p>
            <w:pPr>
              <w:spacing w:after="0"/>
              <w:rPr>
                <w:sz w:val="16"/>
                <w:szCs w:val="16"/>
                <w:color w:val="auto"/>
              </w:rPr>
            </w:pPr>
          </w:p>
        </w:tc>
        <w:tc>
          <w:tcPr>
            <w:tcW w:w="620" w:type="dxa"/>
            <w:vAlign w:val="bottom"/>
            <w:shd w:val="clear" w:color="auto" w:fill="E8EFF9"/>
          </w:tcPr>
          <w:p>
            <w:pPr>
              <w:spacing w:after="0"/>
              <w:rPr>
                <w:sz w:val="16"/>
                <w:szCs w:val="16"/>
                <w:color w:val="auto"/>
              </w:rPr>
            </w:pPr>
          </w:p>
        </w:tc>
        <w:tc>
          <w:tcPr>
            <w:tcW w:w="220" w:type="dxa"/>
            <w:vAlign w:val="bottom"/>
            <w:shd w:val="clear" w:color="auto" w:fill="E8EFF9"/>
          </w:tcPr>
          <w:p>
            <w:pPr>
              <w:spacing w:after="0"/>
              <w:rPr>
                <w:sz w:val="16"/>
                <w:szCs w:val="16"/>
                <w:color w:val="auto"/>
              </w:rPr>
            </w:pPr>
          </w:p>
        </w:tc>
        <w:tc>
          <w:tcPr>
            <w:tcW w:w="660" w:type="dxa"/>
            <w:vAlign w:val="bottom"/>
            <w:shd w:val="clear" w:color="auto" w:fill="E8EFF9"/>
          </w:tcPr>
          <w:p>
            <w:pPr>
              <w:spacing w:after="0"/>
              <w:rPr>
                <w:sz w:val="16"/>
                <w:szCs w:val="16"/>
                <w:color w:val="auto"/>
              </w:rPr>
            </w:pPr>
          </w:p>
        </w:tc>
        <w:tc>
          <w:tcPr>
            <w:tcW w:w="200" w:type="dxa"/>
            <w:vAlign w:val="bottom"/>
            <w:shd w:val="clear" w:color="auto" w:fill="E8EFF9"/>
          </w:tcPr>
          <w:p>
            <w:pPr>
              <w:spacing w:after="0"/>
              <w:rPr>
                <w:sz w:val="16"/>
                <w:szCs w:val="16"/>
                <w:color w:val="auto"/>
              </w:rPr>
            </w:pPr>
          </w:p>
        </w:tc>
        <w:tc>
          <w:tcPr>
            <w:tcW w:w="660" w:type="dxa"/>
            <w:vAlign w:val="bottom"/>
            <w:shd w:val="clear" w:color="auto" w:fill="E8EFF9"/>
          </w:tcPr>
          <w:p>
            <w:pPr>
              <w:spacing w:after="0"/>
              <w:rPr>
                <w:sz w:val="16"/>
                <w:szCs w:val="16"/>
                <w:color w:val="auto"/>
              </w:rPr>
            </w:pPr>
          </w:p>
        </w:tc>
        <w:tc>
          <w:tcPr>
            <w:tcW w:w="220" w:type="dxa"/>
            <w:vAlign w:val="bottom"/>
            <w:shd w:val="clear" w:color="auto" w:fill="E8EFF9"/>
          </w:tcPr>
          <w:p>
            <w:pPr>
              <w:spacing w:after="0"/>
              <w:rPr>
                <w:sz w:val="16"/>
                <w:szCs w:val="16"/>
                <w:color w:val="auto"/>
              </w:rPr>
            </w:pPr>
          </w:p>
        </w:tc>
        <w:tc>
          <w:tcPr>
            <w:tcW w:w="640" w:type="dxa"/>
            <w:vAlign w:val="bottom"/>
            <w:shd w:val="clear" w:color="auto" w:fill="E8EFF9"/>
          </w:tcPr>
          <w:p>
            <w:pPr>
              <w:spacing w:after="0"/>
              <w:rPr>
                <w:sz w:val="16"/>
                <w:szCs w:val="16"/>
                <w:color w:val="auto"/>
              </w:rPr>
            </w:pPr>
          </w:p>
        </w:tc>
      </w:tr>
      <w:tr>
        <w:trPr>
          <w:trHeight w:val="191"/>
        </w:trPr>
        <w:tc>
          <w:tcPr>
            <w:tcW w:w="4460" w:type="dxa"/>
            <w:vAlign w:val="bottom"/>
            <w:shd w:val="clear" w:color="auto" w:fill="E8EFF9"/>
          </w:tcPr>
          <w:p>
            <w:pPr>
              <w:ind w:left="100"/>
              <w:spacing w:after="0"/>
              <w:rPr>
                <w:sz w:val="20"/>
                <w:szCs w:val="20"/>
                <w:color w:val="auto"/>
              </w:rPr>
            </w:pPr>
            <w:r>
              <w:rPr>
                <w:rFonts w:ascii="Times New Roman" w:cs="Times New Roman" w:eastAsia="Times New Roman" w:hAnsi="Times New Roman"/>
                <w:sz w:val="14"/>
                <w:szCs w:val="14"/>
                <w:color w:val="auto"/>
              </w:rPr>
              <w:t>Purchased crude oil and products</w:t>
            </w:r>
          </w:p>
        </w:tc>
        <w:tc>
          <w:tcPr>
            <w:tcW w:w="120" w:type="dxa"/>
            <w:vAlign w:val="bottom"/>
            <w:shd w:val="clear" w:color="auto" w:fill="E8EFF9"/>
          </w:tcPr>
          <w:p>
            <w:pPr>
              <w:spacing w:after="0"/>
              <w:rPr>
                <w:sz w:val="16"/>
                <w:szCs w:val="16"/>
                <w:color w:val="auto"/>
              </w:rPr>
            </w:pPr>
          </w:p>
        </w:tc>
        <w:tc>
          <w:tcPr>
            <w:tcW w:w="690" w:type="dxa"/>
            <w:vAlign w:val="bottom"/>
            <w:shd w:val="clear" w:color="auto" w:fill="E8EFF9"/>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30,148</w:t>
            </w:r>
          </w:p>
        </w:tc>
        <w:tc>
          <w:tcPr>
            <w:tcW w:w="170" w:type="dxa"/>
            <w:vAlign w:val="bottom"/>
            <w:shd w:val="clear" w:color="auto" w:fill="E8EFF9"/>
          </w:tcPr>
          <w:p>
            <w:pPr>
              <w:spacing w:after="0"/>
              <w:rPr>
                <w:sz w:val="16"/>
                <w:szCs w:val="16"/>
                <w:color w:val="auto"/>
              </w:rPr>
            </w:pPr>
          </w:p>
        </w:tc>
        <w:tc>
          <w:tcPr>
            <w:tcW w:w="62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30,450</w:t>
            </w:r>
          </w:p>
        </w:tc>
        <w:tc>
          <w:tcPr>
            <w:tcW w:w="220" w:type="dxa"/>
            <w:vAlign w:val="bottom"/>
            <w:shd w:val="clear" w:color="auto" w:fill="E8EFF9"/>
          </w:tcPr>
          <w:p>
            <w:pPr>
              <w:spacing w:after="0"/>
              <w:rPr>
                <w:sz w:val="16"/>
                <w:szCs w:val="16"/>
                <w:color w:val="auto"/>
              </w:rPr>
            </w:pPr>
          </w:p>
        </w:tc>
        <w:tc>
          <w:tcPr>
            <w:tcW w:w="6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30,867</w:t>
            </w:r>
          </w:p>
        </w:tc>
        <w:tc>
          <w:tcPr>
            <w:tcW w:w="200" w:type="dxa"/>
            <w:vAlign w:val="bottom"/>
            <w:shd w:val="clear" w:color="auto" w:fill="E8EFF9"/>
          </w:tcPr>
          <w:p>
            <w:pPr>
              <w:spacing w:after="0"/>
              <w:rPr>
                <w:sz w:val="16"/>
                <w:szCs w:val="16"/>
                <w:color w:val="auto"/>
              </w:rPr>
            </w:pPr>
          </w:p>
        </w:tc>
        <w:tc>
          <w:tcPr>
            <w:tcW w:w="6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27,741</w:t>
            </w:r>
          </w:p>
        </w:tc>
        <w:tc>
          <w:tcPr>
            <w:tcW w:w="220" w:type="dxa"/>
            <w:vAlign w:val="bottom"/>
            <w:shd w:val="clear" w:color="auto" w:fill="E8EFF9"/>
          </w:tcPr>
          <w:p>
            <w:pPr>
              <w:spacing w:after="0"/>
              <w:rPr>
                <w:sz w:val="16"/>
                <w:szCs w:val="16"/>
                <w:color w:val="auto"/>
              </w:rPr>
            </w:pPr>
          </w:p>
        </w:tc>
        <w:tc>
          <w:tcPr>
            <w:tcW w:w="62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28,477</w:t>
            </w:r>
          </w:p>
        </w:tc>
        <w:tc>
          <w:tcPr>
            <w:tcW w:w="220" w:type="dxa"/>
            <w:vAlign w:val="bottom"/>
            <w:shd w:val="clear" w:color="auto" w:fill="E8EFF9"/>
          </w:tcPr>
          <w:p>
            <w:pPr>
              <w:spacing w:after="0"/>
              <w:rPr>
                <w:sz w:val="16"/>
                <w:szCs w:val="16"/>
                <w:color w:val="auto"/>
              </w:rPr>
            </w:pPr>
          </w:p>
        </w:tc>
        <w:tc>
          <w:tcPr>
            <w:tcW w:w="660" w:type="dxa"/>
            <w:vAlign w:val="bottom"/>
            <w:shd w:val="clear" w:color="auto" w:fill="E8EFF9"/>
          </w:tcPr>
          <w:p>
            <w:pPr>
              <w:jc w:val="right"/>
              <w:ind w:right="8"/>
              <w:spacing w:after="0"/>
              <w:rPr>
                <w:sz w:val="20"/>
                <w:szCs w:val="20"/>
                <w:color w:val="auto"/>
              </w:rPr>
            </w:pPr>
            <w:r>
              <w:rPr>
                <w:rFonts w:ascii="Times New Roman" w:cs="Times New Roman" w:eastAsia="Times New Roman" w:hAnsi="Times New Roman"/>
                <w:sz w:val="14"/>
                <w:szCs w:val="14"/>
                <w:color w:val="auto"/>
              </w:rPr>
              <w:t>32,328</w:t>
            </w:r>
          </w:p>
        </w:tc>
        <w:tc>
          <w:tcPr>
            <w:tcW w:w="200" w:type="dxa"/>
            <w:vAlign w:val="bottom"/>
            <w:shd w:val="clear" w:color="auto" w:fill="E8EFF9"/>
          </w:tcPr>
          <w:p>
            <w:pPr>
              <w:spacing w:after="0"/>
              <w:rPr>
                <w:sz w:val="16"/>
                <w:szCs w:val="16"/>
                <w:color w:val="auto"/>
              </w:rPr>
            </w:pPr>
          </w:p>
        </w:tc>
        <w:tc>
          <w:tcPr>
            <w:tcW w:w="6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28,984</w:t>
            </w:r>
          </w:p>
        </w:tc>
        <w:tc>
          <w:tcPr>
            <w:tcW w:w="220" w:type="dxa"/>
            <w:vAlign w:val="bottom"/>
            <w:shd w:val="clear" w:color="auto" w:fill="E8EFF9"/>
          </w:tcPr>
          <w:p>
            <w:pPr>
              <w:spacing w:after="0"/>
              <w:rPr>
                <w:sz w:val="16"/>
                <w:szCs w:val="16"/>
                <w:color w:val="auto"/>
              </w:rPr>
            </w:pPr>
          </w:p>
        </w:tc>
        <w:tc>
          <w:tcPr>
            <w:tcW w:w="6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29,407</w:t>
            </w:r>
          </w:p>
        </w:tc>
      </w:tr>
      <w:tr>
        <w:trPr>
          <w:trHeight w:val="203"/>
        </w:trPr>
        <w:tc>
          <w:tcPr>
            <w:tcW w:w="4460" w:type="dxa"/>
            <w:vAlign w:val="bottom"/>
            <w:shd w:val="clear" w:color="auto" w:fill="E8EFF9"/>
          </w:tcPr>
          <w:p>
            <w:pPr>
              <w:ind w:left="100"/>
              <w:spacing w:after="0"/>
              <w:rPr>
                <w:sz w:val="20"/>
                <w:szCs w:val="20"/>
                <w:color w:val="auto"/>
              </w:rPr>
            </w:pPr>
            <w:r>
              <w:rPr>
                <w:rFonts w:ascii="Times New Roman" w:cs="Times New Roman" w:eastAsia="Times New Roman" w:hAnsi="Times New Roman"/>
                <w:sz w:val="14"/>
                <w:szCs w:val="14"/>
                <w:color w:val="auto"/>
              </w:rPr>
              <w:t>Operating expenses</w:t>
            </w:r>
          </w:p>
        </w:tc>
        <w:tc>
          <w:tcPr>
            <w:tcW w:w="120" w:type="dxa"/>
            <w:vAlign w:val="bottom"/>
            <w:shd w:val="clear" w:color="auto" w:fill="E8EFF9"/>
          </w:tcPr>
          <w:p>
            <w:pPr>
              <w:spacing w:after="0"/>
              <w:rPr>
                <w:sz w:val="17"/>
                <w:szCs w:val="17"/>
                <w:color w:val="auto"/>
              </w:rPr>
            </w:pPr>
          </w:p>
        </w:tc>
        <w:tc>
          <w:tcPr>
            <w:tcW w:w="690" w:type="dxa"/>
            <w:vAlign w:val="bottom"/>
            <w:shd w:val="clear" w:color="auto" w:fill="E8EFF9"/>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7,622</w:t>
            </w:r>
          </w:p>
        </w:tc>
        <w:tc>
          <w:tcPr>
            <w:tcW w:w="170" w:type="dxa"/>
            <w:vAlign w:val="bottom"/>
            <w:shd w:val="clear" w:color="auto" w:fill="E8EFF9"/>
          </w:tcPr>
          <w:p>
            <w:pPr>
              <w:spacing w:after="0"/>
              <w:rPr>
                <w:sz w:val="17"/>
                <w:szCs w:val="17"/>
                <w:color w:val="auto"/>
              </w:rPr>
            </w:pPr>
          </w:p>
        </w:tc>
        <w:tc>
          <w:tcPr>
            <w:tcW w:w="62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6,695</w:t>
            </w:r>
          </w:p>
        </w:tc>
        <w:tc>
          <w:tcPr>
            <w:tcW w:w="220" w:type="dxa"/>
            <w:vAlign w:val="bottom"/>
            <w:shd w:val="clear" w:color="auto" w:fill="E8EFF9"/>
          </w:tcPr>
          <w:p>
            <w:pPr>
              <w:spacing w:after="0"/>
              <w:rPr>
                <w:sz w:val="17"/>
                <w:szCs w:val="17"/>
                <w:color w:val="auto"/>
              </w:rPr>
            </w:pPr>
          </w:p>
        </w:tc>
        <w:tc>
          <w:tcPr>
            <w:tcW w:w="6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6,614</w:t>
            </w:r>
          </w:p>
        </w:tc>
        <w:tc>
          <w:tcPr>
            <w:tcW w:w="200" w:type="dxa"/>
            <w:vAlign w:val="bottom"/>
            <w:shd w:val="clear" w:color="auto" w:fill="E8EFF9"/>
          </w:tcPr>
          <w:p>
            <w:pPr>
              <w:spacing w:after="0"/>
              <w:rPr>
                <w:sz w:val="17"/>
                <w:szCs w:val="17"/>
                <w:color w:val="auto"/>
              </w:rPr>
            </w:pPr>
          </w:p>
        </w:tc>
        <w:tc>
          <w:tcPr>
            <w:tcW w:w="6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6,533</w:t>
            </w:r>
          </w:p>
        </w:tc>
        <w:tc>
          <w:tcPr>
            <w:tcW w:w="220" w:type="dxa"/>
            <w:vAlign w:val="bottom"/>
            <w:shd w:val="clear" w:color="auto" w:fill="E8EFF9"/>
          </w:tcPr>
          <w:p>
            <w:pPr>
              <w:spacing w:after="0"/>
              <w:rPr>
                <w:sz w:val="17"/>
                <w:szCs w:val="17"/>
                <w:color w:val="auto"/>
              </w:rPr>
            </w:pPr>
          </w:p>
        </w:tc>
        <w:tc>
          <w:tcPr>
            <w:tcW w:w="62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6,510</w:t>
            </w:r>
          </w:p>
        </w:tc>
        <w:tc>
          <w:tcPr>
            <w:tcW w:w="220" w:type="dxa"/>
            <w:vAlign w:val="bottom"/>
            <w:shd w:val="clear" w:color="auto" w:fill="E8EFF9"/>
          </w:tcPr>
          <w:p>
            <w:pPr>
              <w:spacing w:after="0"/>
              <w:rPr>
                <w:sz w:val="17"/>
                <w:szCs w:val="17"/>
                <w:color w:val="auto"/>
              </w:rPr>
            </w:pPr>
          </w:p>
        </w:tc>
        <w:tc>
          <w:tcPr>
            <w:tcW w:w="660" w:type="dxa"/>
            <w:vAlign w:val="bottom"/>
            <w:shd w:val="clear" w:color="auto" w:fill="E8EFF9"/>
          </w:tcPr>
          <w:p>
            <w:pPr>
              <w:jc w:val="right"/>
              <w:ind w:right="8"/>
              <w:spacing w:after="0"/>
              <w:rPr>
                <w:sz w:val="20"/>
                <w:szCs w:val="20"/>
                <w:color w:val="auto"/>
              </w:rPr>
            </w:pPr>
            <w:r>
              <w:rPr>
                <w:rFonts w:ascii="Times New Roman" w:cs="Times New Roman" w:eastAsia="Times New Roman" w:hAnsi="Times New Roman"/>
                <w:sz w:val="14"/>
                <w:szCs w:val="14"/>
                <w:color w:val="auto"/>
              </w:rPr>
              <w:t>6,299</w:t>
            </w:r>
          </w:p>
        </w:tc>
        <w:tc>
          <w:tcPr>
            <w:tcW w:w="200" w:type="dxa"/>
            <w:vAlign w:val="bottom"/>
            <w:shd w:val="clear" w:color="auto" w:fill="E8EFF9"/>
          </w:tcPr>
          <w:p>
            <w:pPr>
              <w:spacing w:after="0"/>
              <w:rPr>
                <w:sz w:val="17"/>
                <w:szCs w:val="17"/>
                <w:color w:val="auto"/>
              </w:rPr>
            </w:pPr>
          </w:p>
        </w:tc>
        <w:tc>
          <w:tcPr>
            <w:tcW w:w="6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6,057</w:t>
            </w:r>
          </w:p>
        </w:tc>
        <w:tc>
          <w:tcPr>
            <w:tcW w:w="220" w:type="dxa"/>
            <w:vAlign w:val="bottom"/>
            <w:shd w:val="clear" w:color="auto" w:fill="E8EFF9"/>
          </w:tcPr>
          <w:p>
            <w:pPr>
              <w:spacing w:after="0"/>
              <w:rPr>
                <w:sz w:val="17"/>
                <w:szCs w:val="17"/>
                <w:color w:val="auto"/>
              </w:rPr>
            </w:pPr>
          </w:p>
        </w:tc>
        <w:tc>
          <w:tcPr>
            <w:tcW w:w="6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6,021</w:t>
            </w:r>
          </w:p>
        </w:tc>
      </w:tr>
      <w:tr>
        <w:trPr>
          <w:trHeight w:val="202"/>
        </w:trPr>
        <w:tc>
          <w:tcPr>
            <w:tcW w:w="4460" w:type="dxa"/>
            <w:vAlign w:val="bottom"/>
            <w:shd w:val="clear" w:color="auto" w:fill="E8EFF9"/>
          </w:tcPr>
          <w:p>
            <w:pPr>
              <w:ind w:left="10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20" w:type="dxa"/>
            <w:vAlign w:val="bottom"/>
            <w:shd w:val="clear" w:color="auto" w:fill="E8EFF9"/>
          </w:tcPr>
          <w:p>
            <w:pPr>
              <w:spacing w:after="0"/>
              <w:rPr>
                <w:sz w:val="17"/>
                <w:szCs w:val="17"/>
                <w:color w:val="auto"/>
              </w:rPr>
            </w:pPr>
          </w:p>
        </w:tc>
        <w:tc>
          <w:tcPr>
            <w:tcW w:w="690" w:type="dxa"/>
            <w:vAlign w:val="bottom"/>
            <w:shd w:val="clear" w:color="auto" w:fill="E8EFF9"/>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1,585</w:t>
            </w:r>
          </w:p>
        </w:tc>
        <w:tc>
          <w:tcPr>
            <w:tcW w:w="170" w:type="dxa"/>
            <w:vAlign w:val="bottom"/>
            <w:shd w:val="clear" w:color="auto" w:fill="E8EFF9"/>
          </w:tcPr>
          <w:p>
            <w:pPr>
              <w:spacing w:after="0"/>
              <w:rPr>
                <w:sz w:val="17"/>
                <w:szCs w:val="17"/>
                <w:color w:val="auto"/>
              </w:rPr>
            </w:pPr>
          </w:p>
        </w:tc>
        <w:tc>
          <w:tcPr>
            <w:tcW w:w="62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1,191</w:t>
            </w:r>
          </w:p>
        </w:tc>
        <w:tc>
          <w:tcPr>
            <w:tcW w:w="220" w:type="dxa"/>
            <w:vAlign w:val="bottom"/>
            <w:shd w:val="clear" w:color="auto" w:fill="E8EFF9"/>
          </w:tcPr>
          <w:p>
            <w:pPr>
              <w:spacing w:after="0"/>
              <w:rPr>
                <w:sz w:val="17"/>
                <w:szCs w:val="17"/>
                <w:color w:val="auto"/>
              </w:rPr>
            </w:pPr>
          </w:p>
        </w:tc>
        <w:tc>
          <w:tcPr>
            <w:tcW w:w="6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1,048</w:t>
            </w:r>
          </w:p>
        </w:tc>
        <w:tc>
          <w:tcPr>
            <w:tcW w:w="200" w:type="dxa"/>
            <w:vAlign w:val="bottom"/>
            <w:shd w:val="clear" w:color="auto" w:fill="E8EFF9"/>
          </w:tcPr>
          <w:p>
            <w:pPr>
              <w:spacing w:after="0"/>
              <w:rPr>
                <w:sz w:val="17"/>
                <w:szCs w:val="17"/>
                <w:color w:val="auto"/>
              </w:rPr>
            </w:pPr>
          </w:p>
        </w:tc>
        <w:tc>
          <w:tcPr>
            <w:tcW w:w="6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1,010</w:t>
            </w:r>
          </w:p>
        </w:tc>
        <w:tc>
          <w:tcPr>
            <w:tcW w:w="220" w:type="dxa"/>
            <w:vAlign w:val="bottom"/>
            <w:shd w:val="clear" w:color="auto" w:fill="E8EFF9"/>
          </w:tcPr>
          <w:p>
            <w:pPr>
              <w:spacing w:after="0"/>
              <w:rPr>
                <w:sz w:val="17"/>
                <w:szCs w:val="17"/>
                <w:color w:val="auto"/>
              </w:rPr>
            </w:pPr>
          </w:p>
        </w:tc>
        <w:tc>
          <w:tcPr>
            <w:tcW w:w="62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969</w:t>
            </w:r>
          </w:p>
        </w:tc>
        <w:tc>
          <w:tcPr>
            <w:tcW w:w="220" w:type="dxa"/>
            <w:vAlign w:val="bottom"/>
            <w:shd w:val="clear" w:color="auto" w:fill="E8EFF9"/>
          </w:tcPr>
          <w:p>
            <w:pPr>
              <w:spacing w:after="0"/>
              <w:rPr>
                <w:sz w:val="17"/>
                <w:szCs w:val="17"/>
                <w:color w:val="auto"/>
              </w:rPr>
            </w:pPr>
          </w:p>
        </w:tc>
        <w:tc>
          <w:tcPr>
            <w:tcW w:w="660" w:type="dxa"/>
            <w:vAlign w:val="bottom"/>
            <w:shd w:val="clear" w:color="auto" w:fill="E8EFF9"/>
          </w:tcPr>
          <w:p>
            <w:pPr>
              <w:jc w:val="right"/>
              <w:ind w:right="8"/>
              <w:spacing w:after="0"/>
              <w:rPr>
                <w:sz w:val="20"/>
                <w:szCs w:val="20"/>
                <w:color w:val="auto"/>
              </w:rPr>
            </w:pPr>
            <w:r>
              <w:rPr>
                <w:rFonts w:ascii="Times New Roman" w:cs="Times New Roman" w:eastAsia="Times New Roman" w:hAnsi="Times New Roman"/>
                <w:sz w:val="14"/>
                <w:szCs w:val="14"/>
                <w:color w:val="auto"/>
              </w:rPr>
              <w:t>1,163</w:t>
            </w:r>
          </w:p>
        </w:tc>
        <w:tc>
          <w:tcPr>
            <w:tcW w:w="200" w:type="dxa"/>
            <w:vAlign w:val="bottom"/>
            <w:shd w:val="clear" w:color="auto" w:fill="E8EFF9"/>
          </w:tcPr>
          <w:p>
            <w:pPr>
              <w:spacing w:after="0"/>
              <w:rPr>
                <w:sz w:val="17"/>
                <w:szCs w:val="17"/>
                <w:color w:val="auto"/>
              </w:rPr>
            </w:pPr>
          </w:p>
        </w:tc>
        <w:tc>
          <w:tcPr>
            <w:tcW w:w="6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1,128</w:t>
            </w:r>
          </w:p>
        </w:tc>
        <w:tc>
          <w:tcPr>
            <w:tcW w:w="220" w:type="dxa"/>
            <w:vAlign w:val="bottom"/>
            <w:shd w:val="clear" w:color="auto" w:fill="E8EFF9"/>
          </w:tcPr>
          <w:p>
            <w:pPr>
              <w:spacing w:after="0"/>
              <w:rPr>
                <w:sz w:val="17"/>
                <w:szCs w:val="17"/>
                <w:color w:val="auto"/>
              </w:rPr>
            </w:pPr>
          </w:p>
        </w:tc>
        <w:tc>
          <w:tcPr>
            <w:tcW w:w="6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881</w:t>
            </w:r>
          </w:p>
        </w:tc>
      </w:tr>
      <w:tr>
        <w:trPr>
          <w:trHeight w:val="203"/>
        </w:trPr>
        <w:tc>
          <w:tcPr>
            <w:tcW w:w="4460" w:type="dxa"/>
            <w:vAlign w:val="bottom"/>
            <w:shd w:val="clear" w:color="auto" w:fill="E8EFF9"/>
          </w:tcPr>
          <w:p>
            <w:pPr>
              <w:ind w:left="100"/>
              <w:spacing w:after="0"/>
              <w:rPr>
                <w:sz w:val="20"/>
                <w:szCs w:val="20"/>
                <w:color w:val="auto"/>
              </w:rPr>
            </w:pPr>
            <w:r>
              <w:rPr>
                <w:rFonts w:ascii="Times New Roman" w:cs="Times New Roman" w:eastAsia="Times New Roman" w:hAnsi="Times New Roman"/>
                <w:sz w:val="14"/>
                <w:szCs w:val="14"/>
                <w:color w:val="auto"/>
              </w:rPr>
              <w:t>Exploration expenses</w:t>
            </w:r>
          </w:p>
        </w:tc>
        <w:tc>
          <w:tcPr>
            <w:tcW w:w="120" w:type="dxa"/>
            <w:vAlign w:val="bottom"/>
            <w:shd w:val="clear" w:color="auto" w:fill="E8EFF9"/>
          </w:tcPr>
          <w:p>
            <w:pPr>
              <w:spacing w:after="0"/>
              <w:rPr>
                <w:sz w:val="17"/>
                <w:szCs w:val="17"/>
                <w:color w:val="auto"/>
              </w:rPr>
            </w:pPr>
          </w:p>
        </w:tc>
        <w:tc>
          <w:tcPr>
            <w:tcW w:w="690" w:type="dxa"/>
            <w:vAlign w:val="bottom"/>
            <w:shd w:val="clear" w:color="auto" w:fill="E8EFF9"/>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449</w:t>
            </w:r>
          </w:p>
        </w:tc>
        <w:tc>
          <w:tcPr>
            <w:tcW w:w="170" w:type="dxa"/>
            <w:vAlign w:val="bottom"/>
            <w:shd w:val="clear" w:color="auto" w:fill="E8EFF9"/>
          </w:tcPr>
          <w:p>
            <w:pPr>
              <w:spacing w:after="0"/>
              <w:rPr>
                <w:sz w:val="17"/>
                <w:szCs w:val="17"/>
                <w:color w:val="auto"/>
              </w:rPr>
            </w:pPr>
          </w:p>
        </w:tc>
        <w:tc>
          <w:tcPr>
            <w:tcW w:w="62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154</w:t>
            </w:r>
          </w:p>
        </w:tc>
        <w:tc>
          <w:tcPr>
            <w:tcW w:w="220" w:type="dxa"/>
            <w:vAlign w:val="bottom"/>
            <w:shd w:val="clear" w:color="auto" w:fill="E8EFF9"/>
          </w:tcPr>
          <w:p>
            <w:pPr>
              <w:spacing w:after="0"/>
              <w:rPr>
                <w:sz w:val="17"/>
                <w:szCs w:val="17"/>
                <w:color w:val="auto"/>
              </w:rPr>
            </w:pPr>
          </w:p>
        </w:tc>
        <w:tc>
          <w:tcPr>
            <w:tcW w:w="6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263</w:t>
            </w:r>
          </w:p>
        </w:tc>
        <w:tc>
          <w:tcPr>
            <w:tcW w:w="200" w:type="dxa"/>
            <w:vAlign w:val="bottom"/>
            <w:shd w:val="clear" w:color="auto" w:fill="E8EFF9"/>
          </w:tcPr>
          <w:p>
            <w:pPr>
              <w:spacing w:after="0"/>
              <w:rPr>
                <w:sz w:val="17"/>
                <w:szCs w:val="17"/>
                <w:color w:val="auto"/>
              </w:rPr>
            </w:pPr>
          </w:p>
        </w:tc>
        <w:tc>
          <w:tcPr>
            <w:tcW w:w="6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129</w:t>
            </w:r>
          </w:p>
        </w:tc>
        <w:tc>
          <w:tcPr>
            <w:tcW w:w="220" w:type="dxa"/>
            <w:vAlign w:val="bottom"/>
            <w:shd w:val="clear" w:color="auto" w:fill="E8EFF9"/>
          </w:tcPr>
          <w:p>
            <w:pPr>
              <w:spacing w:after="0"/>
              <w:rPr>
                <w:sz w:val="17"/>
                <w:szCs w:val="17"/>
                <w:color w:val="auto"/>
              </w:rPr>
            </w:pPr>
          </w:p>
        </w:tc>
        <w:tc>
          <w:tcPr>
            <w:tcW w:w="62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220" w:type="dxa"/>
            <w:vAlign w:val="bottom"/>
            <w:shd w:val="clear" w:color="auto" w:fill="E8EFF9"/>
          </w:tcPr>
          <w:p>
            <w:pPr>
              <w:spacing w:after="0"/>
              <w:rPr>
                <w:sz w:val="17"/>
                <w:szCs w:val="17"/>
                <w:color w:val="auto"/>
              </w:rPr>
            </w:pPr>
          </w:p>
        </w:tc>
        <w:tc>
          <w:tcPr>
            <w:tcW w:w="6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200" w:type="dxa"/>
            <w:vAlign w:val="bottom"/>
            <w:shd w:val="clear" w:color="auto" w:fill="E8EFF9"/>
          </w:tcPr>
          <w:p>
            <w:pPr>
              <w:spacing w:after="0"/>
              <w:rPr>
                <w:sz w:val="17"/>
                <w:szCs w:val="17"/>
                <w:color w:val="auto"/>
              </w:rPr>
            </w:pPr>
          </w:p>
        </w:tc>
        <w:tc>
          <w:tcPr>
            <w:tcW w:w="6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220" w:type="dxa"/>
            <w:vAlign w:val="bottom"/>
            <w:shd w:val="clear" w:color="auto" w:fill="E8EFF9"/>
          </w:tcPr>
          <w:p>
            <w:pPr>
              <w:spacing w:after="0"/>
              <w:rPr>
                <w:sz w:val="17"/>
                <w:szCs w:val="17"/>
                <w:color w:val="auto"/>
              </w:rPr>
            </w:pPr>
          </w:p>
        </w:tc>
        <w:tc>
          <w:tcPr>
            <w:tcW w:w="6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190</w:t>
            </w:r>
          </w:p>
        </w:tc>
      </w:tr>
      <w:tr>
        <w:trPr>
          <w:trHeight w:val="203"/>
        </w:trPr>
        <w:tc>
          <w:tcPr>
            <w:tcW w:w="4460" w:type="dxa"/>
            <w:vAlign w:val="bottom"/>
            <w:shd w:val="clear" w:color="auto" w:fill="E8EFF9"/>
          </w:tcPr>
          <w:p>
            <w:pPr>
              <w:ind w:left="100"/>
              <w:spacing w:after="0"/>
              <w:rPr>
                <w:sz w:val="20"/>
                <w:szCs w:val="20"/>
                <w:color w:val="auto"/>
              </w:rPr>
            </w:pPr>
            <w:r>
              <w:rPr>
                <w:rFonts w:ascii="Times New Roman" w:cs="Times New Roman" w:eastAsia="Times New Roman" w:hAnsi="Times New Roman"/>
                <w:sz w:val="14"/>
                <w:szCs w:val="14"/>
                <w:color w:val="auto"/>
              </w:rPr>
              <w:t>Depreciation, depletion and amortization</w:t>
            </w:r>
          </w:p>
        </w:tc>
        <w:tc>
          <w:tcPr>
            <w:tcW w:w="120" w:type="dxa"/>
            <w:vAlign w:val="bottom"/>
            <w:shd w:val="clear" w:color="auto" w:fill="E8EFF9"/>
          </w:tcPr>
          <w:p>
            <w:pPr>
              <w:spacing w:after="0"/>
              <w:rPr>
                <w:sz w:val="17"/>
                <w:szCs w:val="17"/>
                <w:color w:val="auto"/>
              </w:rPr>
            </w:pPr>
          </w:p>
        </w:tc>
        <w:tc>
          <w:tcPr>
            <w:tcW w:w="690" w:type="dxa"/>
            <w:vAlign w:val="bottom"/>
            <w:shd w:val="clear" w:color="auto" w:fill="E8EFF9"/>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4,973</w:t>
            </w:r>
          </w:p>
        </w:tc>
        <w:tc>
          <w:tcPr>
            <w:tcW w:w="170" w:type="dxa"/>
            <w:vAlign w:val="bottom"/>
            <w:shd w:val="clear" w:color="auto" w:fill="E8EFF9"/>
          </w:tcPr>
          <w:p>
            <w:pPr>
              <w:spacing w:after="0"/>
              <w:rPr>
                <w:sz w:val="17"/>
                <w:szCs w:val="17"/>
                <w:color w:val="auto"/>
              </w:rPr>
            </w:pPr>
          </w:p>
        </w:tc>
        <w:tc>
          <w:tcPr>
            <w:tcW w:w="62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4,214</w:t>
            </w:r>
          </w:p>
        </w:tc>
        <w:tc>
          <w:tcPr>
            <w:tcW w:w="220" w:type="dxa"/>
            <w:vAlign w:val="bottom"/>
            <w:shd w:val="clear" w:color="auto" w:fill="E8EFF9"/>
          </w:tcPr>
          <w:p>
            <w:pPr>
              <w:spacing w:after="0"/>
              <w:rPr>
                <w:sz w:val="17"/>
                <w:szCs w:val="17"/>
                <w:color w:val="auto"/>
              </w:rPr>
            </w:pPr>
          </w:p>
        </w:tc>
        <w:tc>
          <w:tcPr>
            <w:tcW w:w="6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4,004</w:t>
            </w:r>
          </w:p>
        </w:tc>
        <w:tc>
          <w:tcPr>
            <w:tcW w:w="200" w:type="dxa"/>
            <w:vAlign w:val="bottom"/>
            <w:shd w:val="clear" w:color="auto" w:fill="E8EFF9"/>
          </w:tcPr>
          <w:p>
            <w:pPr>
              <w:spacing w:after="0"/>
              <w:rPr>
                <w:sz w:val="17"/>
                <w:szCs w:val="17"/>
                <w:color w:val="auto"/>
              </w:rPr>
            </w:pPr>
          </w:p>
        </w:tc>
        <w:tc>
          <w:tcPr>
            <w:tcW w:w="6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4,091</w:t>
            </w:r>
          </w:p>
        </w:tc>
        <w:tc>
          <w:tcPr>
            <w:tcW w:w="220" w:type="dxa"/>
            <w:vAlign w:val="bottom"/>
            <w:shd w:val="clear" w:color="auto" w:fill="E8EFF9"/>
          </w:tcPr>
          <w:p>
            <w:pPr>
              <w:spacing w:after="0"/>
              <w:rPr>
                <w:sz w:val="17"/>
                <w:szCs w:val="17"/>
                <w:color w:val="auto"/>
              </w:rPr>
            </w:pPr>
          </w:p>
        </w:tc>
        <w:tc>
          <w:tcPr>
            <w:tcW w:w="62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6,254</w:t>
            </w:r>
          </w:p>
        </w:tc>
        <w:tc>
          <w:tcPr>
            <w:tcW w:w="220" w:type="dxa"/>
            <w:vAlign w:val="bottom"/>
            <w:shd w:val="clear" w:color="auto" w:fill="E8EFF9"/>
          </w:tcPr>
          <w:p>
            <w:pPr>
              <w:spacing w:after="0"/>
              <w:rPr>
                <w:sz w:val="17"/>
                <w:szCs w:val="17"/>
                <w:color w:val="auto"/>
              </w:rPr>
            </w:pPr>
          </w:p>
        </w:tc>
        <w:tc>
          <w:tcPr>
            <w:tcW w:w="660" w:type="dxa"/>
            <w:vAlign w:val="bottom"/>
            <w:shd w:val="clear" w:color="auto" w:fill="E8EFF9"/>
          </w:tcPr>
          <w:p>
            <w:pPr>
              <w:jc w:val="right"/>
              <w:ind w:right="8"/>
              <w:spacing w:after="0"/>
              <w:rPr>
                <w:sz w:val="20"/>
                <w:szCs w:val="20"/>
                <w:color w:val="auto"/>
              </w:rPr>
            </w:pPr>
            <w:r>
              <w:rPr>
                <w:rFonts w:ascii="Times New Roman" w:cs="Times New Roman" w:eastAsia="Times New Roman" w:hAnsi="Times New Roman"/>
                <w:sz w:val="14"/>
                <w:szCs w:val="14"/>
                <w:color w:val="auto"/>
              </w:rPr>
              <w:t>4,025</w:t>
            </w:r>
          </w:p>
        </w:tc>
        <w:tc>
          <w:tcPr>
            <w:tcW w:w="200" w:type="dxa"/>
            <w:vAlign w:val="bottom"/>
            <w:shd w:val="clear" w:color="auto" w:fill="E8EFF9"/>
          </w:tcPr>
          <w:p>
            <w:pPr>
              <w:spacing w:after="0"/>
              <w:rPr>
                <w:sz w:val="17"/>
                <w:szCs w:val="17"/>
                <w:color w:val="auto"/>
              </w:rPr>
            </w:pPr>
          </w:p>
        </w:tc>
        <w:tc>
          <w:tcPr>
            <w:tcW w:w="6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3,521</w:t>
            </w:r>
          </w:p>
        </w:tc>
        <w:tc>
          <w:tcPr>
            <w:tcW w:w="220" w:type="dxa"/>
            <w:vAlign w:val="bottom"/>
            <w:shd w:val="clear" w:color="auto" w:fill="E8EFF9"/>
          </w:tcPr>
          <w:p>
            <w:pPr>
              <w:spacing w:after="0"/>
              <w:rPr>
                <w:sz w:val="17"/>
                <w:szCs w:val="17"/>
                <w:color w:val="auto"/>
              </w:rPr>
            </w:pPr>
          </w:p>
        </w:tc>
        <w:tc>
          <w:tcPr>
            <w:tcW w:w="6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3,526</w:t>
            </w:r>
          </w:p>
        </w:tc>
      </w:tr>
      <w:tr>
        <w:trPr>
          <w:trHeight w:val="203"/>
        </w:trPr>
        <w:tc>
          <w:tcPr>
            <w:tcW w:w="4460" w:type="dxa"/>
            <w:vAlign w:val="bottom"/>
            <w:shd w:val="clear" w:color="auto" w:fill="E8EFF9"/>
          </w:tcPr>
          <w:p>
            <w:pPr>
              <w:ind w:left="100"/>
              <w:spacing w:after="0"/>
              <w:rPr>
                <w:sz w:val="20"/>
                <w:szCs w:val="20"/>
                <w:color w:val="auto"/>
              </w:rPr>
            </w:pPr>
            <w:r>
              <w:rPr>
                <w:rFonts w:ascii="Times New Roman" w:cs="Times New Roman" w:eastAsia="Times New Roman" w:hAnsi="Times New Roman"/>
                <w:sz w:val="14"/>
                <w:szCs w:val="14"/>
                <w:color w:val="auto"/>
              </w:rPr>
              <w:t>Taxes other than on income</w:t>
            </w:r>
          </w:p>
        </w:tc>
        <w:tc>
          <w:tcPr>
            <w:tcW w:w="120" w:type="dxa"/>
            <w:vAlign w:val="bottom"/>
            <w:shd w:val="clear" w:color="auto" w:fill="E8EFF9"/>
          </w:tcPr>
          <w:p>
            <w:pPr>
              <w:spacing w:after="0"/>
              <w:rPr>
                <w:sz w:val="17"/>
                <w:szCs w:val="17"/>
                <w:color w:val="auto"/>
              </w:rPr>
            </w:pPr>
          </w:p>
        </w:tc>
        <w:tc>
          <w:tcPr>
            <w:tcW w:w="690" w:type="dxa"/>
            <w:vAlign w:val="bottom"/>
            <w:shd w:val="clear" w:color="auto" w:fill="E8EFF9"/>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1,141</w:t>
            </w:r>
          </w:p>
        </w:tc>
        <w:tc>
          <w:tcPr>
            <w:tcW w:w="170" w:type="dxa"/>
            <w:vAlign w:val="bottom"/>
            <w:shd w:val="clear" w:color="auto" w:fill="E8EFF9"/>
          </w:tcPr>
          <w:p>
            <w:pPr>
              <w:spacing w:after="0"/>
              <w:rPr>
                <w:sz w:val="17"/>
                <w:szCs w:val="17"/>
                <w:color w:val="auto"/>
              </w:rPr>
            </w:pPr>
          </w:p>
        </w:tc>
        <w:tc>
          <w:tcPr>
            <w:tcW w:w="62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1,263</w:t>
            </w:r>
          </w:p>
        </w:tc>
        <w:tc>
          <w:tcPr>
            <w:tcW w:w="220" w:type="dxa"/>
            <w:vAlign w:val="bottom"/>
            <w:shd w:val="clear" w:color="auto" w:fill="E8EFF9"/>
          </w:tcPr>
          <w:p>
            <w:pPr>
              <w:spacing w:after="0"/>
              <w:rPr>
                <w:sz w:val="17"/>
                <w:szCs w:val="17"/>
                <w:color w:val="auto"/>
              </w:rPr>
            </w:pPr>
          </w:p>
        </w:tc>
        <w:tc>
          <w:tcPr>
            <w:tcW w:w="6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1,188</w:t>
            </w:r>
          </w:p>
        </w:tc>
        <w:tc>
          <w:tcPr>
            <w:tcW w:w="200" w:type="dxa"/>
            <w:vAlign w:val="bottom"/>
            <w:shd w:val="clear" w:color="auto" w:fill="E8EFF9"/>
          </w:tcPr>
          <w:p>
            <w:pPr>
              <w:spacing w:after="0"/>
              <w:rPr>
                <w:sz w:val="17"/>
                <w:szCs w:val="17"/>
                <w:color w:val="auto"/>
              </w:rPr>
            </w:pPr>
          </w:p>
        </w:tc>
        <w:tc>
          <w:tcPr>
            <w:tcW w:w="6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1,124</w:t>
            </w:r>
          </w:p>
        </w:tc>
        <w:tc>
          <w:tcPr>
            <w:tcW w:w="220" w:type="dxa"/>
            <w:vAlign w:val="bottom"/>
            <w:shd w:val="clear" w:color="auto" w:fill="E8EFF9"/>
          </w:tcPr>
          <w:p>
            <w:pPr>
              <w:spacing w:after="0"/>
              <w:rPr>
                <w:sz w:val="17"/>
                <w:szCs w:val="17"/>
                <w:color w:val="auto"/>
              </w:rPr>
            </w:pPr>
          </w:p>
        </w:tc>
        <w:tc>
          <w:tcPr>
            <w:tcW w:w="62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1,062</w:t>
            </w:r>
          </w:p>
        </w:tc>
        <w:tc>
          <w:tcPr>
            <w:tcW w:w="220" w:type="dxa"/>
            <w:vAlign w:val="bottom"/>
            <w:shd w:val="clear" w:color="auto" w:fill="E8EFF9"/>
          </w:tcPr>
          <w:p>
            <w:pPr>
              <w:spacing w:after="0"/>
              <w:rPr>
                <w:sz w:val="17"/>
                <w:szCs w:val="17"/>
                <w:color w:val="auto"/>
              </w:rPr>
            </w:pPr>
          </w:p>
        </w:tc>
        <w:tc>
          <w:tcPr>
            <w:tcW w:w="660" w:type="dxa"/>
            <w:vAlign w:val="bottom"/>
            <w:shd w:val="clear" w:color="auto" w:fill="E8EFF9"/>
          </w:tcPr>
          <w:p>
            <w:pPr>
              <w:jc w:val="right"/>
              <w:ind w:right="8"/>
              <w:spacing w:after="0"/>
              <w:rPr>
                <w:sz w:val="20"/>
                <w:szCs w:val="20"/>
                <w:color w:val="auto"/>
              </w:rPr>
            </w:pPr>
            <w:r>
              <w:rPr>
                <w:rFonts w:ascii="Times New Roman" w:cs="Times New Roman" w:eastAsia="Times New Roman" w:hAnsi="Times New Roman"/>
                <w:sz w:val="14"/>
                <w:szCs w:val="14"/>
                <w:color w:val="auto"/>
              </w:rPr>
              <w:t>1,021</w:t>
            </w:r>
          </w:p>
        </w:tc>
        <w:tc>
          <w:tcPr>
            <w:tcW w:w="200" w:type="dxa"/>
            <w:vAlign w:val="bottom"/>
            <w:shd w:val="clear" w:color="auto" w:fill="E8EFF9"/>
          </w:tcPr>
          <w:p>
            <w:pPr>
              <w:spacing w:after="0"/>
              <w:rPr>
                <w:sz w:val="17"/>
                <w:szCs w:val="17"/>
                <w:color w:val="auto"/>
              </w:rPr>
            </w:pPr>
          </w:p>
        </w:tc>
        <w:tc>
          <w:tcPr>
            <w:tcW w:w="6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1,041</w:t>
            </w:r>
          </w:p>
        </w:tc>
        <w:tc>
          <w:tcPr>
            <w:tcW w:w="220" w:type="dxa"/>
            <w:vAlign w:val="bottom"/>
            <w:shd w:val="clear" w:color="auto" w:fill="E8EFF9"/>
          </w:tcPr>
          <w:p>
            <w:pPr>
              <w:spacing w:after="0"/>
              <w:rPr>
                <w:sz w:val="17"/>
                <w:szCs w:val="17"/>
                <w:color w:val="auto"/>
              </w:rPr>
            </w:pPr>
          </w:p>
        </w:tc>
        <w:tc>
          <w:tcPr>
            <w:tcW w:w="6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1,096</w:t>
            </w:r>
          </w:p>
        </w:tc>
      </w:tr>
      <w:tr>
        <w:trPr>
          <w:trHeight w:val="203"/>
        </w:trPr>
        <w:tc>
          <w:tcPr>
            <w:tcW w:w="4460" w:type="dxa"/>
            <w:vAlign w:val="bottom"/>
            <w:shd w:val="clear" w:color="auto" w:fill="E8EFF9"/>
          </w:tcPr>
          <w:p>
            <w:pPr>
              <w:ind w:left="100"/>
              <w:spacing w:after="0"/>
              <w:rPr>
                <w:sz w:val="20"/>
                <w:szCs w:val="20"/>
                <w:color w:val="auto"/>
              </w:rPr>
            </w:pPr>
            <w:r>
              <w:rPr>
                <w:rFonts w:ascii="Times New Roman" w:cs="Times New Roman" w:eastAsia="Times New Roman" w:hAnsi="Times New Roman"/>
                <w:sz w:val="14"/>
                <w:szCs w:val="14"/>
                <w:color w:val="auto"/>
              </w:rPr>
              <w:t>Interest and debt expense</w:t>
            </w:r>
          </w:p>
        </w:tc>
        <w:tc>
          <w:tcPr>
            <w:tcW w:w="120" w:type="dxa"/>
            <w:vAlign w:val="bottom"/>
            <w:shd w:val="clear" w:color="auto" w:fill="E8EFF9"/>
          </w:tcPr>
          <w:p>
            <w:pPr>
              <w:spacing w:after="0"/>
              <w:rPr>
                <w:sz w:val="17"/>
                <w:szCs w:val="17"/>
                <w:color w:val="auto"/>
              </w:rPr>
            </w:pPr>
          </w:p>
        </w:tc>
        <w:tc>
          <w:tcPr>
            <w:tcW w:w="690" w:type="dxa"/>
            <w:vAlign w:val="bottom"/>
            <w:shd w:val="clear" w:color="auto" w:fill="E8EFF9"/>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199</w:t>
            </w:r>
          </w:p>
        </w:tc>
        <w:tc>
          <w:tcPr>
            <w:tcW w:w="170" w:type="dxa"/>
            <w:vAlign w:val="bottom"/>
            <w:shd w:val="clear" w:color="auto" w:fill="E8EFF9"/>
          </w:tcPr>
          <w:p>
            <w:pPr>
              <w:spacing w:after="0"/>
              <w:rPr>
                <w:sz w:val="17"/>
                <w:szCs w:val="17"/>
                <w:color w:val="auto"/>
              </w:rPr>
            </w:pPr>
          </w:p>
        </w:tc>
        <w:tc>
          <w:tcPr>
            <w:tcW w:w="62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164</w:t>
            </w:r>
          </w:p>
        </w:tc>
        <w:tc>
          <w:tcPr>
            <w:tcW w:w="220" w:type="dxa"/>
            <w:vAlign w:val="bottom"/>
            <w:shd w:val="clear" w:color="auto" w:fill="E8EFF9"/>
          </w:tcPr>
          <w:p>
            <w:pPr>
              <w:spacing w:after="0"/>
              <w:rPr>
                <w:sz w:val="17"/>
                <w:szCs w:val="17"/>
                <w:color w:val="auto"/>
              </w:rPr>
            </w:pPr>
          </w:p>
        </w:tc>
        <w:tc>
          <w:tcPr>
            <w:tcW w:w="6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113</w:t>
            </w:r>
          </w:p>
        </w:tc>
        <w:tc>
          <w:tcPr>
            <w:tcW w:w="200" w:type="dxa"/>
            <w:vAlign w:val="bottom"/>
            <w:shd w:val="clear" w:color="auto" w:fill="E8EFF9"/>
          </w:tcPr>
          <w:p>
            <w:pPr>
              <w:spacing w:after="0"/>
              <w:rPr>
                <w:sz w:val="17"/>
                <w:szCs w:val="17"/>
                <w:color w:val="auto"/>
              </w:rPr>
            </w:pPr>
          </w:p>
        </w:tc>
        <w:tc>
          <w:tcPr>
            <w:tcW w:w="6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118</w:t>
            </w:r>
          </w:p>
        </w:tc>
        <w:tc>
          <w:tcPr>
            <w:tcW w:w="220" w:type="dxa"/>
            <w:vAlign w:val="bottom"/>
            <w:shd w:val="clear" w:color="auto" w:fill="E8EFF9"/>
          </w:tcPr>
          <w:p>
            <w:pPr>
              <w:spacing w:after="0"/>
              <w:rPr>
                <w:sz w:val="17"/>
                <w:szCs w:val="17"/>
                <w:color w:val="auto"/>
              </w:rPr>
            </w:pPr>
          </w:p>
        </w:tc>
        <w:tc>
          <w:tcPr>
            <w:tcW w:w="62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220" w:type="dxa"/>
            <w:vAlign w:val="bottom"/>
            <w:shd w:val="clear" w:color="auto" w:fill="E8EFF9"/>
          </w:tcPr>
          <w:p>
            <w:pPr>
              <w:spacing w:after="0"/>
              <w:rPr>
                <w:sz w:val="17"/>
                <w:szCs w:val="17"/>
                <w:color w:val="auto"/>
              </w:rPr>
            </w:pPr>
          </w:p>
        </w:tc>
        <w:tc>
          <w:tcPr>
            <w:tcW w:w="660" w:type="dxa"/>
            <w:vAlign w:val="bottom"/>
            <w:shd w:val="clear" w:color="auto" w:fill="E8EFF9"/>
          </w:tcPr>
          <w:p>
            <w:pPr>
              <w:jc w:val="right"/>
              <w:ind w:right="8"/>
              <w:spacing w:after="0"/>
              <w:rPr>
                <w:sz w:val="20"/>
                <w:szCs w:val="20"/>
                <w:color w:val="auto"/>
              </w:rPr>
            </w:pPr>
            <w:r>
              <w:rPr>
                <w:rFonts w:ascii="Times New Roman" w:cs="Times New Roman" w:eastAsia="Times New Roman" w:hAnsi="Times New Roman"/>
                <w:sz w:val="14"/>
                <w:szCs w:val="14"/>
                <w:color w:val="auto"/>
              </w:rPr>
              <w:t>114</w:t>
            </w:r>
          </w:p>
        </w:tc>
        <w:tc>
          <w:tcPr>
            <w:tcW w:w="200" w:type="dxa"/>
            <w:vAlign w:val="bottom"/>
            <w:shd w:val="clear" w:color="auto" w:fill="E8EFF9"/>
          </w:tcPr>
          <w:p>
            <w:pPr>
              <w:spacing w:after="0"/>
              <w:rPr>
                <w:sz w:val="17"/>
                <w:szCs w:val="17"/>
                <w:color w:val="auto"/>
              </w:rPr>
            </w:pPr>
          </w:p>
        </w:tc>
        <w:tc>
          <w:tcPr>
            <w:tcW w:w="6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220" w:type="dxa"/>
            <w:vAlign w:val="bottom"/>
            <w:shd w:val="clear" w:color="auto" w:fill="E8EFF9"/>
          </w:tcPr>
          <w:p>
            <w:pPr>
              <w:spacing w:after="0"/>
              <w:rPr>
                <w:sz w:val="17"/>
                <w:szCs w:val="17"/>
                <w:color w:val="auto"/>
              </w:rPr>
            </w:pPr>
          </w:p>
        </w:tc>
        <w:tc>
          <w:tcPr>
            <w:tcW w:w="6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115</w:t>
            </w:r>
          </w:p>
        </w:tc>
      </w:tr>
      <w:tr>
        <w:trPr>
          <w:trHeight w:val="231"/>
        </w:trPr>
        <w:tc>
          <w:tcPr>
            <w:tcW w:w="4460" w:type="dxa"/>
            <w:vAlign w:val="bottom"/>
            <w:tcBorders>
              <w:bottom w:val="single" w:sz="8" w:color="E8EFF9"/>
            </w:tcBorders>
            <w:shd w:val="clear" w:color="auto" w:fill="E8EFF9"/>
          </w:tcPr>
          <w:p>
            <w:pPr>
              <w:ind w:left="100"/>
              <w:spacing w:after="0"/>
              <w:rPr>
                <w:sz w:val="20"/>
                <w:szCs w:val="20"/>
                <w:color w:val="auto"/>
              </w:rPr>
            </w:pPr>
            <w:r>
              <w:rPr>
                <w:rFonts w:ascii="Times New Roman" w:cs="Times New Roman" w:eastAsia="Times New Roman" w:hAnsi="Times New Roman"/>
                <w:sz w:val="14"/>
                <w:szCs w:val="14"/>
                <w:color w:val="auto"/>
              </w:rPr>
              <w:t>Other components of net periodic benefit costs</w:t>
            </w:r>
          </w:p>
        </w:tc>
        <w:tc>
          <w:tcPr>
            <w:tcW w:w="120" w:type="dxa"/>
            <w:vAlign w:val="bottom"/>
            <w:tcBorders>
              <w:bottom w:val="single" w:sz="8" w:color="E8EFF9"/>
            </w:tcBorders>
            <w:shd w:val="clear" w:color="auto" w:fill="E8EFF9"/>
          </w:tcPr>
          <w:p>
            <w:pPr>
              <w:spacing w:after="0"/>
              <w:rPr>
                <w:sz w:val="19"/>
                <w:szCs w:val="19"/>
                <w:color w:val="auto"/>
              </w:rPr>
            </w:pPr>
          </w:p>
        </w:tc>
        <w:tc>
          <w:tcPr>
            <w:tcW w:w="690" w:type="dxa"/>
            <w:vAlign w:val="bottom"/>
            <w:tcBorders>
              <w:bottom w:val="single" w:sz="8" w:color="E8EFF9"/>
            </w:tcBorders>
            <w:shd w:val="clear" w:color="auto" w:fill="E8EFF9"/>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50</w:t>
            </w:r>
          </w:p>
        </w:tc>
        <w:tc>
          <w:tcPr>
            <w:tcW w:w="170" w:type="dxa"/>
            <w:vAlign w:val="bottom"/>
            <w:tcBorders>
              <w:bottom w:val="single" w:sz="8" w:color="E8EFF9"/>
            </w:tcBorders>
            <w:shd w:val="clear" w:color="auto" w:fill="E8EFF9"/>
          </w:tcPr>
          <w:p>
            <w:pPr>
              <w:spacing w:after="0"/>
              <w:rPr>
                <w:sz w:val="19"/>
                <w:szCs w:val="19"/>
                <w:color w:val="auto"/>
              </w:rPr>
            </w:pPr>
          </w:p>
        </w:tc>
        <w:tc>
          <w:tcPr>
            <w:tcW w:w="620" w:type="dxa"/>
            <w:vAlign w:val="bottom"/>
            <w:tcBorders>
              <w:bottom w:val="single" w:sz="8" w:color="E8EFF9"/>
            </w:tcBorders>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49</w:t>
            </w:r>
          </w:p>
        </w:tc>
        <w:tc>
          <w:tcPr>
            <w:tcW w:w="220" w:type="dxa"/>
            <w:vAlign w:val="bottom"/>
            <w:tcBorders>
              <w:bottom w:val="single" w:sz="8" w:color="E8EFF9"/>
            </w:tcBorders>
            <w:shd w:val="clear" w:color="auto" w:fill="E8EFF9"/>
          </w:tcPr>
          <w:p>
            <w:pPr>
              <w:spacing w:after="0"/>
              <w:rPr>
                <w:sz w:val="19"/>
                <w:szCs w:val="19"/>
                <w:color w:val="auto"/>
              </w:rPr>
            </w:pPr>
          </w:p>
        </w:tc>
        <w:tc>
          <w:tcPr>
            <w:tcW w:w="660" w:type="dxa"/>
            <w:vAlign w:val="bottom"/>
            <w:tcBorders>
              <w:bottom w:val="single" w:sz="8" w:color="E8EFF9"/>
            </w:tcBorders>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48</w:t>
            </w:r>
          </w:p>
        </w:tc>
        <w:tc>
          <w:tcPr>
            <w:tcW w:w="200" w:type="dxa"/>
            <w:vAlign w:val="bottom"/>
            <w:tcBorders>
              <w:bottom w:val="single" w:sz="8" w:color="E8EFF9"/>
            </w:tcBorders>
            <w:shd w:val="clear" w:color="auto" w:fill="E8EFF9"/>
          </w:tcPr>
          <w:p>
            <w:pPr>
              <w:spacing w:after="0"/>
              <w:rPr>
                <w:sz w:val="19"/>
                <w:szCs w:val="19"/>
                <w:color w:val="auto"/>
              </w:rPr>
            </w:pPr>
          </w:p>
        </w:tc>
        <w:tc>
          <w:tcPr>
            <w:tcW w:w="660" w:type="dxa"/>
            <w:vAlign w:val="bottom"/>
            <w:tcBorders>
              <w:bottom w:val="single" w:sz="8" w:color="E8EFF9"/>
            </w:tcBorders>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48</w:t>
            </w:r>
          </w:p>
        </w:tc>
        <w:tc>
          <w:tcPr>
            <w:tcW w:w="220" w:type="dxa"/>
            <w:vAlign w:val="bottom"/>
            <w:tcBorders>
              <w:bottom w:val="single" w:sz="8" w:color="E8EFF9"/>
            </w:tcBorders>
            <w:shd w:val="clear" w:color="auto" w:fill="E8EFF9"/>
          </w:tcPr>
          <w:p>
            <w:pPr>
              <w:spacing w:after="0"/>
              <w:rPr>
                <w:sz w:val="19"/>
                <w:szCs w:val="19"/>
                <w:color w:val="auto"/>
              </w:rPr>
            </w:pPr>
          </w:p>
        </w:tc>
        <w:tc>
          <w:tcPr>
            <w:tcW w:w="620" w:type="dxa"/>
            <w:vAlign w:val="bottom"/>
            <w:tcBorders>
              <w:bottom w:val="single" w:sz="8" w:color="E8EFF9"/>
            </w:tcBorders>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20" w:type="dxa"/>
            <w:vAlign w:val="bottom"/>
            <w:tcBorders>
              <w:bottom w:val="single" w:sz="8" w:color="E8EFF9"/>
            </w:tcBorders>
            <w:shd w:val="clear" w:color="auto" w:fill="E8EFF9"/>
          </w:tcPr>
          <w:p>
            <w:pPr>
              <w:spacing w:after="0"/>
              <w:rPr>
                <w:sz w:val="19"/>
                <w:szCs w:val="19"/>
                <w:color w:val="auto"/>
              </w:rPr>
            </w:pPr>
          </w:p>
        </w:tc>
        <w:tc>
          <w:tcPr>
            <w:tcW w:w="660" w:type="dxa"/>
            <w:vAlign w:val="bottom"/>
            <w:tcBorders>
              <w:bottom w:val="single" w:sz="8" w:color="E8EFF9"/>
            </w:tcBorders>
            <w:shd w:val="clear" w:color="auto" w:fill="E8EFF9"/>
          </w:tcPr>
          <w:p>
            <w:pPr>
              <w:jc w:val="right"/>
              <w:ind w:right="8"/>
              <w:spacing w:after="0"/>
              <w:rPr>
                <w:sz w:val="20"/>
                <w:szCs w:val="20"/>
                <w:color w:val="auto"/>
              </w:rPr>
            </w:pPr>
            <w:r>
              <w:rPr>
                <w:rFonts w:ascii="Times New Roman" w:cs="Times New Roman" w:eastAsia="Times New Roman" w:hAnsi="Times New Roman"/>
                <w:sz w:val="14"/>
                <w:szCs w:val="14"/>
                <w:color w:val="auto"/>
              </w:rPr>
              <w:t>91</w:t>
            </w:r>
          </w:p>
        </w:tc>
        <w:tc>
          <w:tcPr>
            <w:tcW w:w="200" w:type="dxa"/>
            <w:vAlign w:val="bottom"/>
            <w:tcBorders>
              <w:bottom w:val="single" w:sz="8" w:color="E8EFF9"/>
            </w:tcBorders>
            <w:shd w:val="clear" w:color="auto" w:fill="E8EFF9"/>
          </w:tcPr>
          <w:p>
            <w:pPr>
              <w:spacing w:after="0"/>
              <w:rPr>
                <w:sz w:val="19"/>
                <w:szCs w:val="19"/>
                <w:color w:val="auto"/>
              </w:rPr>
            </w:pPr>
          </w:p>
        </w:tc>
        <w:tc>
          <w:tcPr>
            <w:tcW w:w="660" w:type="dxa"/>
            <w:vAlign w:val="bottom"/>
            <w:tcBorders>
              <w:bottom w:val="single" w:sz="8" w:color="E8EFF9"/>
            </w:tcBorders>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20" w:type="dxa"/>
            <w:vAlign w:val="bottom"/>
            <w:tcBorders>
              <w:bottom w:val="single" w:sz="8" w:color="E8EFF9"/>
            </w:tcBorders>
            <w:shd w:val="clear" w:color="auto" w:fill="E8EFF9"/>
          </w:tcPr>
          <w:p>
            <w:pPr>
              <w:spacing w:after="0"/>
              <w:rPr>
                <w:sz w:val="19"/>
                <w:szCs w:val="19"/>
                <w:color w:val="auto"/>
              </w:rPr>
            </w:pPr>
          </w:p>
        </w:tc>
        <w:tc>
          <w:tcPr>
            <w:tcW w:w="640" w:type="dxa"/>
            <w:vAlign w:val="bottom"/>
            <w:tcBorders>
              <w:bottom w:val="single" w:sz="8" w:color="E8EFF9"/>
            </w:tcBorders>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90"/>
        </w:trPr>
        <w:tc>
          <w:tcPr>
            <w:tcW w:w="4460" w:type="dxa"/>
            <w:vAlign w:val="bottom"/>
            <w:tcBorders>
              <w:top w:val="single" w:sz="8" w:color="0077C0"/>
              <w:bottom w:val="single" w:sz="8" w:color="0077C0"/>
            </w:tcBorders>
            <w:shd w:val="clear" w:color="auto" w:fill="E8EFF9"/>
          </w:tcPr>
          <w:p>
            <w:pPr>
              <w:ind w:left="20"/>
              <w:spacing w:after="0"/>
              <w:rPr>
                <w:sz w:val="20"/>
                <w:szCs w:val="20"/>
                <w:color w:val="auto"/>
              </w:rPr>
            </w:pPr>
            <w:r>
              <w:rPr>
                <w:rFonts w:ascii="Times New Roman" w:cs="Times New Roman" w:eastAsia="Times New Roman" w:hAnsi="Times New Roman"/>
                <w:sz w:val="14"/>
                <w:szCs w:val="14"/>
                <w:b w:val="1"/>
                <w:bCs w:val="1"/>
                <w:color w:val="0077C0"/>
              </w:rPr>
              <w:t>Total Costs and Other Deductions</w:t>
            </w:r>
          </w:p>
        </w:tc>
        <w:tc>
          <w:tcPr>
            <w:tcW w:w="120" w:type="dxa"/>
            <w:vAlign w:val="bottom"/>
            <w:tcBorders>
              <w:top w:val="single" w:sz="8" w:color="0077C0"/>
              <w:bottom w:val="single" w:sz="8" w:color="0077C0"/>
            </w:tcBorders>
            <w:shd w:val="clear" w:color="auto" w:fill="E8EFF9"/>
          </w:tcPr>
          <w:p>
            <w:pPr>
              <w:spacing w:after="0"/>
              <w:rPr>
                <w:sz w:val="16"/>
                <w:szCs w:val="16"/>
                <w:color w:val="auto"/>
              </w:rPr>
            </w:pPr>
          </w:p>
        </w:tc>
        <w:tc>
          <w:tcPr>
            <w:tcW w:w="690" w:type="dxa"/>
            <w:vAlign w:val="bottom"/>
            <w:tcBorders>
              <w:top w:val="single" w:sz="8" w:color="0077C0"/>
              <w:bottom w:val="single" w:sz="8" w:color="0077C0"/>
            </w:tcBorders>
            <w:shd w:val="clear" w:color="auto" w:fill="E8EFF9"/>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46,167</w:t>
            </w:r>
          </w:p>
        </w:tc>
        <w:tc>
          <w:tcPr>
            <w:tcW w:w="170" w:type="dxa"/>
            <w:vAlign w:val="bottom"/>
            <w:tcBorders>
              <w:top w:val="single" w:sz="8" w:color="0077C0"/>
              <w:bottom w:val="single" w:sz="8" w:color="0077C0"/>
            </w:tcBorders>
            <w:shd w:val="clear" w:color="auto" w:fill="E8EFF9"/>
          </w:tcPr>
          <w:p>
            <w:pPr>
              <w:spacing w:after="0"/>
              <w:rPr>
                <w:sz w:val="16"/>
                <w:szCs w:val="16"/>
                <w:color w:val="auto"/>
              </w:rPr>
            </w:pPr>
          </w:p>
        </w:tc>
        <w:tc>
          <w:tcPr>
            <w:tcW w:w="620" w:type="dxa"/>
            <w:vAlign w:val="bottom"/>
            <w:tcBorders>
              <w:top w:val="single" w:sz="8" w:color="0077C0"/>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44,180</w:t>
            </w:r>
          </w:p>
        </w:tc>
        <w:tc>
          <w:tcPr>
            <w:tcW w:w="220" w:type="dxa"/>
            <w:vAlign w:val="bottom"/>
            <w:tcBorders>
              <w:top w:val="single" w:sz="8" w:color="0077C0"/>
              <w:bottom w:val="single" w:sz="8" w:color="0077C0"/>
            </w:tcBorders>
            <w:shd w:val="clear" w:color="auto" w:fill="E8EFF9"/>
          </w:tcPr>
          <w:p>
            <w:pPr>
              <w:spacing w:after="0"/>
              <w:rPr>
                <w:sz w:val="16"/>
                <w:szCs w:val="16"/>
                <w:color w:val="auto"/>
              </w:rPr>
            </w:pPr>
          </w:p>
        </w:tc>
        <w:tc>
          <w:tcPr>
            <w:tcW w:w="660" w:type="dxa"/>
            <w:vAlign w:val="bottom"/>
            <w:tcBorders>
              <w:top w:val="single" w:sz="8" w:color="0077C0"/>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44,145</w:t>
            </w:r>
          </w:p>
        </w:tc>
        <w:tc>
          <w:tcPr>
            <w:tcW w:w="200" w:type="dxa"/>
            <w:vAlign w:val="bottom"/>
            <w:tcBorders>
              <w:top w:val="single" w:sz="8" w:color="0077C0"/>
              <w:bottom w:val="single" w:sz="8" w:color="0077C0"/>
            </w:tcBorders>
            <w:shd w:val="clear" w:color="auto" w:fill="E8EFF9"/>
          </w:tcPr>
          <w:p>
            <w:pPr>
              <w:spacing w:after="0"/>
              <w:rPr>
                <w:sz w:val="16"/>
                <w:szCs w:val="16"/>
                <w:color w:val="auto"/>
              </w:rPr>
            </w:pPr>
          </w:p>
        </w:tc>
        <w:tc>
          <w:tcPr>
            <w:tcW w:w="660" w:type="dxa"/>
            <w:vAlign w:val="bottom"/>
            <w:tcBorders>
              <w:top w:val="single" w:sz="8" w:color="0077C0"/>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40,794</w:t>
            </w:r>
          </w:p>
        </w:tc>
        <w:tc>
          <w:tcPr>
            <w:tcW w:w="220" w:type="dxa"/>
            <w:vAlign w:val="bottom"/>
            <w:tcBorders>
              <w:top w:val="single" w:sz="8" w:color="0077C0"/>
              <w:bottom w:val="single" w:sz="8" w:color="0077C0"/>
            </w:tcBorders>
            <w:shd w:val="clear" w:color="auto" w:fill="E8EFF9"/>
          </w:tcPr>
          <w:p>
            <w:pPr>
              <w:spacing w:after="0"/>
              <w:rPr>
                <w:sz w:val="16"/>
                <w:szCs w:val="16"/>
                <w:color w:val="auto"/>
              </w:rPr>
            </w:pPr>
          </w:p>
        </w:tc>
        <w:tc>
          <w:tcPr>
            <w:tcW w:w="620" w:type="dxa"/>
            <w:vAlign w:val="bottom"/>
            <w:tcBorders>
              <w:top w:val="single" w:sz="8" w:color="0077C0"/>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43,690</w:t>
            </w:r>
          </w:p>
        </w:tc>
        <w:tc>
          <w:tcPr>
            <w:tcW w:w="220" w:type="dxa"/>
            <w:vAlign w:val="bottom"/>
            <w:tcBorders>
              <w:top w:val="single" w:sz="8" w:color="0077C0"/>
              <w:bottom w:val="single" w:sz="8" w:color="0077C0"/>
            </w:tcBorders>
            <w:shd w:val="clear" w:color="auto" w:fill="E8EFF9"/>
          </w:tcPr>
          <w:p>
            <w:pPr>
              <w:spacing w:after="0"/>
              <w:rPr>
                <w:sz w:val="16"/>
                <w:szCs w:val="16"/>
                <w:color w:val="auto"/>
              </w:rPr>
            </w:pPr>
          </w:p>
        </w:tc>
        <w:tc>
          <w:tcPr>
            <w:tcW w:w="660" w:type="dxa"/>
            <w:vAlign w:val="bottom"/>
            <w:tcBorders>
              <w:top w:val="single" w:sz="8" w:color="0077C0"/>
              <w:bottom w:val="single" w:sz="8" w:color="0077C0"/>
            </w:tcBorders>
            <w:shd w:val="clear" w:color="auto" w:fill="E8EFF9"/>
          </w:tcPr>
          <w:p>
            <w:pPr>
              <w:jc w:val="right"/>
              <w:ind w:right="8"/>
              <w:spacing w:after="0"/>
              <w:rPr>
                <w:sz w:val="20"/>
                <w:szCs w:val="20"/>
                <w:color w:val="auto"/>
              </w:rPr>
            </w:pPr>
            <w:r>
              <w:rPr>
                <w:rFonts w:ascii="Times New Roman" w:cs="Times New Roman" w:eastAsia="Times New Roman" w:hAnsi="Times New Roman"/>
                <w:sz w:val="14"/>
                <w:szCs w:val="14"/>
                <w:color w:val="auto"/>
              </w:rPr>
              <w:t>45,342</w:t>
            </w:r>
          </w:p>
        </w:tc>
        <w:tc>
          <w:tcPr>
            <w:tcW w:w="200" w:type="dxa"/>
            <w:vAlign w:val="bottom"/>
            <w:tcBorders>
              <w:top w:val="single" w:sz="8" w:color="0077C0"/>
              <w:bottom w:val="single" w:sz="8" w:color="0077C0"/>
            </w:tcBorders>
            <w:shd w:val="clear" w:color="auto" w:fill="E8EFF9"/>
          </w:tcPr>
          <w:p>
            <w:pPr>
              <w:spacing w:after="0"/>
              <w:rPr>
                <w:sz w:val="16"/>
                <w:szCs w:val="16"/>
                <w:color w:val="auto"/>
              </w:rPr>
            </w:pPr>
          </w:p>
        </w:tc>
        <w:tc>
          <w:tcPr>
            <w:tcW w:w="660" w:type="dxa"/>
            <w:vAlign w:val="bottom"/>
            <w:tcBorders>
              <w:top w:val="single" w:sz="8" w:color="0077C0"/>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41,059</w:t>
            </w:r>
          </w:p>
        </w:tc>
        <w:tc>
          <w:tcPr>
            <w:tcW w:w="220" w:type="dxa"/>
            <w:vAlign w:val="bottom"/>
            <w:tcBorders>
              <w:top w:val="single" w:sz="8" w:color="0077C0"/>
              <w:bottom w:val="single" w:sz="8" w:color="0077C0"/>
            </w:tcBorders>
            <w:shd w:val="clear" w:color="auto" w:fill="E8EFF9"/>
          </w:tcPr>
          <w:p>
            <w:pPr>
              <w:spacing w:after="0"/>
              <w:rPr>
                <w:sz w:val="16"/>
                <w:szCs w:val="16"/>
                <w:color w:val="auto"/>
              </w:rPr>
            </w:pPr>
          </w:p>
        </w:tc>
        <w:tc>
          <w:tcPr>
            <w:tcW w:w="640" w:type="dxa"/>
            <w:vAlign w:val="bottom"/>
            <w:tcBorders>
              <w:top w:val="single" w:sz="8" w:color="0077C0"/>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41,274</w:t>
            </w:r>
          </w:p>
        </w:tc>
      </w:tr>
      <w:tr>
        <w:trPr>
          <w:trHeight w:val="190"/>
        </w:trPr>
        <w:tc>
          <w:tcPr>
            <w:tcW w:w="4460" w:type="dxa"/>
            <w:vAlign w:val="bottom"/>
            <w:shd w:val="clear" w:color="auto" w:fill="E8EFF9"/>
          </w:tcPr>
          <w:p>
            <w:pPr>
              <w:ind w:left="20"/>
              <w:spacing w:after="0"/>
              <w:rPr>
                <w:sz w:val="20"/>
                <w:szCs w:val="20"/>
                <w:color w:val="auto"/>
              </w:rPr>
            </w:pPr>
            <w:r>
              <w:rPr>
                <w:rFonts w:ascii="Times New Roman" w:cs="Times New Roman" w:eastAsia="Times New Roman" w:hAnsi="Times New Roman"/>
                <w:sz w:val="14"/>
                <w:szCs w:val="14"/>
                <w:b w:val="1"/>
                <w:bCs w:val="1"/>
                <w:color w:val="0077C0"/>
              </w:rPr>
              <w:t>Income (Loss) Before Income Tax Expense</w:t>
            </w:r>
          </w:p>
        </w:tc>
        <w:tc>
          <w:tcPr>
            <w:tcW w:w="120" w:type="dxa"/>
            <w:vAlign w:val="bottom"/>
            <w:shd w:val="clear" w:color="auto" w:fill="E8EFF9"/>
          </w:tcPr>
          <w:p>
            <w:pPr>
              <w:spacing w:after="0"/>
              <w:rPr>
                <w:sz w:val="16"/>
                <w:szCs w:val="16"/>
                <w:color w:val="auto"/>
              </w:rPr>
            </w:pPr>
          </w:p>
        </w:tc>
        <w:tc>
          <w:tcPr>
            <w:tcW w:w="690" w:type="dxa"/>
            <w:vAlign w:val="bottom"/>
            <w:shd w:val="clear" w:color="auto" w:fill="E8EFF9"/>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6,059</w:t>
            </w:r>
          </w:p>
        </w:tc>
        <w:tc>
          <w:tcPr>
            <w:tcW w:w="170" w:type="dxa"/>
            <w:vAlign w:val="bottom"/>
            <w:shd w:val="clear" w:color="auto" w:fill="E8EFF9"/>
          </w:tcPr>
          <w:p>
            <w:pPr>
              <w:spacing w:after="0"/>
              <w:rPr>
                <w:sz w:val="16"/>
                <w:szCs w:val="16"/>
                <w:color w:val="auto"/>
              </w:rPr>
            </w:pPr>
          </w:p>
        </w:tc>
        <w:tc>
          <w:tcPr>
            <w:tcW w:w="62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6,489</w:t>
            </w:r>
          </w:p>
        </w:tc>
        <w:tc>
          <w:tcPr>
            <w:tcW w:w="220" w:type="dxa"/>
            <w:vAlign w:val="bottom"/>
            <w:shd w:val="clear" w:color="auto" w:fill="E8EFF9"/>
          </w:tcPr>
          <w:p>
            <w:pPr>
              <w:spacing w:after="0"/>
              <w:rPr>
                <w:sz w:val="16"/>
                <w:szCs w:val="16"/>
                <w:color w:val="auto"/>
              </w:rPr>
            </w:pPr>
          </w:p>
        </w:tc>
        <w:tc>
          <w:tcPr>
            <w:tcW w:w="6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7,036</w:t>
            </w:r>
          </w:p>
        </w:tc>
        <w:tc>
          <w:tcPr>
            <w:tcW w:w="200" w:type="dxa"/>
            <w:vAlign w:val="bottom"/>
            <w:shd w:val="clear" w:color="auto" w:fill="E8EFF9"/>
          </w:tcPr>
          <w:p>
            <w:pPr>
              <w:spacing w:after="0"/>
              <w:rPr>
                <w:sz w:val="16"/>
                <w:szCs w:val="16"/>
                <w:color w:val="auto"/>
              </w:rPr>
            </w:pPr>
          </w:p>
        </w:tc>
        <w:tc>
          <w:tcPr>
            <w:tcW w:w="6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7,922</w:t>
            </w:r>
          </w:p>
        </w:tc>
        <w:tc>
          <w:tcPr>
            <w:tcW w:w="220" w:type="dxa"/>
            <w:vAlign w:val="bottom"/>
            <w:shd w:val="clear" w:color="auto" w:fill="E8EFF9"/>
          </w:tcPr>
          <w:p>
            <w:pPr>
              <w:spacing w:after="0"/>
              <w:rPr>
                <w:sz w:val="16"/>
                <w:szCs w:val="16"/>
                <w:color w:val="auto"/>
              </w:rPr>
            </w:pPr>
          </w:p>
        </w:tc>
        <w:tc>
          <w:tcPr>
            <w:tcW w:w="62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3,490</w:t>
            </w:r>
          </w:p>
        </w:tc>
        <w:tc>
          <w:tcPr>
            <w:tcW w:w="220" w:type="dxa"/>
            <w:vAlign w:val="bottom"/>
            <w:shd w:val="clear" w:color="auto" w:fill="E8EFF9"/>
          </w:tcPr>
          <w:p>
            <w:pPr>
              <w:spacing w:after="0"/>
              <w:rPr>
                <w:sz w:val="16"/>
                <w:szCs w:val="16"/>
                <w:color w:val="auto"/>
              </w:rPr>
            </w:pPr>
          </w:p>
        </w:tc>
        <w:tc>
          <w:tcPr>
            <w:tcW w:w="660" w:type="dxa"/>
            <w:vAlign w:val="bottom"/>
            <w:shd w:val="clear" w:color="auto" w:fill="E8EFF9"/>
          </w:tcPr>
          <w:p>
            <w:pPr>
              <w:jc w:val="right"/>
              <w:ind w:right="8"/>
              <w:spacing w:after="0"/>
              <w:rPr>
                <w:sz w:val="20"/>
                <w:szCs w:val="20"/>
                <w:color w:val="auto"/>
              </w:rPr>
            </w:pPr>
            <w:r>
              <w:rPr>
                <w:rFonts w:ascii="Times New Roman" w:cs="Times New Roman" w:eastAsia="Times New Roman" w:hAnsi="Times New Roman"/>
                <w:sz w:val="14"/>
                <w:szCs w:val="14"/>
                <w:color w:val="auto"/>
              </w:rPr>
              <w:t>8,738</w:t>
            </w:r>
          </w:p>
        </w:tc>
        <w:tc>
          <w:tcPr>
            <w:tcW w:w="200" w:type="dxa"/>
            <w:vAlign w:val="bottom"/>
            <w:shd w:val="clear" w:color="auto" w:fill="E8EFF9"/>
          </w:tcPr>
          <w:p>
            <w:pPr>
              <w:spacing w:after="0"/>
              <w:rPr>
                <w:sz w:val="16"/>
                <w:szCs w:val="16"/>
                <w:color w:val="auto"/>
              </w:rPr>
            </w:pPr>
          </w:p>
        </w:tc>
        <w:tc>
          <w:tcPr>
            <w:tcW w:w="6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7,837</w:t>
            </w:r>
          </w:p>
        </w:tc>
        <w:tc>
          <w:tcPr>
            <w:tcW w:w="220" w:type="dxa"/>
            <w:vAlign w:val="bottom"/>
            <w:shd w:val="clear" w:color="auto" w:fill="E8EFF9"/>
          </w:tcPr>
          <w:p>
            <w:pPr>
              <w:spacing w:after="0"/>
              <w:rPr>
                <w:sz w:val="16"/>
                <w:szCs w:val="16"/>
                <w:color w:val="auto"/>
              </w:rPr>
            </w:pPr>
          </w:p>
        </w:tc>
        <w:tc>
          <w:tcPr>
            <w:tcW w:w="6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9,519</w:t>
            </w:r>
          </w:p>
        </w:tc>
      </w:tr>
      <w:tr>
        <w:trPr>
          <w:trHeight w:val="220"/>
        </w:trPr>
        <w:tc>
          <w:tcPr>
            <w:tcW w:w="4460" w:type="dxa"/>
            <w:vAlign w:val="bottom"/>
            <w:tcBorders>
              <w:bottom w:val="single" w:sz="8" w:color="E8EFF9"/>
            </w:tcBorders>
            <w:shd w:val="clear" w:color="auto" w:fill="E8EFF9"/>
          </w:tcPr>
          <w:p>
            <w:pPr>
              <w:ind w:left="20"/>
              <w:spacing w:after="0"/>
              <w:rPr>
                <w:sz w:val="20"/>
                <w:szCs w:val="20"/>
                <w:color w:val="auto"/>
              </w:rPr>
            </w:pPr>
            <w:r>
              <w:rPr>
                <w:rFonts w:ascii="Times New Roman" w:cs="Times New Roman" w:eastAsia="Times New Roman" w:hAnsi="Times New Roman"/>
                <w:sz w:val="14"/>
                <w:szCs w:val="14"/>
                <w:b w:val="1"/>
                <w:bCs w:val="1"/>
                <w:color w:val="0077C0"/>
              </w:rPr>
              <w:t>Income Tax Expense (Benefit)</w:t>
            </w:r>
          </w:p>
        </w:tc>
        <w:tc>
          <w:tcPr>
            <w:tcW w:w="120" w:type="dxa"/>
            <w:vAlign w:val="bottom"/>
            <w:tcBorders>
              <w:bottom w:val="single" w:sz="8" w:color="E8EFF9"/>
            </w:tcBorders>
            <w:shd w:val="clear" w:color="auto" w:fill="E8EFF9"/>
          </w:tcPr>
          <w:p>
            <w:pPr>
              <w:spacing w:after="0"/>
              <w:rPr>
                <w:sz w:val="18"/>
                <w:szCs w:val="18"/>
                <w:color w:val="auto"/>
              </w:rPr>
            </w:pPr>
          </w:p>
        </w:tc>
        <w:tc>
          <w:tcPr>
            <w:tcW w:w="690" w:type="dxa"/>
            <w:vAlign w:val="bottom"/>
            <w:tcBorders>
              <w:bottom w:val="single" w:sz="8" w:color="E8EFF9"/>
            </w:tcBorders>
            <w:shd w:val="clear" w:color="auto" w:fill="E8EFF9"/>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2,800</w:t>
            </w:r>
          </w:p>
        </w:tc>
        <w:tc>
          <w:tcPr>
            <w:tcW w:w="170" w:type="dxa"/>
            <w:vAlign w:val="bottom"/>
            <w:tcBorders>
              <w:bottom w:val="single" w:sz="8" w:color="E8EFF9"/>
            </w:tcBorders>
            <w:shd w:val="clear" w:color="auto" w:fill="E8EFF9"/>
          </w:tcPr>
          <w:p>
            <w:pPr>
              <w:spacing w:after="0"/>
              <w:rPr>
                <w:sz w:val="18"/>
                <w:szCs w:val="18"/>
                <w:color w:val="auto"/>
              </w:rPr>
            </w:pPr>
          </w:p>
        </w:tc>
        <w:tc>
          <w:tcPr>
            <w:tcW w:w="620" w:type="dxa"/>
            <w:vAlign w:val="bottom"/>
            <w:tcBorders>
              <w:bottom w:val="single" w:sz="8" w:color="E8EFF9"/>
            </w:tcBorders>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1,993</w:t>
            </w:r>
          </w:p>
        </w:tc>
        <w:tc>
          <w:tcPr>
            <w:tcW w:w="220" w:type="dxa"/>
            <w:vAlign w:val="bottom"/>
            <w:tcBorders>
              <w:bottom w:val="single" w:sz="8" w:color="E8EFF9"/>
            </w:tcBorders>
            <w:shd w:val="clear" w:color="auto" w:fill="E8EFF9"/>
          </w:tcPr>
          <w:p>
            <w:pPr>
              <w:spacing w:after="0"/>
              <w:rPr>
                <w:sz w:val="18"/>
                <w:szCs w:val="18"/>
                <w:color w:val="auto"/>
              </w:rPr>
            </w:pPr>
          </w:p>
        </w:tc>
        <w:tc>
          <w:tcPr>
            <w:tcW w:w="660" w:type="dxa"/>
            <w:vAlign w:val="bottom"/>
            <w:tcBorders>
              <w:bottom w:val="single" w:sz="8" w:color="E8EFF9"/>
            </w:tcBorders>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2,593</w:t>
            </w:r>
          </w:p>
        </w:tc>
        <w:tc>
          <w:tcPr>
            <w:tcW w:w="200" w:type="dxa"/>
            <w:vAlign w:val="bottom"/>
            <w:tcBorders>
              <w:bottom w:val="single" w:sz="8" w:color="E8EFF9"/>
            </w:tcBorders>
            <w:shd w:val="clear" w:color="auto" w:fill="E8EFF9"/>
          </w:tcPr>
          <w:p>
            <w:pPr>
              <w:spacing w:after="0"/>
              <w:rPr>
                <w:sz w:val="18"/>
                <w:szCs w:val="18"/>
                <w:color w:val="auto"/>
              </w:rPr>
            </w:pPr>
          </w:p>
        </w:tc>
        <w:tc>
          <w:tcPr>
            <w:tcW w:w="660" w:type="dxa"/>
            <w:vAlign w:val="bottom"/>
            <w:tcBorders>
              <w:bottom w:val="single" w:sz="8" w:color="E8EFF9"/>
            </w:tcBorders>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2,371</w:t>
            </w:r>
          </w:p>
        </w:tc>
        <w:tc>
          <w:tcPr>
            <w:tcW w:w="220" w:type="dxa"/>
            <w:vAlign w:val="bottom"/>
            <w:tcBorders>
              <w:bottom w:val="single" w:sz="8" w:color="E8EFF9"/>
            </w:tcBorders>
            <w:shd w:val="clear" w:color="auto" w:fill="E8EFF9"/>
          </w:tcPr>
          <w:p>
            <w:pPr>
              <w:spacing w:after="0"/>
              <w:rPr>
                <w:sz w:val="18"/>
                <w:szCs w:val="18"/>
                <w:color w:val="auto"/>
              </w:rPr>
            </w:pPr>
          </w:p>
        </w:tc>
        <w:tc>
          <w:tcPr>
            <w:tcW w:w="620" w:type="dxa"/>
            <w:vAlign w:val="bottom"/>
            <w:tcBorders>
              <w:bottom w:val="single" w:sz="8" w:color="E8EFF9"/>
            </w:tcBorders>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1,247</w:t>
            </w:r>
          </w:p>
        </w:tc>
        <w:tc>
          <w:tcPr>
            <w:tcW w:w="220" w:type="dxa"/>
            <w:vAlign w:val="bottom"/>
            <w:tcBorders>
              <w:bottom w:val="single" w:sz="8" w:color="E8EFF9"/>
            </w:tcBorders>
            <w:shd w:val="clear" w:color="auto" w:fill="E8EFF9"/>
          </w:tcPr>
          <w:p>
            <w:pPr>
              <w:spacing w:after="0"/>
              <w:rPr>
                <w:sz w:val="18"/>
                <w:szCs w:val="18"/>
                <w:color w:val="auto"/>
              </w:rPr>
            </w:pPr>
          </w:p>
        </w:tc>
        <w:tc>
          <w:tcPr>
            <w:tcW w:w="660" w:type="dxa"/>
            <w:vAlign w:val="bottom"/>
            <w:tcBorders>
              <w:bottom w:val="single" w:sz="8" w:color="E8EFF9"/>
            </w:tcBorders>
            <w:shd w:val="clear" w:color="auto" w:fill="E8EFF9"/>
          </w:tcPr>
          <w:p>
            <w:pPr>
              <w:jc w:val="right"/>
              <w:ind w:right="8"/>
              <w:spacing w:after="0"/>
              <w:rPr>
                <w:sz w:val="20"/>
                <w:szCs w:val="20"/>
                <w:color w:val="auto"/>
              </w:rPr>
            </w:pPr>
            <w:r>
              <w:rPr>
                <w:rFonts w:ascii="Times New Roman" w:cs="Times New Roman" w:eastAsia="Times New Roman" w:hAnsi="Times New Roman"/>
                <w:sz w:val="14"/>
                <w:szCs w:val="14"/>
                <w:color w:val="auto"/>
              </w:rPr>
              <w:t>2,183</w:t>
            </w:r>
          </w:p>
        </w:tc>
        <w:tc>
          <w:tcPr>
            <w:tcW w:w="200" w:type="dxa"/>
            <w:vAlign w:val="bottom"/>
            <w:tcBorders>
              <w:bottom w:val="single" w:sz="8" w:color="E8EFF9"/>
            </w:tcBorders>
            <w:shd w:val="clear" w:color="auto" w:fill="E8EFF9"/>
          </w:tcPr>
          <w:p>
            <w:pPr>
              <w:spacing w:after="0"/>
              <w:rPr>
                <w:sz w:val="18"/>
                <w:szCs w:val="18"/>
                <w:color w:val="auto"/>
              </w:rPr>
            </w:pPr>
          </w:p>
        </w:tc>
        <w:tc>
          <w:tcPr>
            <w:tcW w:w="660" w:type="dxa"/>
            <w:vAlign w:val="bottom"/>
            <w:tcBorders>
              <w:bottom w:val="single" w:sz="8" w:color="E8EFF9"/>
            </w:tcBorders>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1,829</w:t>
            </w:r>
          </w:p>
        </w:tc>
        <w:tc>
          <w:tcPr>
            <w:tcW w:w="220" w:type="dxa"/>
            <w:vAlign w:val="bottom"/>
            <w:tcBorders>
              <w:bottom w:val="single" w:sz="8" w:color="E8EFF9"/>
            </w:tcBorders>
            <w:shd w:val="clear" w:color="auto" w:fill="E8EFF9"/>
          </w:tcPr>
          <w:p>
            <w:pPr>
              <w:spacing w:after="0"/>
              <w:rPr>
                <w:sz w:val="18"/>
                <w:szCs w:val="18"/>
                <w:color w:val="auto"/>
              </w:rPr>
            </w:pPr>
          </w:p>
        </w:tc>
        <w:tc>
          <w:tcPr>
            <w:tcW w:w="640" w:type="dxa"/>
            <w:vAlign w:val="bottom"/>
            <w:tcBorders>
              <w:bottom w:val="single" w:sz="8" w:color="E8EFF9"/>
            </w:tcBorders>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2,914</w:t>
            </w:r>
          </w:p>
        </w:tc>
      </w:tr>
      <w:tr>
        <w:trPr>
          <w:trHeight w:val="190"/>
        </w:trPr>
        <w:tc>
          <w:tcPr>
            <w:tcW w:w="4460" w:type="dxa"/>
            <w:vAlign w:val="bottom"/>
            <w:tcBorders>
              <w:top w:val="single" w:sz="8" w:color="0077C0"/>
              <w:bottom w:val="single" w:sz="8" w:color="0077C0"/>
            </w:tcBorders>
            <w:shd w:val="clear" w:color="auto" w:fill="E8EFF9"/>
          </w:tcPr>
          <w:p>
            <w:pPr>
              <w:ind w:left="20"/>
              <w:spacing w:after="0"/>
              <w:rPr>
                <w:sz w:val="20"/>
                <w:szCs w:val="20"/>
                <w:color w:val="auto"/>
              </w:rPr>
            </w:pPr>
            <w:r>
              <w:rPr>
                <w:rFonts w:ascii="Times New Roman" w:cs="Times New Roman" w:eastAsia="Times New Roman" w:hAnsi="Times New Roman"/>
                <w:sz w:val="14"/>
                <w:szCs w:val="14"/>
                <w:b w:val="1"/>
                <w:bCs w:val="1"/>
                <w:color w:val="0077C0"/>
              </w:rPr>
              <w:t>Net Income (Loss)</w:t>
            </w:r>
          </w:p>
        </w:tc>
        <w:tc>
          <w:tcPr>
            <w:tcW w:w="120" w:type="dxa"/>
            <w:vAlign w:val="bottom"/>
            <w:tcBorders>
              <w:top w:val="single" w:sz="8" w:color="0077C0"/>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90" w:type="dxa"/>
            <w:vAlign w:val="bottom"/>
            <w:tcBorders>
              <w:top w:val="single" w:sz="8" w:color="0077C0"/>
              <w:bottom w:val="single" w:sz="8" w:color="0077C0"/>
            </w:tcBorders>
            <w:shd w:val="clear" w:color="auto" w:fill="E8EFF9"/>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3,259</w:t>
            </w:r>
          </w:p>
        </w:tc>
        <w:tc>
          <w:tcPr>
            <w:tcW w:w="170" w:type="dxa"/>
            <w:vAlign w:val="bottom"/>
            <w:tcBorders>
              <w:top w:val="single" w:sz="8" w:color="0077C0"/>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0077C0"/>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4,496</w:t>
            </w:r>
          </w:p>
        </w:tc>
        <w:tc>
          <w:tcPr>
            <w:tcW w:w="220" w:type="dxa"/>
            <w:vAlign w:val="bottom"/>
            <w:tcBorders>
              <w:top w:val="single" w:sz="8" w:color="0077C0"/>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0077C0"/>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4,443</w:t>
            </w:r>
          </w:p>
        </w:tc>
        <w:tc>
          <w:tcPr>
            <w:tcW w:w="200" w:type="dxa"/>
            <w:vAlign w:val="bottom"/>
            <w:tcBorders>
              <w:top w:val="single" w:sz="8" w:color="0077C0"/>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0077C0"/>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5,551</w:t>
            </w:r>
          </w:p>
        </w:tc>
        <w:tc>
          <w:tcPr>
            <w:tcW w:w="220" w:type="dxa"/>
            <w:vAlign w:val="bottom"/>
            <w:tcBorders>
              <w:top w:val="single" w:sz="8" w:color="0077C0"/>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0077C0"/>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2,243</w:t>
            </w:r>
          </w:p>
        </w:tc>
        <w:tc>
          <w:tcPr>
            <w:tcW w:w="220" w:type="dxa"/>
            <w:vAlign w:val="bottom"/>
            <w:tcBorders>
              <w:top w:val="single" w:sz="8" w:color="0077C0"/>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0077C0"/>
              <w:bottom w:val="single" w:sz="8" w:color="0077C0"/>
            </w:tcBorders>
            <w:shd w:val="clear" w:color="auto" w:fill="E8EFF9"/>
          </w:tcPr>
          <w:p>
            <w:pPr>
              <w:jc w:val="right"/>
              <w:ind w:right="8"/>
              <w:spacing w:after="0"/>
              <w:rPr>
                <w:sz w:val="20"/>
                <w:szCs w:val="20"/>
                <w:color w:val="auto"/>
              </w:rPr>
            </w:pPr>
            <w:r>
              <w:rPr>
                <w:rFonts w:ascii="Times New Roman" w:cs="Times New Roman" w:eastAsia="Times New Roman" w:hAnsi="Times New Roman"/>
                <w:sz w:val="14"/>
                <w:szCs w:val="14"/>
                <w:color w:val="auto"/>
              </w:rPr>
              <w:t>6,555</w:t>
            </w:r>
          </w:p>
        </w:tc>
        <w:tc>
          <w:tcPr>
            <w:tcW w:w="200" w:type="dxa"/>
            <w:vAlign w:val="bottom"/>
            <w:tcBorders>
              <w:top w:val="single" w:sz="8" w:color="0077C0"/>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0077C0"/>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6,008</w:t>
            </w:r>
          </w:p>
        </w:tc>
        <w:tc>
          <w:tcPr>
            <w:tcW w:w="220" w:type="dxa"/>
            <w:vAlign w:val="bottom"/>
            <w:tcBorders>
              <w:top w:val="single" w:sz="8" w:color="0077C0"/>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0077C0"/>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6,605</w:t>
            </w:r>
          </w:p>
        </w:tc>
      </w:tr>
      <w:tr>
        <w:trPr>
          <w:trHeight w:val="196"/>
        </w:trPr>
        <w:tc>
          <w:tcPr>
            <w:tcW w:w="4460" w:type="dxa"/>
            <w:vAlign w:val="bottom"/>
            <w:tcBorders>
              <w:bottom w:val="single" w:sz="8" w:color="0077C0"/>
            </w:tcBorders>
            <w:shd w:val="clear" w:color="auto" w:fill="E8EFF9"/>
          </w:tcPr>
          <w:p>
            <w:pPr>
              <w:ind w:left="100"/>
              <w:spacing w:after="0"/>
              <w:rPr>
                <w:sz w:val="20"/>
                <w:szCs w:val="20"/>
                <w:color w:val="auto"/>
              </w:rPr>
            </w:pPr>
            <w:r>
              <w:rPr>
                <w:rFonts w:ascii="Times New Roman" w:cs="Times New Roman" w:eastAsia="Times New Roman" w:hAnsi="Times New Roman"/>
                <w:sz w:val="14"/>
                <w:szCs w:val="14"/>
                <w:color w:val="auto"/>
              </w:rPr>
              <w:t>Less: Net income (loss) attributable to noncontrolling interests</w:t>
            </w:r>
          </w:p>
        </w:tc>
        <w:tc>
          <w:tcPr>
            <w:tcW w:w="120" w:type="dxa"/>
            <w:vAlign w:val="bottom"/>
            <w:tcBorders>
              <w:bottom w:val="single" w:sz="8" w:color="0077C0"/>
            </w:tcBorders>
            <w:shd w:val="clear" w:color="auto" w:fill="E8EFF9"/>
          </w:tcPr>
          <w:p>
            <w:pPr>
              <w:spacing w:after="0"/>
              <w:rPr>
                <w:sz w:val="17"/>
                <w:szCs w:val="17"/>
                <w:color w:val="auto"/>
              </w:rPr>
            </w:pPr>
          </w:p>
        </w:tc>
        <w:tc>
          <w:tcPr>
            <w:tcW w:w="690" w:type="dxa"/>
            <w:vAlign w:val="bottom"/>
            <w:tcBorders>
              <w:bottom w:val="single" w:sz="8" w:color="0077C0"/>
            </w:tcBorders>
            <w:shd w:val="clear" w:color="auto" w:fill="E8EFF9"/>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20</w:t>
            </w:r>
          </w:p>
        </w:tc>
        <w:tc>
          <w:tcPr>
            <w:tcW w:w="170" w:type="dxa"/>
            <w:vAlign w:val="bottom"/>
            <w:tcBorders>
              <w:bottom w:val="single" w:sz="8" w:color="0077C0"/>
            </w:tcBorders>
            <w:shd w:val="clear" w:color="auto" w:fill="E8EFF9"/>
          </w:tcPr>
          <w:p>
            <w:pPr>
              <w:spacing w:after="0"/>
              <w:rPr>
                <w:sz w:val="17"/>
                <w:szCs w:val="17"/>
                <w:color w:val="auto"/>
              </w:rPr>
            </w:pPr>
          </w:p>
        </w:tc>
        <w:tc>
          <w:tcPr>
            <w:tcW w:w="62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220" w:type="dxa"/>
            <w:vAlign w:val="bottom"/>
            <w:tcBorders>
              <w:bottom w:val="single" w:sz="8" w:color="0077C0"/>
            </w:tcBorders>
            <w:shd w:val="clear" w:color="auto" w:fill="E8EFF9"/>
          </w:tcPr>
          <w:p>
            <w:pPr>
              <w:spacing w:after="0"/>
              <w:rPr>
                <w:sz w:val="17"/>
                <w:szCs w:val="17"/>
                <w:color w:val="auto"/>
              </w:rPr>
            </w:pPr>
          </w:p>
        </w:tc>
        <w:tc>
          <w:tcPr>
            <w:tcW w:w="66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200" w:type="dxa"/>
            <w:vAlign w:val="bottom"/>
            <w:tcBorders>
              <w:bottom w:val="single" w:sz="8" w:color="0077C0"/>
            </w:tcBorders>
            <w:shd w:val="clear" w:color="auto" w:fill="E8EFF9"/>
          </w:tcPr>
          <w:p>
            <w:pPr>
              <w:spacing w:after="0"/>
              <w:rPr>
                <w:sz w:val="17"/>
                <w:szCs w:val="17"/>
                <w:color w:val="auto"/>
              </w:rPr>
            </w:pPr>
          </w:p>
        </w:tc>
        <w:tc>
          <w:tcPr>
            <w:tcW w:w="66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50</w:t>
            </w:r>
          </w:p>
        </w:tc>
        <w:tc>
          <w:tcPr>
            <w:tcW w:w="220" w:type="dxa"/>
            <w:vAlign w:val="bottom"/>
            <w:tcBorders>
              <w:bottom w:val="single" w:sz="8" w:color="0077C0"/>
            </w:tcBorders>
            <w:shd w:val="clear" w:color="auto" w:fill="E8EFF9"/>
          </w:tcPr>
          <w:p>
            <w:pPr>
              <w:spacing w:after="0"/>
              <w:rPr>
                <w:sz w:val="17"/>
                <w:szCs w:val="17"/>
                <w:color w:val="auto"/>
              </w:rPr>
            </w:pPr>
          </w:p>
        </w:tc>
        <w:tc>
          <w:tcPr>
            <w:tcW w:w="62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20" w:type="dxa"/>
            <w:vAlign w:val="bottom"/>
            <w:tcBorders>
              <w:bottom w:val="single" w:sz="8" w:color="0077C0"/>
            </w:tcBorders>
            <w:shd w:val="clear" w:color="auto" w:fill="E8EFF9"/>
          </w:tcPr>
          <w:p>
            <w:pPr>
              <w:spacing w:after="0"/>
              <w:rPr>
                <w:sz w:val="17"/>
                <w:szCs w:val="17"/>
                <w:color w:val="auto"/>
              </w:rPr>
            </w:pPr>
          </w:p>
        </w:tc>
        <w:tc>
          <w:tcPr>
            <w:tcW w:w="660" w:type="dxa"/>
            <w:vAlign w:val="bottom"/>
            <w:tcBorders>
              <w:bottom w:val="single" w:sz="8" w:color="0077C0"/>
            </w:tcBorders>
            <w:shd w:val="clear" w:color="auto" w:fill="E8EFF9"/>
          </w:tcPr>
          <w:p>
            <w:pPr>
              <w:jc w:val="right"/>
              <w:ind w:right="8"/>
              <w:spacing w:after="0"/>
              <w:rPr>
                <w:sz w:val="20"/>
                <w:szCs w:val="20"/>
                <w:color w:val="auto"/>
              </w:rPr>
            </w:pPr>
            <w:r>
              <w:rPr>
                <w:rFonts w:ascii="Times New Roman" w:cs="Times New Roman" w:eastAsia="Times New Roman" w:hAnsi="Times New Roman"/>
                <w:sz w:val="14"/>
                <w:szCs w:val="14"/>
                <w:color w:val="auto"/>
              </w:rPr>
              <w:t>29</w:t>
            </w:r>
          </w:p>
        </w:tc>
        <w:tc>
          <w:tcPr>
            <w:tcW w:w="200" w:type="dxa"/>
            <w:vAlign w:val="bottom"/>
            <w:tcBorders>
              <w:bottom w:val="single" w:sz="8" w:color="0077C0"/>
            </w:tcBorders>
            <w:shd w:val="clear" w:color="auto" w:fill="E8EFF9"/>
          </w:tcPr>
          <w:p>
            <w:pPr>
              <w:spacing w:after="0"/>
              <w:rPr>
                <w:sz w:val="17"/>
                <w:szCs w:val="17"/>
                <w:color w:val="auto"/>
              </w:rPr>
            </w:pPr>
          </w:p>
        </w:tc>
        <w:tc>
          <w:tcPr>
            <w:tcW w:w="66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Borders>
              <w:bottom w:val="single" w:sz="8" w:color="0077C0"/>
            </w:tcBorders>
            <w:shd w:val="clear" w:color="auto" w:fill="E8EFF9"/>
          </w:tcPr>
          <w:p>
            <w:pPr>
              <w:spacing w:after="0"/>
              <w:rPr>
                <w:sz w:val="17"/>
                <w:szCs w:val="17"/>
                <w:color w:val="auto"/>
              </w:rPr>
            </w:pPr>
          </w:p>
        </w:tc>
        <w:tc>
          <w:tcPr>
            <w:tcW w:w="64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96"/>
        </w:trPr>
        <w:tc>
          <w:tcPr>
            <w:tcW w:w="4460" w:type="dxa"/>
            <w:vAlign w:val="bottom"/>
            <w:tcBorders>
              <w:bottom w:val="single" w:sz="8" w:color="0077C0"/>
            </w:tcBorders>
            <w:shd w:val="clear" w:color="auto" w:fill="E8EFF9"/>
          </w:tcPr>
          <w:p>
            <w:pPr>
              <w:ind w:left="20"/>
              <w:spacing w:after="0"/>
              <w:rPr>
                <w:sz w:val="20"/>
                <w:szCs w:val="20"/>
                <w:color w:val="auto"/>
              </w:rPr>
            </w:pPr>
            <w:r>
              <w:rPr>
                <w:rFonts w:ascii="Times New Roman" w:cs="Times New Roman" w:eastAsia="Times New Roman" w:hAnsi="Times New Roman"/>
                <w:sz w:val="14"/>
                <w:szCs w:val="14"/>
                <w:b w:val="1"/>
                <w:bCs w:val="1"/>
                <w:color w:val="0077C0"/>
              </w:rPr>
              <w:t>Net Income (Loss) Attributable to Chevron Corporation</w:t>
            </w:r>
          </w:p>
        </w:tc>
        <w:tc>
          <w:tcPr>
            <w:tcW w:w="12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90" w:type="dxa"/>
            <w:vAlign w:val="bottom"/>
            <w:tcBorders>
              <w:bottom w:val="single" w:sz="8" w:color="0077C0"/>
            </w:tcBorders>
            <w:shd w:val="clear" w:color="auto" w:fill="E8EFF9"/>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3,239</w:t>
            </w:r>
          </w:p>
        </w:tc>
        <w:tc>
          <w:tcPr>
            <w:tcW w:w="17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4,487</w:t>
            </w:r>
          </w:p>
        </w:tc>
        <w:tc>
          <w:tcPr>
            <w:tcW w:w="22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4,434</w:t>
            </w:r>
          </w:p>
        </w:tc>
        <w:tc>
          <w:tcPr>
            <w:tcW w:w="2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5,501</w:t>
            </w:r>
          </w:p>
        </w:tc>
        <w:tc>
          <w:tcPr>
            <w:tcW w:w="22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2,259</w:t>
            </w:r>
          </w:p>
        </w:tc>
        <w:tc>
          <w:tcPr>
            <w:tcW w:w="22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0077C0"/>
            </w:tcBorders>
            <w:shd w:val="clear" w:color="auto" w:fill="E8EFF9"/>
          </w:tcPr>
          <w:p>
            <w:pPr>
              <w:jc w:val="right"/>
              <w:ind w:right="8"/>
              <w:spacing w:after="0"/>
              <w:rPr>
                <w:sz w:val="20"/>
                <w:szCs w:val="20"/>
                <w:color w:val="auto"/>
              </w:rPr>
            </w:pPr>
            <w:r>
              <w:rPr>
                <w:rFonts w:ascii="Times New Roman" w:cs="Times New Roman" w:eastAsia="Times New Roman" w:hAnsi="Times New Roman"/>
                <w:sz w:val="14"/>
                <w:szCs w:val="14"/>
                <w:color w:val="auto"/>
              </w:rPr>
              <w:t>6,526</w:t>
            </w:r>
          </w:p>
        </w:tc>
        <w:tc>
          <w:tcPr>
            <w:tcW w:w="2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6,010</w:t>
            </w:r>
          </w:p>
        </w:tc>
        <w:tc>
          <w:tcPr>
            <w:tcW w:w="22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6,574</w:t>
            </w:r>
          </w:p>
        </w:tc>
      </w:tr>
      <w:tr>
        <w:trPr>
          <w:trHeight w:val="190"/>
        </w:trPr>
        <w:tc>
          <w:tcPr>
            <w:tcW w:w="4460" w:type="dxa"/>
            <w:vAlign w:val="bottom"/>
            <w:shd w:val="clear" w:color="auto" w:fill="E8EFF9"/>
          </w:tcPr>
          <w:p>
            <w:pPr>
              <w:ind w:left="20"/>
              <w:spacing w:after="0"/>
              <w:rPr>
                <w:sz w:val="20"/>
                <w:szCs w:val="20"/>
                <w:color w:val="auto"/>
              </w:rPr>
            </w:pPr>
            <w:r>
              <w:rPr>
                <w:rFonts w:ascii="Times New Roman" w:cs="Times New Roman" w:eastAsia="Times New Roman" w:hAnsi="Times New Roman"/>
                <w:sz w:val="14"/>
                <w:szCs w:val="14"/>
                <w:b w:val="1"/>
                <w:bCs w:val="1"/>
                <w:color w:val="0077C0"/>
              </w:rPr>
              <w:t>Per Share of Common Stock</w:t>
            </w:r>
          </w:p>
        </w:tc>
        <w:tc>
          <w:tcPr>
            <w:tcW w:w="120" w:type="dxa"/>
            <w:vAlign w:val="bottom"/>
            <w:shd w:val="clear" w:color="auto" w:fill="E8EFF9"/>
          </w:tcPr>
          <w:p>
            <w:pPr>
              <w:spacing w:after="0"/>
              <w:rPr>
                <w:sz w:val="16"/>
                <w:szCs w:val="16"/>
                <w:color w:val="auto"/>
              </w:rPr>
            </w:pPr>
          </w:p>
        </w:tc>
        <w:tc>
          <w:tcPr>
            <w:tcW w:w="690" w:type="dxa"/>
            <w:vAlign w:val="bottom"/>
            <w:shd w:val="clear" w:color="auto" w:fill="E8EFF9"/>
          </w:tcPr>
          <w:p>
            <w:pPr>
              <w:spacing w:after="0"/>
              <w:rPr>
                <w:sz w:val="16"/>
                <w:szCs w:val="16"/>
                <w:color w:val="auto"/>
              </w:rPr>
            </w:pPr>
          </w:p>
        </w:tc>
        <w:tc>
          <w:tcPr>
            <w:tcW w:w="170" w:type="dxa"/>
            <w:vAlign w:val="bottom"/>
            <w:shd w:val="clear" w:color="auto" w:fill="E8EFF9"/>
          </w:tcPr>
          <w:p>
            <w:pPr>
              <w:spacing w:after="0"/>
              <w:rPr>
                <w:sz w:val="16"/>
                <w:szCs w:val="16"/>
                <w:color w:val="auto"/>
              </w:rPr>
            </w:pPr>
          </w:p>
        </w:tc>
        <w:tc>
          <w:tcPr>
            <w:tcW w:w="620" w:type="dxa"/>
            <w:vAlign w:val="bottom"/>
            <w:shd w:val="clear" w:color="auto" w:fill="E8EFF9"/>
          </w:tcPr>
          <w:p>
            <w:pPr>
              <w:spacing w:after="0"/>
              <w:rPr>
                <w:sz w:val="16"/>
                <w:szCs w:val="16"/>
                <w:color w:val="auto"/>
              </w:rPr>
            </w:pPr>
          </w:p>
        </w:tc>
        <w:tc>
          <w:tcPr>
            <w:tcW w:w="220" w:type="dxa"/>
            <w:vAlign w:val="bottom"/>
            <w:shd w:val="clear" w:color="auto" w:fill="E8EFF9"/>
          </w:tcPr>
          <w:p>
            <w:pPr>
              <w:spacing w:after="0"/>
              <w:rPr>
                <w:sz w:val="16"/>
                <w:szCs w:val="16"/>
                <w:color w:val="auto"/>
              </w:rPr>
            </w:pPr>
          </w:p>
        </w:tc>
        <w:tc>
          <w:tcPr>
            <w:tcW w:w="660" w:type="dxa"/>
            <w:vAlign w:val="bottom"/>
            <w:shd w:val="clear" w:color="auto" w:fill="E8EFF9"/>
          </w:tcPr>
          <w:p>
            <w:pPr>
              <w:spacing w:after="0"/>
              <w:rPr>
                <w:sz w:val="16"/>
                <w:szCs w:val="16"/>
                <w:color w:val="auto"/>
              </w:rPr>
            </w:pPr>
          </w:p>
        </w:tc>
        <w:tc>
          <w:tcPr>
            <w:tcW w:w="200" w:type="dxa"/>
            <w:vAlign w:val="bottom"/>
            <w:shd w:val="clear" w:color="auto" w:fill="E8EFF9"/>
          </w:tcPr>
          <w:p>
            <w:pPr>
              <w:spacing w:after="0"/>
              <w:rPr>
                <w:sz w:val="16"/>
                <w:szCs w:val="16"/>
                <w:color w:val="auto"/>
              </w:rPr>
            </w:pPr>
          </w:p>
        </w:tc>
        <w:tc>
          <w:tcPr>
            <w:tcW w:w="660" w:type="dxa"/>
            <w:vAlign w:val="bottom"/>
            <w:shd w:val="clear" w:color="auto" w:fill="E8EFF9"/>
          </w:tcPr>
          <w:p>
            <w:pPr>
              <w:spacing w:after="0"/>
              <w:rPr>
                <w:sz w:val="16"/>
                <w:szCs w:val="16"/>
                <w:color w:val="auto"/>
              </w:rPr>
            </w:pPr>
          </w:p>
        </w:tc>
        <w:tc>
          <w:tcPr>
            <w:tcW w:w="220" w:type="dxa"/>
            <w:vAlign w:val="bottom"/>
            <w:shd w:val="clear" w:color="auto" w:fill="E8EFF9"/>
          </w:tcPr>
          <w:p>
            <w:pPr>
              <w:spacing w:after="0"/>
              <w:rPr>
                <w:sz w:val="16"/>
                <w:szCs w:val="16"/>
                <w:color w:val="auto"/>
              </w:rPr>
            </w:pPr>
          </w:p>
        </w:tc>
        <w:tc>
          <w:tcPr>
            <w:tcW w:w="620" w:type="dxa"/>
            <w:vAlign w:val="bottom"/>
            <w:shd w:val="clear" w:color="auto" w:fill="E8EFF9"/>
          </w:tcPr>
          <w:p>
            <w:pPr>
              <w:spacing w:after="0"/>
              <w:rPr>
                <w:sz w:val="16"/>
                <w:szCs w:val="16"/>
                <w:color w:val="auto"/>
              </w:rPr>
            </w:pPr>
          </w:p>
        </w:tc>
        <w:tc>
          <w:tcPr>
            <w:tcW w:w="220" w:type="dxa"/>
            <w:vAlign w:val="bottom"/>
            <w:shd w:val="clear" w:color="auto" w:fill="E8EFF9"/>
          </w:tcPr>
          <w:p>
            <w:pPr>
              <w:spacing w:after="0"/>
              <w:rPr>
                <w:sz w:val="16"/>
                <w:szCs w:val="16"/>
                <w:color w:val="auto"/>
              </w:rPr>
            </w:pPr>
          </w:p>
        </w:tc>
        <w:tc>
          <w:tcPr>
            <w:tcW w:w="660" w:type="dxa"/>
            <w:vAlign w:val="bottom"/>
            <w:shd w:val="clear" w:color="auto" w:fill="E8EFF9"/>
          </w:tcPr>
          <w:p>
            <w:pPr>
              <w:spacing w:after="0"/>
              <w:rPr>
                <w:sz w:val="16"/>
                <w:szCs w:val="16"/>
                <w:color w:val="auto"/>
              </w:rPr>
            </w:pPr>
          </w:p>
        </w:tc>
        <w:tc>
          <w:tcPr>
            <w:tcW w:w="200" w:type="dxa"/>
            <w:vAlign w:val="bottom"/>
            <w:shd w:val="clear" w:color="auto" w:fill="E8EFF9"/>
          </w:tcPr>
          <w:p>
            <w:pPr>
              <w:spacing w:after="0"/>
              <w:rPr>
                <w:sz w:val="16"/>
                <w:szCs w:val="16"/>
                <w:color w:val="auto"/>
              </w:rPr>
            </w:pPr>
          </w:p>
        </w:tc>
        <w:tc>
          <w:tcPr>
            <w:tcW w:w="660" w:type="dxa"/>
            <w:vAlign w:val="bottom"/>
            <w:shd w:val="clear" w:color="auto" w:fill="E8EFF9"/>
          </w:tcPr>
          <w:p>
            <w:pPr>
              <w:spacing w:after="0"/>
              <w:rPr>
                <w:sz w:val="16"/>
                <w:szCs w:val="16"/>
                <w:color w:val="auto"/>
              </w:rPr>
            </w:pPr>
          </w:p>
        </w:tc>
        <w:tc>
          <w:tcPr>
            <w:tcW w:w="220" w:type="dxa"/>
            <w:vAlign w:val="bottom"/>
            <w:shd w:val="clear" w:color="auto" w:fill="E8EFF9"/>
          </w:tcPr>
          <w:p>
            <w:pPr>
              <w:spacing w:after="0"/>
              <w:rPr>
                <w:sz w:val="16"/>
                <w:szCs w:val="16"/>
                <w:color w:val="auto"/>
              </w:rPr>
            </w:pPr>
          </w:p>
        </w:tc>
        <w:tc>
          <w:tcPr>
            <w:tcW w:w="640" w:type="dxa"/>
            <w:vAlign w:val="bottom"/>
            <w:shd w:val="clear" w:color="auto" w:fill="E8EFF9"/>
          </w:tcPr>
          <w:p>
            <w:pPr>
              <w:spacing w:after="0"/>
              <w:rPr>
                <w:sz w:val="16"/>
                <w:szCs w:val="16"/>
                <w:color w:val="auto"/>
              </w:rPr>
            </w:pPr>
          </w:p>
        </w:tc>
      </w:tr>
      <w:tr>
        <w:trPr>
          <w:trHeight w:val="191"/>
        </w:trPr>
        <w:tc>
          <w:tcPr>
            <w:tcW w:w="4460" w:type="dxa"/>
            <w:vAlign w:val="bottom"/>
            <w:shd w:val="clear" w:color="auto" w:fill="E8EFF9"/>
          </w:tcPr>
          <w:p>
            <w:pPr>
              <w:ind w:left="100"/>
              <w:spacing w:after="0"/>
              <w:rPr>
                <w:sz w:val="20"/>
                <w:szCs w:val="20"/>
                <w:color w:val="auto"/>
              </w:rPr>
            </w:pPr>
            <w:r>
              <w:rPr>
                <w:rFonts w:ascii="Times New Roman" w:cs="Times New Roman" w:eastAsia="Times New Roman" w:hAnsi="Times New Roman"/>
                <w:sz w:val="14"/>
                <w:szCs w:val="14"/>
                <w:b w:val="1"/>
                <w:bCs w:val="1"/>
                <w:color w:val="0077C0"/>
              </w:rPr>
              <w:t>Net Income (Loss) Attributable to Chevron Corporation</w:t>
            </w:r>
          </w:p>
        </w:tc>
        <w:tc>
          <w:tcPr>
            <w:tcW w:w="120" w:type="dxa"/>
            <w:vAlign w:val="bottom"/>
            <w:shd w:val="clear" w:color="auto" w:fill="E8EFF9"/>
          </w:tcPr>
          <w:p>
            <w:pPr>
              <w:spacing w:after="0"/>
              <w:rPr>
                <w:sz w:val="16"/>
                <w:szCs w:val="16"/>
                <w:color w:val="auto"/>
              </w:rPr>
            </w:pPr>
          </w:p>
        </w:tc>
        <w:tc>
          <w:tcPr>
            <w:tcW w:w="690" w:type="dxa"/>
            <w:vAlign w:val="bottom"/>
            <w:shd w:val="clear" w:color="auto" w:fill="E8EFF9"/>
          </w:tcPr>
          <w:p>
            <w:pPr>
              <w:spacing w:after="0"/>
              <w:rPr>
                <w:sz w:val="16"/>
                <w:szCs w:val="16"/>
                <w:color w:val="auto"/>
              </w:rPr>
            </w:pPr>
          </w:p>
        </w:tc>
        <w:tc>
          <w:tcPr>
            <w:tcW w:w="170" w:type="dxa"/>
            <w:vAlign w:val="bottom"/>
            <w:shd w:val="clear" w:color="auto" w:fill="E8EFF9"/>
          </w:tcPr>
          <w:p>
            <w:pPr>
              <w:spacing w:after="0"/>
              <w:rPr>
                <w:sz w:val="16"/>
                <w:szCs w:val="16"/>
                <w:color w:val="auto"/>
              </w:rPr>
            </w:pPr>
          </w:p>
        </w:tc>
        <w:tc>
          <w:tcPr>
            <w:tcW w:w="620" w:type="dxa"/>
            <w:vAlign w:val="bottom"/>
            <w:shd w:val="clear" w:color="auto" w:fill="E8EFF9"/>
          </w:tcPr>
          <w:p>
            <w:pPr>
              <w:spacing w:after="0"/>
              <w:rPr>
                <w:sz w:val="16"/>
                <w:szCs w:val="16"/>
                <w:color w:val="auto"/>
              </w:rPr>
            </w:pPr>
          </w:p>
        </w:tc>
        <w:tc>
          <w:tcPr>
            <w:tcW w:w="220" w:type="dxa"/>
            <w:vAlign w:val="bottom"/>
            <w:shd w:val="clear" w:color="auto" w:fill="E8EFF9"/>
          </w:tcPr>
          <w:p>
            <w:pPr>
              <w:spacing w:after="0"/>
              <w:rPr>
                <w:sz w:val="16"/>
                <w:szCs w:val="16"/>
                <w:color w:val="auto"/>
              </w:rPr>
            </w:pPr>
          </w:p>
        </w:tc>
        <w:tc>
          <w:tcPr>
            <w:tcW w:w="660" w:type="dxa"/>
            <w:vAlign w:val="bottom"/>
            <w:shd w:val="clear" w:color="auto" w:fill="E8EFF9"/>
          </w:tcPr>
          <w:p>
            <w:pPr>
              <w:spacing w:after="0"/>
              <w:rPr>
                <w:sz w:val="16"/>
                <w:szCs w:val="16"/>
                <w:color w:val="auto"/>
              </w:rPr>
            </w:pPr>
          </w:p>
        </w:tc>
        <w:tc>
          <w:tcPr>
            <w:tcW w:w="200" w:type="dxa"/>
            <w:vAlign w:val="bottom"/>
            <w:shd w:val="clear" w:color="auto" w:fill="E8EFF9"/>
          </w:tcPr>
          <w:p>
            <w:pPr>
              <w:spacing w:after="0"/>
              <w:rPr>
                <w:sz w:val="16"/>
                <w:szCs w:val="16"/>
                <w:color w:val="auto"/>
              </w:rPr>
            </w:pPr>
          </w:p>
        </w:tc>
        <w:tc>
          <w:tcPr>
            <w:tcW w:w="660" w:type="dxa"/>
            <w:vAlign w:val="bottom"/>
            <w:shd w:val="clear" w:color="auto" w:fill="E8EFF9"/>
          </w:tcPr>
          <w:p>
            <w:pPr>
              <w:spacing w:after="0"/>
              <w:rPr>
                <w:sz w:val="16"/>
                <w:szCs w:val="16"/>
                <w:color w:val="auto"/>
              </w:rPr>
            </w:pPr>
          </w:p>
        </w:tc>
        <w:tc>
          <w:tcPr>
            <w:tcW w:w="220" w:type="dxa"/>
            <w:vAlign w:val="bottom"/>
            <w:shd w:val="clear" w:color="auto" w:fill="E8EFF9"/>
          </w:tcPr>
          <w:p>
            <w:pPr>
              <w:spacing w:after="0"/>
              <w:rPr>
                <w:sz w:val="16"/>
                <w:szCs w:val="16"/>
                <w:color w:val="auto"/>
              </w:rPr>
            </w:pPr>
          </w:p>
        </w:tc>
        <w:tc>
          <w:tcPr>
            <w:tcW w:w="620" w:type="dxa"/>
            <w:vAlign w:val="bottom"/>
            <w:shd w:val="clear" w:color="auto" w:fill="E8EFF9"/>
          </w:tcPr>
          <w:p>
            <w:pPr>
              <w:spacing w:after="0"/>
              <w:rPr>
                <w:sz w:val="16"/>
                <w:szCs w:val="16"/>
                <w:color w:val="auto"/>
              </w:rPr>
            </w:pPr>
          </w:p>
        </w:tc>
        <w:tc>
          <w:tcPr>
            <w:tcW w:w="220" w:type="dxa"/>
            <w:vAlign w:val="bottom"/>
            <w:shd w:val="clear" w:color="auto" w:fill="E8EFF9"/>
          </w:tcPr>
          <w:p>
            <w:pPr>
              <w:spacing w:after="0"/>
              <w:rPr>
                <w:sz w:val="16"/>
                <w:szCs w:val="16"/>
                <w:color w:val="auto"/>
              </w:rPr>
            </w:pPr>
          </w:p>
        </w:tc>
        <w:tc>
          <w:tcPr>
            <w:tcW w:w="660" w:type="dxa"/>
            <w:vAlign w:val="bottom"/>
            <w:shd w:val="clear" w:color="auto" w:fill="E8EFF9"/>
          </w:tcPr>
          <w:p>
            <w:pPr>
              <w:spacing w:after="0"/>
              <w:rPr>
                <w:sz w:val="16"/>
                <w:szCs w:val="16"/>
                <w:color w:val="auto"/>
              </w:rPr>
            </w:pPr>
          </w:p>
        </w:tc>
        <w:tc>
          <w:tcPr>
            <w:tcW w:w="200" w:type="dxa"/>
            <w:vAlign w:val="bottom"/>
            <w:shd w:val="clear" w:color="auto" w:fill="E8EFF9"/>
          </w:tcPr>
          <w:p>
            <w:pPr>
              <w:spacing w:after="0"/>
              <w:rPr>
                <w:sz w:val="16"/>
                <w:szCs w:val="16"/>
                <w:color w:val="auto"/>
              </w:rPr>
            </w:pPr>
          </w:p>
        </w:tc>
        <w:tc>
          <w:tcPr>
            <w:tcW w:w="660" w:type="dxa"/>
            <w:vAlign w:val="bottom"/>
            <w:shd w:val="clear" w:color="auto" w:fill="E8EFF9"/>
          </w:tcPr>
          <w:p>
            <w:pPr>
              <w:spacing w:after="0"/>
              <w:rPr>
                <w:sz w:val="16"/>
                <w:szCs w:val="16"/>
                <w:color w:val="auto"/>
              </w:rPr>
            </w:pPr>
          </w:p>
        </w:tc>
        <w:tc>
          <w:tcPr>
            <w:tcW w:w="220" w:type="dxa"/>
            <w:vAlign w:val="bottom"/>
            <w:shd w:val="clear" w:color="auto" w:fill="E8EFF9"/>
          </w:tcPr>
          <w:p>
            <w:pPr>
              <w:spacing w:after="0"/>
              <w:rPr>
                <w:sz w:val="16"/>
                <w:szCs w:val="16"/>
                <w:color w:val="auto"/>
              </w:rPr>
            </w:pPr>
          </w:p>
        </w:tc>
        <w:tc>
          <w:tcPr>
            <w:tcW w:w="640" w:type="dxa"/>
            <w:vAlign w:val="bottom"/>
            <w:shd w:val="clear" w:color="auto" w:fill="E8EFF9"/>
          </w:tcPr>
          <w:p>
            <w:pPr>
              <w:spacing w:after="0"/>
              <w:rPr>
                <w:sz w:val="16"/>
                <w:szCs w:val="16"/>
                <w:color w:val="auto"/>
              </w:rPr>
            </w:pPr>
          </w:p>
        </w:tc>
      </w:tr>
      <w:tr>
        <w:trPr>
          <w:trHeight w:val="230"/>
        </w:trPr>
        <w:tc>
          <w:tcPr>
            <w:tcW w:w="4460" w:type="dxa"/>
            <w:vAlign w:val="bottom"/>
            <w:shd w:val="clear" w:color="auto" w:fill="E8EFF9"/>
          </w:tcPr>
          <w:p>
            <w:pPr>
              <w:ind w:left="220"/>
              <w:spacing w:after="0"/>
              <w:rPr>
                <w:sz w:val="20"/>
                <w:szCs w:val="20"/>
                <w:color w:val="auto"/>
              </w:rPr>
            </w:pPr>
            <w:r>
              <w:rPr>
                <w:rFonts w:ascii="Times New Roman" w:cs="Times New Roman" w:eastAsia="Times New Roman" w:hAnsi="Times New Roman"/>
                <w:sz w:val="14"/>
                <w:szCs w:val="14"/>
                <w:b w:val="1"/>
                <w:bCs w:val="1"/>
                <w:color w:val="0077C0"/>
              </w:rPr>
              <w:t>– Basic</w:t>
            </w:r>
          </w:p>
        </w:tc>
        <w:tc>
          <w:tcPr>
            <w:tcW w:w="12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90" w:type="dxa"/>
            <w:vAlign w:val="bottom"/>
            <w:shd w:val="clear" w:color="auto" w:fill="E8EFF9"/>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1.85</w:t>
            </w:r>
          </w:p>
        </w:tc>
        <w:tc>
          <w:tcPr>
            <w:tcW w:w="17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2.49</w:t>
            </w:r>
          </w:p>
        </w:tc>
        <w:tc>
          <w:tcPr>
            <w:tcW w:w="22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2.43</w:t>
            </w:r>
          </w:p>
        </w:tc>
        <w:tc>
          <w:tcPr>
            <w:tcW w:w="2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2.99</w:t>
            </w:r>
          </w:p>
        </w:tc>
        <w:tc>
          <w:tcPr>
            <w:tcW w:w="22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22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E8EFF9"/>
          </w:tcPr>
          <w:p>
            <w:pPr>
              <w:jc w:val="right"/>
              <w:ind w:right="8"/>
              <w:spacing w:after="0"/>
              <w:rPr>
                <w:sz w:val="20"/>
                <w:szCs w:val="20"/>
                <w:color w:val="auto"/>
              </w:rPr>
            </w:pPr>
            <w:r>
              <w:rPr>
                <w:rFonts w:ascii="Times New Roman" w:cs="Times New Roman" w:eastAsia="Times New Roman" w:hAnsi="Times New Roman"/>
                <w:sz w:val="14"/>
                <w:szCs w:val="14"/>
                <w:color w:val="auto"/>
              </w:rPr>
              <w:t>3.48</w:t>
            </w:r>
          </w:p>
        </w:tc>
        <w:tc>
          <w:tcPr>
            <w:tcW w:w="2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22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3.48</w:t>
            </w:r>
          </w:p>
        </w:tc>
      </w:tr>
      <w:tr>
        <w:trPr>
          <w:trHeight w:val="231"/>
        </w:trPr>
        <w:tc>
          <w:tcPr>
            <w:tcW w:w="4460" w:type="dxa"/>
            <w:vAlign w:val="bottom"/>
            <w:tcBorders>
              <w:bottom w:val="single" w:sz="8" w:color="E8EFF9"/>
            </w:tcBorders>
            <w:shd w:val="clear" w:color="auto" w:fill="E8EFF9"/>
          </w:tcPr>
          <w:p>
            <w:pPr>
              <w:ind w:left="220"/>
              <w:spacing w:after="0"/>
              <w:rPr>
                <w:sz w:val="20"/>
                <w:szCs w:val="20"/>
                <w:color w:val="auto"/>
              </w:rPr>
            </w:pPr>
            <w:r>
              <w:rPr>
                <w:rFonts w:ascii="Times New Roman" w:cs="Times New Roman" w:eastAsia="Times New Roman" w:hAnsi="Times New Roman"/>
                <w:sz w:val="14"/>
                <w:szCs w:val="14"/>
                <w:b w:val="1"/>
                <w:bCs w:val="1"/>
                <w:color w:val="0077C0"/>
              </w:rPr>
              <w:t>– Diluted</w:t>
            </w:r>
          </w:p>
        </w:tc>
        <w:tc>
          <w:tcPr>
            <w:tcW w:w="120" w:type="dxa"/>
            <w:vAlign w:val="bottom"/>
            <w:tcBorders>
              <w:bottom w:val="single" w:sz="8" w:color="E8EFF9"/>
            </w:tcBorders>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90" w:type="dxa"/>
            <w:vAlign w:val="bottom"/>
            <w:tcBorders>
              <w:bottom w:val="single" w:sz="8" w:color="E8EFF9"/>
            </w:tcBorders>
            <w:shd w:val="clear" w:color="auto" w:fill="E8EFF9"/>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1.84</w:t>
            </w:r>
          </w:p>
        </w:tc>
        <w:tc>
          <w:tcPr>
            <w:tcW w:w="170" w:type="dxa"/>
            <w:vAlign w:val="bottom"/>
            <w:tcBorders>
              <w:bottom w:val="single" w:sz="8" w:color="E8EFF9"/>
            </w:tcBorders>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E8EFF9"/>
            </w:tcBorders>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2.48</w:t>
            </w:r>
          </w:p>
        </w:tc>
        <w:tc>
          <w:tcPr>
            <w:tcW w:w="220" w:type="dxa"/>
            <w:vAlign w:val="bottom"/>
            <w:tcBorders>
              <w:bottom w:val="single" w:sz="8" w:color="E8EFF9"/>
            </w:tcBorders>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E8EFF9"/>
            </w:tcBorders>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2.43</w:t>
            </w:r>
          </w:p>
        </w:tc>
        <w:tc>
          <w:tcPr>
            <w:tcW w:w="200" w:type="dxa"/>
            <w:vAlign w:val="bottom"/>
            <w:tcBorders>
              <w:bottom w:val="single" w:sz="8" w:color="E8EFF9"/>
            </w:tcBorders>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E8EFF9"/>
            </w:tcBorders>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2.97</w:t>
            </w:r>
          </w:p>
        </w:tc>
        <w:tc>
          <w:tcPr>
            <w:tcW w:w="220" w:type="dxa"/>
            <w:vAlign w:val="bottom"/>
            <w:tcBorders>
              <w:bottom w:val="single" w:sz="8" w:color="E8EFF9"/>
            </w:tcBorders>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E8EFF9"/>
            </w:tcBorders>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220" w:type="dxa"/>
            <w:vAlign w:val="bottom"/>
            <w:tcBorders>
              <w:bottom w:val="single" w:sz="8" w:color="E8EFF9"/>
            </w:tcBorders>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E8EFF9"/>
            </w:tcBorders>
            <w:shd w:val="clear" w:color="auto" w:fill="E8EFF9"/>
          </w:tcPr>
          <w:p>
            <w:pPr>
              <w:jc w:val="right"/>
              <w:ind w:right="8"/>
              <w:spacing w:after="0"/>
              <w:rPr>
                <w:sz w:val="20"/>
                <w:szCs w:val="20"/>
                <w:color w:val="auto"/>
              </w:rPr>
            </w:pPr>
            <w:r>
              <w:rPr>
                <w:rFonts w:ascii="Times New Roman" w:cs="Times New Roman" w:eastAsia="Times New Roman" w:hAnsi="Times New Roman"/>
                <w:sz w:val="14"/>
                <w:szCs w:val="14"/>
                <w:color w:val="auto"/>
              </w:rPr>
              <w:t>3.48</w:t>
            </w:r>
          </w:p>
        </w:tc>
        <w:tc>
          <w:tcPr>
            <w:tcW w:w="200" w:type="dxa"/>
            <w:vAlign w:val="bottom"/>
            <w:tcBorders>
              <w:bottom w:val="single" w:sz="8" w:color="E8EFF9"/>
            </w:tcBorders>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E8EFF9"/>
            </w:tcBorders>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220" w:type="dxa"/>
            <w:vAlign w:val="bottom"/>
            <w:tcBorders>
              <w:bottom w:val="single" w:sz="8" w:color="E8EFF9"/>
            </w:tcBorders>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E8EFF9"/>
            </w:tcBorders>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3.46</w:t>
            </w:r>
          </w:p>
        </w:tc>
      </w:tr>
      <w:tr>
        <w:trPr>
          <w:trHeight w:val="190"/>
        </w:trPr>
        <w:tc>
          <w:tcPr>
            <w:tcW w:w="4460" w:type="dxa"/>
            <w:vAlign w:val="bottom"/>
            <w:tcBorders>
              <w:top w:val="single" w:sz="8" w:color="0077C0"/>
              <w:bottom w:val="single" w:sz="8" w:color="0077C0"/>
            </w:tcBorders>
            <w:shd w:val="clear" w:color="auto" w:fill="E8EFF9"/>
          </w:tcPr>
          <w:p>
            <w:pPr>
              <w:ind w:left="20"/>
              <w:spacing w:after="0"/>
              <w:rPr>
                <w:sz w:val="20"/>
                <w:szCs w:val="20"/>
                <w:color w:val="auto"/>
              </w:rPr>
            </w:pPr>
            <w:r>
              <w:rPr>
                <w:rFonts w:ascii="Times New Roman" w:cs="Times New Roman" w:eastAsia="Times New Roman" w:hAnsi="Times New Roman"/>
                <w:sz w:val="14"/>
                <w:szCs w:val="14"/>
                <w:b w:val="1"/>
                <w:bCs w:val="1"/>
                <w:color w:val="0077C0"/>
              </w:rPr>
              <w:t>Dividends per share</w:t>
            </w:r>
          </w:p>
        </w:tc>
        <w:tc>
          <w:tcPr>
            <w:tcW w:w="120" w:type="dxa"/>
            <w:vAlign w:val="bottom"/>
            <w:tcBorders>
              <w:top w:val="single" w:sz="8" w:color="0077C0"/>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90" w:type="dxa"/>
            <w:vAlign w:val="bottom"/>
            <w:tcBorders>
              <w:top w:val="single" w:sz="8" w:color="0077C0"/>
              <w:bottom w:val="single" w:sz="8" w:color="0077C0"/>
            </w:tcBorders>
            <w:shd w:val="clear" w:color="auto" w:fill="E8EFF9"/>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1.63</w:t>
            </w:r>
          </w:p>
        </w:tc>
        <w:tc>
          <w:tcPr>
            <w:tcW w:w="170" w:type="dxa"/>
            <w:vAlign w:val="bottom"/>
            <w:tcBorders>
              <w:top w:val="single" w:sz="8" w:color="0077C0"/>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0077C0"/>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1.63</w:t>
            </w:r>
          </w:p>
        </w:tc>
        <w:tc>
          <w:tcPr>
            <w:tcW w:w="220" w:type="dxa"/>
            <w:vAlign w:val="bottom"/>
            <w:tcBorders>
              <w:top w:val="single" w:sz="8" w:color="0077C0"/>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0077C0"/>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1.63</w:t>
            </w:r>
          </w:p>
        </w:tc>
        <w:tc>
          <w:tcPr>
            <w:tcW w:w="200" w:type="dxa"/>
            <w:vAlign w:val="bottom"/>
            <w:tcBorders>
              <w:top w:val="single" w:sz="8" w:color="0077C0"/>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0077C0"/>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b w:val="1"/>
                <w:bCs w:val="1"/>
                <w:color w:val="auto"/>
              </w:rPr>
              <w:t>1.63</w:t>
            </w:r>
          </w:p>
        </w:tc>
        <w:tc>
          <w:tcPr>
            <w:tcW w:w="220" w:type="dxa"/>
            <w:vAlign w:val="bottom"/>
            <w:tcBorders>
              <w:top w:val="single" w:sz="8" w:color="0077C0"/>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0077C0"/>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220" w:type="dxa"/>
            <w:vAlign w:val="bottom"/>
            <w:tcBorders>
              <w:top w:val="single" w:sz="8" w:color="0077C0"/>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0077C0"/>
              <w:bottom w:val="single" w:sz="8" w:color="0077C0"/>
            </w:tcBorders>
            <w:shd w:val="clear" w:color="auto" w:fill="E8EFF9"/>
          </w:tcPr>
          <w:p>
            <w:pPr>
              <w:jc w:val="right"/>
              <w:ind w:right="8"/>
              <w:spacing w:after="0"/>
              <w:rPr>
                <w:sz w:val="20"/>
                <w:szCs w:val="20"/>
                <w:color w:val="auto"/>
              </w:rPr>
            </w:pPr>
            <w:r>
              <w:rPr>
                <w:rFonts w:ascii="Times New Roman" w:cs="Times New Roman" w:eastAsia="Times New Roman" w:hAnsi="Times New Roman"/>
                <w:sz w:val="14"/>
                <w:szCs w:val="14"/>
                <w:color w:val="auto"/>
              </w:rPr>
              <w:t>1.51</w:t>
            </w:r>
          </w:p>
        </w:tc>
        <w:tc>
          <w:tcPr>
            <w:tcW w:w="200" w:type="dxa"/>
            <w:vAlign w:val="bottom"/>
            <w:tcBorders>
              <w:top w:val="single" w:sz="8" w:color="0077C0"/>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0077C0"/>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220" w:type="dxa"/>
            <w:vAlign w:val="bottom"/>
            <w:tcBorders>
              <w:top w:val="single" w:sz="8" w:color="0077C0"/>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0077C0"/>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4"/>
                <w:szCs w:val="14"/>
                <w:color w:val="auto"/>
              </w:rPr>
              <w:t>1.51</w:t>
            </w:r>
          </w:p>
        </w:tc>
      </w:tr>
      <w:tr>
        <w:trPr>
          <w:trHeight w:val="5143"/>
        </w:trPr>
        <w:tc>
          <w:tcPr>
            <w:tcW w:w="4460" w:type="dxa"/>
            <w:vAlign w:val="bottom"/>
            <w:shd w:val="clear" w:color="auto" w:fill="E8EFF9"/>
          </w:tcPr>
          <w:p>
            <w:pPr>
              <w:spacing w:after="0"/>
              <w:rPr>
                <w:sz w:val="24"/>
                <w:szCs w:val="24"/>
                <w:color w:val="auto"/>
              </w:rPr>
            </w:pPr>
          </w:p>
        </w:tc>
        <w:tc>
          <w:tcPr>
            <w:tcW w:w="120" w:type="dxa"/>
            <w:vAlign w:val="bottom"/>
            <w:shd w:val="clear" w:color="auto" w:fill="E8EFF9"/>
          </w:tcPr>
          <w:p>
            <w:pPr>
              <w:spacing w:after="0"/>
              <w:rPr>
                <w:sz w:val="24"/>
                <w:szCs w:val="24"/>
                <w:color w:val="auto"/>
              </w:rPr>
            </w:pPr>
          </w:p>
        </w:tc>
        <w:tc>
          <w:tcPr>
            <w:tcW w:w="690" w:type="dxa"/>
            <w:vAlign w:val="bottom"/>
            <w:shd w:val="clear" w:color="auto" w:fill="E8EFF9"/>
          </w:tcPr>
          <w:p>
            <w:pPr>
              <w:spacing w:after="0"/>
              <w:rPr>
                <w:sz w:val="24"/>
                <w:szCs w:val="24"/>
                <w:color w:val="auto"/>
              </w:rPr>
            </w:pPr>
          </w:p>
        </w:tc>
        <w:tc>
          <w:tcPr>
            <w:tcW w:w="170" w:type="dxa"/>
            <w:vAlign w:val="bottom"/>
            <w:shd w:val="clear" w:color="auto" w:fill="E8EFF9"/>
          </w:tcPr>
          <w:p>
            <w:pPr>
              <w:spacing w:after="0"/>
              <w:rPr>
                <w:sz w:val="24"/>
                <w:szCs w:val="24"/>
                <w:color w:val="auto"/>
              </w:rPr>
            </w:pPr>
          </w:p>
        </w:tc>
        <w:tc>
          <w:tcPr>
            <w:tcW w:w="620" w:type="dxa"/>
            <w:vAlign w:val="bottom"/>
            <w:shd w:val="clear" w:color="auto" w:fill="E8EFF9"/>
          </w:tcPr>
          <w:p>
            <w:pPr>
              <w:spacing w:after="0"/>
              <w:rPr>
                <w:sz w:val="24"/>
                <w:szCs w:val="24"/>
                <w:color w:val="auto"/>
              </w:rPr>
            </w:pPr>
          </w:p>
        </w:tc>
        <w:tc>
          <w:tcPr>
            <w:tcW w:w="220" w:type="dxa"/>
            <w:vAlign w:val="bottom"/>
            <w:shd w:val="clear" w:color="auto" w:fill="E8EFF9"/>
          </w:tcPr>
          <w:p>
            <w:pPr>
              <w:spacing w:after="0"/>
              <w:rPr>
                <w:sz w:val="24"/>
                <w:szCs w:val="24"/>
                <w:color w:val="auto"/>
              </w:rPr>
            </w:pPr>
          </w:p>
        </w:tc>
        <w:tc>
          <w:tcPr>
            <w:tcW w:w="660" w:type="dxa"/>
            <w:vAlign w:val="bottom"/>
            <w:shd w:val="clear" w:color="auto" w:fill="E8EFF9"/>
          </w:tcPr>
          <w:p>
            <w:pPr>
              <w:spacing w:after="0"/>
              <w:rPr>
                <w:sz w:val="24"/>
                <w:szCs w:val="24"/>
                <w:color w:val="auto"/>
              </w:rPr>
            </w:pPr>
          </w:p>
        </w:tc>
        <w:tc>
          <w:tcPr>
            <w:tcW w:w="200" w:type="dxa"/>
            <w:vAlign w:val="bottom"/>
            <w:shd w:val="clear" w:color="auto" w:fill="E8EFF9"/>
          </w:tcPr>
          <w:p>
            <w:pPr>
              <w:spacing w:after="0"/>
              <w:rPr>
                <w:sz w:val="24"/>
                <w:szCs w:val="24"/>
                <w:color w:val="auto"/>
              </w:rPr>
            </w:pPr>
          </w:p>
        </w:tc>
        <w:tc>
          <w:tcPr>
            <w:tcW w:w="660" w:type="dxa"/>
            <w:vAlign w:val="bottom"/>
            <w:shd w:val="clear" w:color="auto" w:fill="E8EFF9"/>
          </w:tcPr>
          <w:p>
            <w:pPr>
              <w:spacing w:after="0"/>
              <w:rPr>
                <w:sz w:val="24"/>
                <w:szCs w:val="24"/>
                <w:color w:val="auto"/>
              </w:rPr>
            </w:pPr>
          </w:p>
        </w:tc>
        <w:tc>
          <w:tcPr>
            <w:tcW w:w="220" w:type="dxa"/>
            <w:vAlign w:val="bottom"/>
            <w:shd w:val="clear" w:color="auto" w:fill="E8EFF9"/>
          </w:tcPr>
          <w:p>
            <w:pPr>
              <w:spacing w:after="0"/>
              <w:rPr>
                <w:sz w:val="24"/>
                <w:szCs w:val="24"/>
                <w:color w:val="auto"/>
              </w:rPr>
            </w:pPr>
          </w:p>
        </w:tc>
        <w:tc>
          <w:tcPr>
            <w:tcW w:w="620" w:type="dxa"/>
            <w:vAlign w:val="bottom"/>
            <w:shd w:val="clear" w:color="auto" w:fill="E8EFF9"/>
          </w:tcPr>
          <w:p>
            <w:pPr>
              <w:spacing w:after="0"/>
              <w:rPr>
                <w:sz w:val="24"/>
                <w:szCs w:val="24"/>
                <w:color w:val="auto"/>
              </w:rPr>
            </w:pPr>
          </w:p>
        </w:tc>
        <w:tc>
          <w:tcPr>
            <w:tcW w:w="220" w:type="dxa"/>
            <w:vAlign w:val="bottom"/>
            <w:shd w:val="clear" w:color="auto" w:fill="E8EFF9"/>
          </w:tcPr>
          <w:p>
            <w:pPr>
              <w:spacing w:after="0"/>
              <w:rPr>
                <w:sz w:val="24"/>
                <w:szCs w:val="24"/>
                <w:color w:val="auto"/>
              </w:rPr>
            </w:pPr>
          </w:p>
        </w:tc>
        <w:tc>
          <w:tcPr>
            <w:tcW w:w="660" w:type="dxa"/>
            <w:vAlign w:val="bottom"/>
            <w:shd w:val="clear" w:color="auto" w:fill="E8EFF9"/>
          </w:tcPr>
          <w:p>
            <w:pPr>
              <w:spacing w:after="0"/>
              <w:rPr>
                <w:sz w:val="24"/>
                <w:szCs w:val="24"/>
                <w:color w:val="auto"/>
              </w:rPr>
            </w:pPr>
          </w:p>
        </w:tc>
        <w:tc>
          <w:tcPr>
            <w:tcW w:w="200" w:type="dxa"/>
            <w:vAlign w:val="bottom"/>
            <w:shd w:val="clear" w:color="auto" w:fill="E8EFF9"/>
          </w:tcPr>
          <w:p>
            <w:pPr>
              <w:spacing w:after="0"/>
              <w:rPr>
                <w:sz w:val="24"/>
                <w:szCs w:val="24"/>
                <w:color w:val="auto"/>
              </w:rPr>
            </w:pPr>
          </w:p>
        </w:tc>
        <w:tc>
          <w:tcPr>
            <w:tcW w:w="660" w:type="dxa"/>
            <w:vAlign w:val="bottom"/>
            <w:shd w:val="clear" w:color="auto" w:fill="E8EFF9"/>
          </w:tcPr>
          <w:p>
            <w:pPr>
              <w:spacing w:after="0"/>
              <w:rPr>
                <w:sz w:val="24"/>
                <w:szCs w:val="24"/>
                <w:color w:val="auto"/>
              </w:rPr>
            </w:pPr>
          </w:p>
        </w:tc>
        <w:tc>
          <w:tcPr>
            <w:tcW w:w="220" w:type="dxa"/>
            <w:vAlign w:val="bottom"/>
            <w:shd w:val="clear" w:color="auto" w:fill="E8EFF9"/>
          </w:tcPr>
          <w:p>
            <w:pPr>
              <w:spacing w:after="0"/>
              <w:rPr>
                <w:sz w:val="24"/>
                <w:szCs w:val="24"/>
                <w:color w:val="auto"/>
              </w:rPr>
            </w:pPr>
          </w:p>
        </w:tc>
        <w:tc>
          <w:tcPr>
            <w:tcW w:w="640" w:type="dxa"/>
            <w:vAlign w:val="bottom"/>
            <w:shd w:val="clear" w:color="auto" w:fill="E8EFF9"/>
          </w:tcPr>
          <w:p>
            <w:pPr>
              <w:spacing w:after="0"/>
              <w:rPr>
                <w:sz w:val="24"/>
                <w:szCs w:val="24"/>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4"/>
          <w:szCs w:val="14"/>
          <w:color w:val="0077C0"/>
        </w:rPr>
        <w:t>Financial 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358140</wp:posOffset>
            </wp:positionV>
            <wp:extent cx="7132320" cy="52463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5246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77C0"/>
        </w:rPr>
        <w:t>Management’s Responsibility for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-127635</wp:posOffset>
            </wp:positionV>
            <wp:extent cx="7029450" cy="51860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29450" cy="5186045"/>
                    </a:xfrm>
                    <a:prstGeom prst="rect">
                      <a:avLst/>
                    </a:prstGeom>
                    <a:noFill/>
                  </pic:spPr>
                </pic:pic>
              </a:graphicData>
            </a:graphic>
          </wp:anchor>
        </w:drawing>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0077C0"/>
        </w:rPr>
        <w:t>To the Stockholders of Chevron Corporation</w:t>
      </w:r>
    </w:p>
    <w:p>
      <w:pPr>
        <w:spacing w:after="0" w:line="133" w:lineRule="exact"/>
        <w:rPr>
          <w:sz w:val="20"/>
          <w:szCs w:val="20"/>
          <w:color w:val="auto"/>
        </w:rPr>
      </w:pPr>
    </w:p>
    <w:p>
      <w:pPr>
        <w:jc w:val="both"/>
        <w:ind w:left="20" w:right="220"/>
        <w:spacing w:after="0" w:line="271" w:lineRule="auto"/>
        <w:rPr>
          <w:sz w:val="20"/>
          <w:szCs w:val="20"/>
          <w:color w:val="auto"/>
        </w:rPr>
      </w:pPr>
      <w:r>
        <w:rPr>
          <w:rFonts w:ascii="Times New Roman" w:cs="Times New Roman" w:eastAsia="Times New Roman" w:hAnsi="Times New Roman"/>
          <w:sz w:val="18"/>
          <w:szCs w:val="18"/>
          <w:color w:val="auto"/>
        </w:rPr>
        <w:t>Management of Chevron Corporation is responsible for preparing the accompanying consolidated financial statements and the related information appearing in this report. The statements were prepared in accordance with accounting principles generally accepted in the United States of America and fairly represent the transactions and financial position of the company. The financial statements include amounts that are based on management’s best estimates and judgments.</w:t>
      </w:r>
    </w:p>
    <w:p>
      <w:pPr>
        <w:spacing w:after="0" w:line="64" w:lineRule="exact"/>
        <w:rPr>
          <w:sz w:val="20"/>
          <w:szCs w:val="20"/>
          <w:color w:val="auto"/>
        </w:rPr>
      </w:pPr>
    </w:p>
    <w:p>
      <w:pPr>
        <w:jc w:val="both"/>
        <w:ind w:left="20" w:right="220"/>
        <w:spacing w:after="0" w:line="297" w:lineRule="auto"/>
        <w:rPr>
          <w:sz w:val="20"/>
          <w:szCs w:val="20"/>
          <w:color w:val="auto"/>
        </w:rPr>
      </w:pPr>
      <w:r>
        <w:rPr>
          <w:rFonts w:ascii="Times New Roman" w:cs="Times New Roman" w:eastAsia="Times New Roman" w:hAnsi="Times New Roman"/>
          <w:sz w:val="18"/>
          <w:szCs w:val="18"/>
          <w:color w:val="auto"/>
        </w:rPr>
        <w:t>As stated in its report included herein, the independent registered public accounting firm of PricewaterhouseCoopers LLP has audited the company’s consolidated financial statements in accordance with the standards of the Public Company Accounting Oversight Board (United States).</w:t>
      </w:r>
    </w:p>
    <w:p>
      <w:pPr>
        <w:spacing w:after="0" w:line="55" w:lineRule="exact"/>
        <w:rPr>
          <w:sz w:val="20"/>
          <w:szCs w:val="20"/>
          <w:color w:val="auto"/>
        </w:rPr>
      </w:pPr>
    </w:p>
    <w:p>
      <w:pPr>
        <w:jc w:val="both"/>
        <w:ind w:left="20" w:right="220"/>
        <w:spacing w:after="0" w:line="271" w:lineRule="auto"/>
        <w:rPr>
          <w:sz w:val="20"/>
          <w:szCs w:val="20"/>
          <w:color w:val="auto"/>
        </w:rPr>
      </w:pPr>
      <w:r>
        <w:rPr>
          <w:rFonts w:ascii="Times New Roman" w:cs="Times New Roman" w:eastAsia="Times New Roman" w:hAnsi="Times New Roman"/>
          <w:sz w:val="18"/>
          <w:szCs w:val="18"/>
          <w:color w:val="auto"/>
        </w:rPr>
        <w:t>The Board of Directors of Chevron has an Audit Committee composed of directors who are not officers or employees of the company. The Audit Committee meets regularly with members of management, the internal auditors and the independent registered public accounting firm to review accounting, internal control, auditing and financial reporting matters. Both the internal auditors and the independent registered public accounting firm have free and direct access to the Audit Committee without the presence of management.</w:t>
      </w:r>
    </w:p>
    <w:p>
      <w:pPr>
        <w:spacing w:after="0" w:line="64" w:lineRule="exact"/>
        <w:rPr>
          <w:sz w:val="20"/>
          <w:szCs w:val="20"/>
          <w:color w:val="auto"/>
        </w:rPr>
      </w:pPr>
    </w:p>
    <w:p>
      <w:pPr>
        <w:jc w:val="both"/>
        <w:ind w:left="20" w:right="220"/>
        <w:spacing w:after="0" w:line="271" w:lineRule="auto"/>
        <w:rPr>
          <w:sz w:val="20"/>
          <w:szCs w:val="20"/>
          <w:color w:val="auto"/>
        </w:rPr>
      </w:pPr>
      <w:r>
        <w:rPr>
          <w:rFonts w:ascii="Times New Roman" w:cs="Times New Roman" w:eastAsia="Times New Roman" w:hAnsi="Times New Roman"/>
          <w:sz w:val="18"/>
          <w:szCs w:val="18"/>
          <w:color w:val="auto"/>
        </w:rPr>
        <w:t>The company’s management has evaluated, with the participation of the Chief Executive Officer and Chief Financial Officer, the effectiveness of the company’s disclosure controls and procedures (as defined in the Exchange Act Rules 13a-15(e) and 15d-15(e)) as of December 31, 2024. Based on that evaluation, management concluded that the company’s disclosure controls are effective in ensuring that information required to be recorded, processed, summarized and reported are done within the time periods specified in the U.S. Securities and Exchange Commission’s rules and forms.</w:t>
      </w:r>
    </w:p>
    <w:p>
      <w:pPr>
        <w:spacing w:after="0" w:line="3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77C0"/>
        </w:rPr>
        <w:t>Management’s Report on Internal Control Over Financial Reporting</w:t>
      </w:r>
    </w:p>
    <w:p>
      <w:pPr>
        <w:spacing w:after="0" w:line="40" w:lineRule="exact"/>
        <w:rPr>
          <w:sz w:val="20"/>
          <w:szCs w:val="20"/>
          <w:color w:val="auto"/>
        </w:rPr>
      </w:pPr>
    </w:p>
    <w:p>
      <w:pPr>
        <w:jc w:val="both"/>
        <w:ind w:left="20" w:right="220"/>
        <w:spacing w:after="0" w:line="269" w:lineRule="auto"/>
        <w:rPr>
          <w:sz w:val="20"/>
          <w:szCs w:val="20"/>
          <w:color w:val="auto"/>
        </w:rPr>
      </w:pPr>
      <w:r>
        <w:rPr>
          <w:rFonts w:ascii="Times New Roman" w:cs="Times New Roman" w:eastAsia="Times New Roman" w:hAnsi="Times New Roman"/>
          <w:sz w:val="18"/>
          <w:szCs w:val="18"/>
          <w:color w:val="auto"/>
        </w:rPr>
        <w:t xml:space="preserve">The company’s management is responsible for establishing and maintaining adequate internal control over financial reporting, as defined in the Exchange Act Rules 13a-15(f) and 15d-15(f). The company’s management, including the Chief Executive Officer and Chief Financial Officer, conducted an evaluation of the effectiveness of the company’s internal control over financial reporting based on the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Committee of Sponsoring Organizations of the Treadway Commission (COSO). Based on the results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evaluation, the company’s management concluded that internal control over financial reporting was effective as of December 31, 2024.</w:t>
      </w:r>
    </w:p>
    <w:p>
      <w:pPr>
        <w:spacing w:after="0" w:line="11" w:lineRule="exact"/>
        <w:rPr>
          <w:sz w:val="20"/>
          <w:szCs w:val="20"/>
          <w:color w:val="auto"/>
        </w:rPr>
      </w:pPr>
    </w:p>
    <w:p>
      <w:pPr>
        <w:jc w:val="both"/>
        <w:ind w:left="20" w:right="220"/>
        <w:spacing w:after="0" w:line="297"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2024, has been audited by PricewaterhouseCoopers LLP, an independent registered public accounting firm, as stated in its report included herein.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K. WIRTH</w:t>
            </w:r>
          </w:p>
        </w:tc>
        <w:tc>
          <w:tcPr>
            <w:tcW w:w="280" w:type="dxa"/>
            <w:vAlign w:val="bottom"/>
            <w:shd w:val="clear" w:color="auto" w:fill="E8EFF9"/>
          </w:tcPr>
          <w:p>
            <w:pPr>
              <w:spacing w:after="0"/>
              <w:rPr>
                <w:sz w:val="19"/>
                <w:szCs w:val="19"/>
                <w:color w:val="auto"/>
              </w:rPr>
            </w:pPr>
          </w:p>
        </w:tc>
        <w:tc>
          <w:tcPr>
            <w:tcW w:w="3440" w:type="dxa"/>
            <w:vAlign w:val="bottom"/>
            <w:tcBorders>
              <w:bottom w:val="single" w:sz="8" w:color="auto"/>
            </w:tcBorders>
            <w:shd w:val="clear" w:color="auto" w:fill="E8EFF9"/>
          </w:tcPr>
          <w:p>
            <w:pPr>
              <w:ind w:left="20"/>
              <w:spacing w:after="0"/>
              <w:rPr>
                <w:sz w:val="20"/>
                <w:szCs w:val="20"/>
                <w:color w:val="auto"/>
              </w:rPr>
            </w:pPr>
            <w:r>
              <w:rPr>
                <w:rFonts w:ascii="Times New Roman" w:cs="Times New Roman" w:eastAsia="Times New Roman" w:hAnsi="Times New Roman"/>
                <w:sz w:val="18"/>
                <w:szCs w:val="18"/>
                <w:color w:val="auto"/>
              </w:rPr>
              <w:t>/s/ EIMEAR P. BONNER</w:t>
            </w:r>
          </w:p>
        </w:tc>
        <w:tc>
          <w:tcPr>
            <w:tcW w:w="280" w:type="dxa"/>
            <w:vAlign w:val="bottom"/>
            <w:tcBorders>
              <w:bottom w:val="single" w:sz="8" w:color="E8EFF9"/>
            </w:tcBorders>
            <w:shd w:val="clear" w:color="auto" w:fill="E8EFF9"/>
          </w:tcPr>
          <w:p>
            <w:pPr>
              <w:spacing w:after="0"/>
              <w:rPr>
                <w:sz w:val="19"/>
                <w:szCs w:val="19"/>
                <w:color w:val="auto"/>
              </w:rPr>
            </w:pPr>
          </w:p>
        </w:tc>
        <w:tc>
          <w:tcPr>
            <w:tcW w:w="3420" w:type="dxa"/>
            <w:vAlign w:val="bottom"/>
            <w:tcBorders>
              <w:bottom w:val="single" w:sz="8" w:color="auto"/>
            </w:tcBorders>
            <w:shd w:val="clear" w:color="auto" w:fill="E8EFF9"/>
          </w:tcPr>
          <w:p>
            <w:pPr>
              <w:ind w:left="20"/>
              <w:spacing w:after="0"/>
              <w:rPr>
                <w:sz w:val="20"/>
                <w:szCs w:val="20"/>
                <w:color w:val="auto"/>
              </w:rPr>
            </w:pPr>
            <w:r>
              <w:rPr>
                <w:rFonts w:ascii="Times New Roman" w:cs="Times New Roman" w:eastAsia="Times New Roman" w:hAnsi="Times New Roman"/>
                <w:sz w:val="18"/>
                <w:szCs w:val="18"/>
                <w:color w:val="auto"/>
              </w:rPr>
              <w:t>/s/ ALANA K. KNOWLES</w:t>
            </w:r>
          </w:p>
        </w:tc>
        <w:tc>
          <w:tcPr>
            <w:tcW w:w="0" w:type="dxa"/>
            <w:vAlign w:val="bottom"/>
          </w:tcPr>
          <w:p>
            <w:pPr>
              <w:spacing w:after="0"/>
              <w:rPr>
                <w:sz w:val="1"/>
                <w:szCs w:val="1"/>
                <w:color w:val="auto"/>
              </w:rPr>
            </w:pPr>
          </w:p>
        </w:tc>
      </w:tr>
      <w:tr>
        <w:trPr>
          <w:trHeight w:val="183"/>
        </w:trPr>
        <w:tc>
          <w:tcPr>
            <w:tcW w:w="3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Michael K. Wirth</w:t>
            </w:r>
          </w:p>
        </w:tc>
        <w:tc>
          <w:tcPr>
            <w:tcW w:w="280" w:type="dxa"/>
            <w:vAlign w:val="bottom"/>
          </w:tcPr>
          <w:p>
            <w:pPr>
              <w:spacing w:after="0"/>
              <w:rPr>
                <w:sz w:val="15"/>
                <w:szCs w:val="15"/>
                <w:color w:val="auto"/>
              </w:rPr>
            </w:pPr>
          </w:p>
        </w:tc>
        <w:tc>
          <w:tcPr>
            <w:tcW w:w="3440" w:type="dxa"/>
            <w:vAlign w:val="bottom"/>
            <w:shd w:val="clear" w:color="auto" w:fill="E8EFF9"/>
          </w:tcPr>
          <w:p>
            <w:pPr>
              <w:spacing w:after="0"/>
              <w:rPr>
                <w:sz w:val="15"/>
                <w:szCs w:val="15"/>
                <w:color w:val="auto"/>
              </w:rPr>
            </w:pPr>
          </w:p>
        </w:tc>
        <w:tc>
          <w:tcPr>
            <w:tcW w:w="280" w:type="dxa"/>
            <w:vAlign w:val="bottom"/>
            <w:shd w:val="clear" w:color="auto" w:fill="E8EFF9"/>
          </w:tcPr>
          <w:p>
            <w:pPr>
              <w:spacing w:after="0"/>
              <w:rPr>
                <w:sz w:val="15"/>
                <w:szCs w:val="15"/>
                <w:color w:val="auto"/>
              </w:rPr>
            </w:pPr>
          </w:p>
        </w:tc>
        <w:tc>
          <w:tcPr>
            <w:tcW w:w="3420" w:type="dxa"/>
            <w:vAlign w:val="bottom"/>
            <w:vMerge w:val="restart"/>
            <w:shd w:val="clear" w:color="auto" w:fill="E8EFF9"/>
          </w:tcPr>
          <w:p>
            <w:pPr>
              <w:ind w:left="20"/>
              <w:spacing w:after="0"/>
              <w:rPr>
                <w:sz w:val="20"/>
                <w:szCs w:val="20"/>
                <w:color w:val="auto"/>
              </w:rPr>
            </w:pPr>
            <w:r>
              <w:rPr>
                <w:rFonts w:ascii="Times New Roman" w:cs="Times New Roman" w:eastAsia="Times New Roman" w:hAnsi="Times New Roman"/>
                <w:sz w:val="18"/>
                <w:szCs w:val="18"/>
                <w:color w:val="auto"/>
              </w:rPr>
              <w:t>Alana K. Knowles</w:t>
            </w:r>
          </w:p>
        </w:tc>
        <w:tc>
          <w:tcPr>
            <w:tcW w:w="0" w:type="dxa"/>
            <w:vAlign w:val="bottom"/>
          </w:tcPr>
          <w:p>
            <w:pPr>
              <w:spacing w:after="0"/>
              <w:rPr>
                <w:sz w:val="1"/>
                <w:szCs w:val="1"/>
                <w:color w:val="auto"/>
              </w:rPr>
            </w:pPr>
          </w:p>
        </w:tc>
      </w:tr>
      <w:tr>
        <w:trPr>
          <w:trHeight w:val="230"/>
        </w:trPr>
        <w:tc>
          <w:tcPr>
            <w:tcW w:w="34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Eimear P. Bonner</w:t>
            </w:r>
          </w:p>
        </w:tc>
        <w:tc>
          <w:tcPr>
            <w:tcW w:w="280" w:type="dxa"/>
            <w:vAlign w:val="bottom"/>
            <w:shd w:val="clear" w:color="auto" w:fill="E8EFF9"/>
          </w:tcPr>
          <w:p>
            <w:pPr>
              <w:spacing w:after="0"/>
              <w:rPr>
                <w:sz w:val="19"/>
                <w:szCs w:val="19"/>
                <w:color w:val="auto"/>
              </w:rPr>
            </w:pPr>
          </w:p>
        </w:tc>
        <w:tc>
          <w:tcPr>
            <w:tcW w:w="3420" w:type="dxa"/>
            <w:vAlign w:val="bottom"/>
            <w:vMerge w:val="continue"/>
            <w:shd w:val="clear" w:color="auto" w:fill="E8EFF9"/>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Board</w:t>
            </w:r>
          </w:p>
        </w:tc>
        <w:tc>
          <w:tcPr>
            <w:tcW w:w="280" w:type="dxa"/>
            <w:vAlign w:val="bottom"/>
          </w:tcPr>
          <w:p>
            <w:pPr>
              <w:spacing w:after="0"/>
              <w:rPr>
                <w:sz w:val="19"/>
                <w:szCs w:val="19"/>
                <w:color w:val="auto"/>
              </w:rPr>
            </w:pPr>
          </w:p>
        </w:tc>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w:t>
            </w:r>
          </w:p>
        </w:tc>
        <w:tc>
          <w:tcPr>
            <w:tcW w:w="280" w:type="dxa"/>
            <w:vAlign w:val="bottom"/>
          </w:tcPr>
          <w:p>
            <w:pPr>
              <w:spacing w:after="0"/>
              <w:rPr>
                <w:sz w:val="19"/>
                <w:szCs w:val="19"/>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w:t>
            </w:r>
          </w:p>
        </w:tc>
        <w:tc>
          <w:tcPr>
            <w:tcW w:w="0" w:type="dxa"/>
            <w:vAlign w:val="bottom"/>
          </w:tcPr>
          <w:p>
            <w:pPr>
              <w:spacing w:after="0"/>
              <w:rPr>
                <w:sz w:val="1"/>
                <w:szCs w:val="1"/>
                <w:color w:val="auto"/>
              </w:rPr>
            </w:pPr>
          </w:p>
        </w:tc>
      </w:tr>
      <w:tr>
        <w:trPr>
          <w:trHeight w:val="234"/>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Chief Executive Officer</w:t>
            </w:r>
          </w:p>
        </w:tc>
        <w:tc>
          <w:tcPr>
            <w:tcW w:w="280" w:type="dxa"/>
            <w:vAlign w:val="bottom"/>
          </w:tcPr>
          <w:p>
            <w:pPr>
              <w:spacing w:after="0"/>
              <w:rPr>
                <w:sz w:val="20"/>
                <w:szCs w:val="20"/>
                <w:color w:val="auto"/>
              </w:rPr>
            </w:pPr>
          </w:p>
        </w:tc>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Chief Financial Officer</w:t>
            </w:r>
          </w:p>
        </w:tc>
        <w:tc>
          <w:tcPr>
            <w:tcW w:w="280" w:type="dxa"/>
            <w:vAlign w:val="bottom"/>
          </w:tcPr>
          <w:p>
            <w:pPr>
              <w:spacing w:after="0"/>
              <w:rPr>
                <w:sz w:val="20"/>
                <w:szCs w:val="20"/>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Controller</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February 21, 2025</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230505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80" w:top="414" w:right="359" w:bottom="1440" w:gutter="0" w:footer="0" w:header="0"/>
        </w:sectPr>
      </w:pPr>
    </w:p>
    <w:bookmarkStart w:id="62" w:name="page63"/>
    <w:bookmarkEnd w:id="62"/>
    <w:p>
      <w:pPr>
        <w:jc w:val="right"/>
        <w:spacing w:after="0"/>
        <w:rPr>
          <w:sz w:val="20"/>
          <w:szCs w:val="20"/>
          <w:color w:val="auto"/>
        </w:rPr>
      </w:pPr>
      <w:r>
        <w:rPr>
          <w:rFonts w:ascii="Arial" w:cs="Arial" w:eastAsia="Arial" w:hAnsi="Arial"/>
          <w:sz w:val="14"/>
          <w:szCs w:val="14"/>
          <w:color w:val="0077C0"/>
        </w:rPr>
        <w:t>Financial 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409575</wp:posOffset>
            </wp:positionV>
            <wp:extent cx="7132320" cy="65405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6540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Report of Independent Registered Public Accounting Firm</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6EBF"/>
        </w:rPr>
        <w:t>To the Board of Directors and Stockholders of Chevron Corporation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3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 of Chevron Corporation and its subsidiaries (the “Company”) as of December 31, 2024 and 2023, and the related consolidated statements of income, of comprehensive income, of equity and of cash flows for each of the three years in the period ended December 31, 2024, including the related notes and financial statement schedule listed in the index appearing under Item 15(a)(2) (collectively referred to as the “consolidated financial statements”). We also have audited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28"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8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2"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82" w:lineRule="exact"/>
        <w:rPr>
          <w:sz w:val="20"/>
          <w:szCs w:val="20"/>
          <w:color w:val="auto"/>
        </w:rPr>
      </w:pPr>
    </w:p>
    <w:p>
      <w:pPr>
        <w:jc w:val="both"/>
        <w:ind w:right="100"/>
        <w:spacing w:after="0" w:line="243"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81"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7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230505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80" w:top="171" w:right="359" w:bottom="1440" w:gutter="0" w:footer="0" w:header="0"/>
        </w:sectPr>
      </w:pPr>
    </w:p>
    <w:bookmarkStart w:id="63" w:name="page64"/>
    <w:bookmarkEnd w:id="63"/>
    <w:p>
      <w:pPr>
        <w:jc w:val="right"/>
        <w:spacing w:after="0"/>
        <w:rPr>
          <w:sz w:val="20"/>
          <w:szCs w:val="20"/>
          <w:color w:val="auto"/>
        </w:rPr>
      </w:pPr>
      <w:r>
        <w:rPr>
          <w:rFonts w:ascii="Arial" w:cs="Arial" w:eastAsia="Arial" w:hAnsi="Arial"/>
          <w:sz w:val="14"/>
          <w:szCs w:val="14"/>
          <w:color w:val="0077C0"/>
        </w:rPr>
        <w:t>Financial 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409575</wp:posOffset>
            </wp:positionV>
            <wp:extent cx="7132320" cy="57607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5760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right="120"/>
        <w:spacing w:after="0" w:line="274"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8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Impact of Proved Developed Crude Oil and Natural Gas Reserves on Upstream Property, Plant, and Equipment, Net</w:t>
      </w:r>
    </w:p>
    <w:p>
      <w:pPr>
        <w:spacing w:after="0" w:line="52" w:lineRule="exact"/>
        <w:rPr>
          <w:sz w:val="20"/>
          <w:szCs w:val="20"/>
          <w:color w:val="auto"/>
        </w:rPr>
      </w:pPr>
    </w:p>
    <w:p>
      <w:pPr>
        <w:jc w:val="both"/>
        <w:ind w:right="100"/>
        <w:spacing w:after="0" w:line="264" w:lineRule="auto"/>
        <w:rPr>
          <w:sz w:val="20"/>
          <w:szCs w:val="20"/>
          <w:color w:val="auto"/>
        </w:rPr>
      </w:pPr>
      <w:r>
        <w:rPr>
          <w:rFonts w:ascii="Times New Roman" w:cs="Times New Roman" w:eastAsia="Times New Roman" w:hAnsi="Times New Roman"/>
          <w:sz w:val="18"/>
          <w:szCs w:val="18"/>
          <w:color w:val="auto"/>
        </w:rPr>
        <w:t>As described in Notes 1 and 18 to the consolidated financial statements, the Company’s upstream property, plant and equipment, net balance was $129.1 billion as of December 31, 2024, and depreciation, depletion and amortization expense was $15.5 billion for the year ended December 31, 2024. The Company follows the successful efforts method of accounting for crude oil and natural gas exploration and production activities. Depreciation and depletion of all capitalized costs of proved crude oil and natural gas producing properties, except mineral interests, are expensed using the unit-of-production method, generally by individual field, as the proved developed reserves are produced. Depletion expenses for capitalized costs of proved mineral interests are recognized using the unit-of-production method by individual field as the related proved reserves are produced. As disclosed by management, variables impacting the Company’s estimated volumes of proved crude oil, natural gas liquids (NGLs) and natural gas reserves include field performance, available technology, commodity prices, and development, production and carbon costs. Reserves are estimated by Company asset teams composed of earth scientists and engineers. As part of the internal control process related to reserves estimation, the Company maintains a Reserves Advisory Committee (RAC) (the Company’s earth scientists, engineers and RAC are collectively referred to as “management’s specialists”).</w:t>
      </w:r>
    </w:p>
    <w:p>
      <w:pPr>
        <w:spacing w:after="0" w:line="86"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impact of proved developed crude oil and natural gas reserves on upstream property, plant, and equipment, net is a critical audit matter are (i) the significant judgment by management, including the use of management’s specialists, when developing the estimates of proved developed crude oil and natural gas reserves, which in turn led to (ii) a high degree of auditor judgment, subjectivity, and effort in performing procedures and evaluating audit evidence obtained related to the data, methods, and assumptions used by management and its specialists in developing the estimates of proved developed crude oil and natural gas reserves.</w:t>
      </w:r>
    </w:p>
    <w:p>
      <w:pPr>
        <w:spacing w:after="0" w:line="6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estimates of proved developed crude oil and natural gas reserves. The work of management’s specialists was used in performing the procedures to evaluate the reasonableness of the proved developed crude oil and natural gas reserves. As a basis for using this work, the specialists’ qualifications were understood and the Company’s relationship with the specialists was assessed. The procedures performed also included evaluation of the methods and assumptions used by the specialists, tests of data used by the specialists and an evaluation of the specialists’ findings related to estimated future production volumes by comparing the estimate to relevant historical and current period information, as applicable.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San Francisco, California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21, 2025</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1935.</w:t>
      </w:r>
    </w:p>
    <w:p>
      <w:pPr>
        <w:spacing w:after="0" w:line="200" w:lineRule="exact"/>
        <w:rPr>
          <w:sz w:val="20"/>
          <w:szCs w:val="20"/>
          <w:color w:val="auto"/>
        </w:rPr>
      </w:pPr>
    </w:p>
    <w:p>
      <w:pPr>
        <w:spacing w:after="0" w:line="31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230505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80" w:top="171" w:right="35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9"/>
        </w:trPr>
        <w:tc>
          <w:tcPr>
            <w:tcW w:w="7260" w:type="dxa"/>
            <w:vAlign w:val="bottom"/>
            <w:gridSpan w:val="3"/>
          </w:tcPr>
          <w:p>
            <w:pPr>
              <w:spacing w:after="0"/>
              <w:rPr>
                <w:sz w:val="20"/>
                <w:szCs w:val="20"/>
                <w:color w:val="auto"/>
              </w:rPr>
            </w:pPr>
            <w:r>
              <w:rPr>
                <w:rFonts w:ascii="Arial" w:cs="Arial" w:eastAsia="Arial" w:hAnsi="Arial"/>
                <w:sz w:val="18"/>
                <w:szCs w:val="18"/>
                <w:color w:val="0077C0"/>
              </w:rPr>
              <w:t>Consolidated Statement of Income</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60" w:type="dxa"/>
            <w:vAlign w:val="bottom"/>
            <w:gridSpan w:val="4"/>
          </w:tcPr>
          <w:p>
            <w:pPr>
              <w:ind w:left="720"/>
              <w:spacing w:after="0"/>
              <w:rPr>
                <w:sz w:val="20"/>
                <w:szCs w:val="20"/>
                <w:color w:val="auto"/>
              </w:rPr>
            </w:pPr>
            <w:r>
              <w:rPr>
                <w:rFonts w:ascii="Arial" w:cs="Arial" w:eastAsia="Arial" w:hAnsi="Arial"/>
                <w:sz w:val="14"/>
                <w:szCs w:val="14"/>
                <w:color w:val="0077C0"/>
              </w:rPr>
              <w:t>Financial Table of Contents</w:t>
            </w:r>
          </w:p>
        </w:tc>
        <w:tc>
          <w:tcPr>
            <w:tcW w:w="0" w:type="dxa"/>
            <w:vAlign w:val="bottom"/>
          </w:tcPr>
          <w:p>
            <w:pPr>
              <w:spacing w:after="0"/>
              <w:rPr>
                <w:sz w:val="1"/>
                <w:szCs w:val="1"/>
                <w:color w:val="auto"/>
              </w:rPr>
            </w:pPr>
          </w:p>
        </w:tc>
      </w:tr>
      <w:tr>
        <w:trPr>
          <w:trHeight w:val="190"/>
        </w:trPr>
        <w:tc>
          <w:tcPr>
            <w:tcW w:w="7260" w:type="dxa"/>
            <w:vAlign w:val="bottom"/>
            <w:gridSpan w:val="3"/>
          </w:tcPr>
          <w:p>
            <w:pPr>
              <w:spacing w:after="0"/>
              <w:rPr>
                <w:sz w:val="20"/>
                <w:szCs w:val="20"/>
                <w:color w:val="auto"/>
              </w:rPr>
            </w:pPr>
            <w:r>
              <w:rPr>
                <w:rFonts w:ascii="Arial" w:cs="Arial" w:eastAsia="Arial" w:hAnsi="Arial"/>
                <w:sz w:val="14"/>
                <w:szCs w:val="14"/>
                <w:color w:val="0077C0"/>
              </w:rPr>
              <w:t>Millions of dollars, except per-share amounts</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8"/>
        </w:trPr>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20" w:type="dxa"/>
            <w:vAlign w:val="bottom"/>
            <w:shd w:val="clear" w:color="auto" w:fill="E8EFF9"/>
          </w:tcPr>
          <w:p>
            <w:pPr>
              <w:spacing w:after="0"/>
              <w:rPr>
                <w:sz w:val="18"/>
                <w:szCs w:val="18"/>
                <w:color w:val="auto"/>
              </w:rPr>
            </w:pPr>
          </w:p>
        </w:tc>
        <w:tc>
          <w:tcPr>
            <w:tcW w:w="6980" w:type="dxa"/>
            <w:vAlign w:val="bottom"/>
            <w:shd w:val="clear" w:color="auto" w:fill="E8EFF9"/>
          </w:tcPr>
          <w:p>
            <w:pPr>
              <w:spacing w:after="0"/>
              <w:rPr>
                <w:sz w:val="18"/>
                <w:szCs w:val="18"/>
                <w:color w:val="auto"/>
              </w:rPr>
            </w:pPr>
          </w:p>
        </w:tc>
        <w:tc>
          <w:tcPr>
            <w:tcW w:w="120" w:type="dxa"/>
            <w:vAlign w:val="bottom"/>
            <w:shd w:val="clear" w:color="auto" w:fill="E8EFF9"/>
          </w:tcPr>
          <w:p>
            <w:pPr>
              <w:spacing w:after="0"/>
              <w:rPr>
                <w:sz w:val="18"/>
                <w:szCs w:val="18"/>
                <w:color w:val="auto"/>
              </w:rPr>
            </w:pPr>
          </w:p>
        </w:tc>
        <w:tc>
          <w:tcPr>
            <w:tcW w:w="1180" w:type="dxa"/>
            <w:vAlign w:val="bottom"/>
            <w:tcBorders>
              <w:right w:val="single" w:sz="8" w:color="E8EFF9"/>
            </w:tcBorders>
            <w:shd w:val="clear" w:color="auto" w:fill="E8EFF9"/>
          </w:tcPr>
          <w:p>
            <w:pPr>
              <w:spacing w:after="0"/>
              <w:rPr>
                <w:sz w:val="18"/>
                <w:szCs w:val="18"/>
                <w:color w:val="auto"/>
              </w:rPr>
            </w:pPr>
          </w:p>
        </w:tc>
        <w:tc>
          <w:tcPr>
            <w:tcW w:w="180" w:type="dxa"/>
            <w:vAlign w:val="bottom"/>
            <w:shd w:val="clear" w:color="auto" w:fill="E8EFF9"/>
          </w:tcPr>
          <w:p>
            <w:pPr>
              <w:spacing w:after="0"/>
              <w:rPr>
                <w:sz w:val="18"/>
                <w:szCs w:val="18"/>
                <w:color w:val="auto"/>
              </w:rPr>
            </w:pPr>
          </w:p>
        </w:tc>
        <w:tc>
          <w:tcPr>
            <w:tcW w:w="2560" w:type="dxa"/>
            <w:vAlign w:val="bottom"/>
            <w:gridSpan w:val="4"/>
            <w:vMerge w:val="restart"/>
            <w:shd w:val="clear" w:color="auto" w:fill="E8EFF9"/>
          </w:tcPr>
          <w:p>
            <w:pPr>
              <w:jc w:val="right"/>
              <w:ind w:right="260"/>
              <w:spacing w:after="0"/>
              <w:rPr>
                <w:sz w:val="20"/>
                <w:szCs w:val="20"/>
                <w:color w:val="auto"/>
              </w:rPr>
            </w:pPr>
            <w:r>
              <w:rPr>
                <w:rFonts w:ascii="Times New Roman" w:cs="Times New Roman" w:eastAsia="Times New Roman" w:hAnsi="Times New Roman"/>
                <w:sz w:val="16"/>
                <w:szCs w:val="16"/>
                <w:color w:val="auto"/>
              </w:rPr>
              <w:t>Year ended December 31</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80" w:type="dxa"/>
            <w:vAlign w:val="bottom"/>
            <w:shd w:val="clear" w:color="auto" w:fill="E8EFF9"/>
          </w:tcPr>
          <w:p>
            <w:pPr>
              <w:spacing w:after="0"/>
              <w:rPr>
                <w:sz w:val="18"/>
                <w:szCs w:val="18"/>
                <w:color w:val="auto"/>
              </w:rPr>
            </w:pPr>
          </w:p>
        </w:tc>
        <w:tc>
          <w:tcPr>
            <w:tcW w:w="120" w:type="dxa"/>
            <w:vAlign w:val="bottom"/>
            <w:shd w:val="clear" w:color="auto" w:fill="E8EFF9"/>
          </w:tcPr>
          <w:p>
            <w:pPr>
              <w:spacing w:after="0"/>
              <w:rPr>
                <w:sz w:val="18"/>
                <w:szCs w:val="18"/>
                <w:color w:val="auto"/>
              </w:rPr>
            </w:pPr>
          </w:p>
        </w:tc>
        <w:tc>
          <w:tcPr>
            <w:tcW w:w="1180" w:type="dxa"/>
            <w:vAlign w:val="bottom"/>
            <w:tcBorders>
              <w:right w:val="single" w:sz="8" w:color="E8EFF9"/>
            </w:tcBorders>
            <w:shd w:val="clear" w:color="auto" w:fill="E8EFF9"/>
          </w:tcPr>
          <w:p>
            <w:pPr>
              <w:spacing w:after="0"/>
              <w:rPr>
                <w:sz w:val="18"/>
                <w:szCs w:val="18"/>
                <w:color w:val="auto"/>
              </w:rPr>
            </w:pPr>
          </w:p>
        </w:tc>
        <w:tc>
          <w:tcPr>
            <w:tcW w:w="180" w:type="dxa"/>
            <w:vAlign w:val="bottom"/>
            <w:shd w:val="clear" w:color="auto" w:fill="E8EFF9"/>
          </w:tcPr>
          <w:p>
            <w:pPr>
              <w:spacing w:after="0"/>
              <w:rPr>
                <w:sz w:val="18"/>
                <w:szCs w:val="18"/>
                <w:color w:val="auto"/>
              </w:rPr>
            </w:pPr>
          </w:p>
        </w:tc>
        <w:tc>
          <w:tcPr>
            <w:tcW w:w="2560" w:type="dxa"/>
            <w:vAlign w:val="bottom"/>
            <w:gridSpan w:val="4"/>
            <w:vMerge w:val="continue"/>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80" w:type="dxa"/>
            <w:vAlign w:val="bottom"/>
            <w:tcBorders>
              <w:top w:val="single" w:sz="8" w:color="E8EFF9"/>
              <w:bottom w:val="single" w:sz="8" w:color="0077C0"/>
            </w:tcBorders>
            <w:shd w:val="clear" w:color="auto" w:fill="E8EFF9"/>
          </w:tcPr>
          <w:p>
            <w:pPr>
              <w:spacing w:after="0"/>
              <w:rPr>
                <w:sz w:val="18"/>
                <w:szCs w:val="18"/>
                <w:color w:val="auto"/>
              </w:rPr>
            </w:pPr>
          </w:p>
        </w:tc>
        <w:tc>
          <w:tcPr>
            <w:tcW w:w="120" w:type="dxa"/>
            <w:vAlign w:val="bottom"/>
            <w:tcBorders>
              <w:top w:val="single" w:sz="8" w:color="0077C0"/>
              <w:bottom w:val="single" w:sz="8" w:color="0077C0"/>
            </w:tcBorders>
            <w:shd w:val="clear" w:color="auto" w:fill="E8EFF9"/>
          </w:tcPr>
          <w:p>
            <w:pPr>
              <w:spacing w:after="0"/>
              <w:rPr>
                <w:sz w:val="18"/>
                <w:szCs w:val="18"/>
                <w:color w:val="auto"/>
              </w:rPr>
            </w:pPr>
          </w:p>
        </w:tc>
        <w:tc>
          <w:tcPr>
            <w:tcW w:w="1180" w:type="dxa"/>
            <w:vAlign w:val="bottom"/>
            <w:tcBorders>
              <w:top w:val="single" w:sz="8" w:color="0077C0"/>
              <w:bottom w:val="single" w:sz="8" w:color="0077C0"/>
              <w:right w:val="single" w:sz="8" w:color="E8EFF9"/>
            </w:tcBorders>
            <w:shd w:val="clear" w:color="auto" w:fill="E8EFF9"/>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top w:val="single" w:sz="8" w:color="0077C0"/>
              <w:bottom w:val="single" w:sz="8" w:color="0077C0"/>
            </w:tcBorders>
            <w:shd w:val="clear" w:color="auto" w:fill="E8EFF9"/>
          </w:tcPr>
          <w:p>
            <w:pPr>
              <w:spacing w:after="0"/>
              <w:rPr>
                <w:sz w:val="18"/>
                <w:szCs w:val="18"/>
                <w:color w:val="auto"/>
              </w:rPr>
            </w:pPr>
          </w:p>
        </w:tc>
        <w:tc>
          <w:tcPr>
            <w:tcW w:w="1060" w:type="dxa"/>
            <w:vAlign w:val="bottom"/>
            <w:tcBorders>
              <w:top w:val="single" w:sz="8" w:color="0077C0"/>
              <w:bottom w:val="single" w:sz="8" w:color="0077C0"/>
            </w:tcBorders>
            <w:shd w:val="clear" w:color="auto" w:fill="E8EFF9"/>
          </w:tcPr>
          <w:p>
            <w:pPr>
              <w:ind w:left="720"/>
              <w:spacing w:after="0"/>
              <w:rPr>
                <w:sz w:val="20"/>
                <w:szCs w:val="20"/>
                <w:color w:val="auto"/>
              </w:rPr>
            </w:pPr>
            <w:r>
              <w:rPr>
                <w:rFonts w:ascii="Times New Roman" w:cs="Times New Roman" w:eastAsia="Times New Roman" w:hAnsi="Times New Roman"/>
                <w:sz w:val="16"/>
                <w:szCs w:val="16"/>
                <w:color w:val="auto"/>
                <w:w w:val="99"/>
              </w:rPr>
              <w:t>2023</w:t>
            </w:r>
          </w:p>
        </w:tc>
        <w:tc>
          <w:tcPr>
            <w:tcW w:w="220" w:type="dxa"/>
            <w:vAlign w:val="bottom"/>
            <w:tcBorders>
              <w:top w:val="single" w:sz="8" w:color="0077C0"/>
              <w:bottom w:val="single" w:sz="8" w:color="0077C0"/>
            </w:tcBorders>
            <w:shd w:val="clear" w:color="auto" w:fill="E8EFF9"/>
          </w:tcPr>
          <w:p>
            <w:pPr>
              <w:spacing w:after="0"/>
              <w:rPr>
                <w:sz w:val="18"/>
                <w:szCs w:val="18"/>
                <w:color w:val="auto"/>
              </w:rPr>
            </w:pPr>
          </w:p>
        </w:tc>
        <w:tc>
          <w:tcPr>
            <w:tcW w:w="1040" w:type="dxa"/>
            <w:vAlign w:val="bottom"/>
            <w:tcBorders>
              <w:top w:val="single" w:sz="8" w:color="0077C0"/>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240" w:type="dxa"/>
            <w:vAlign w:val="bottom"/>
            <w:tcBorders>
              <w:top w:val="single" w:sz="8" w:color="E8EFF9"/>
              <w:bottom w:val="single" w:sz="8" w:color="E8EFF9"/>
            </w:tcBorders>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80" w:type="dxa"/>
            <w:vAlign w:val="bottom"/>
            <w:shd w:val="clear" w:color="auto" w:fill="E8EFF9"/>
          </w:tcPr>
          <w:p>
            <w:pPr>
              <w:ind w:left="20"/>
              <w:spacing w:after="0"/>
              <w:rPr>
                <w:sz w:val="20"/>
                <w:szCs w:val="20"/>
                <w:color w:val="auto"/>
              </w:rPr>
            </w:pPr>
            <w:r>
              <w:rPr>
                <w:rFonts w:ascii="Times New Roman" w:cs="Times New Roman" w:eastAsia="Times New Roman" w:hAnsi="Times New Roman"/>
                <w:sz w:val="16"/>
                <w:szCs w:val="16"/>
                <w:b w:val="1"/>
                <w:bCs w:val="1"/>
                <w:color w:val="0077C0"/>
              </w:rPr>
              <w:t>Revenues and Other Income</w:t>
            </w:r>
          </w:p>
        </w:tc>
        <w:tc>
          <w:tcPr>
            <w:tcW w:w="120" w:type="dxa"/>
            <w:vAlign w:val="bottom"/>
            <w:shd w:val="clear" w:color="auto" w:fill="E8EFF9"/>
          </w:tcPr>
          <w:p>
            <w:pPr>
              <w:spacing w:after="0"/>
              <w:rPr>
                <w:sz w:val="18"/>
                <w:szCs w:val="18"/>
                <w:color w:val="auto"/>
              </w:rPr>
            </w:pPr>
          </w:p>
        </w:tc>
        <w:tc>
          <w:tcPr>
            <w:tcW w:w="1180" w:type="dxa"/>
            <w:vAlign w:val="bottom"/>
            <w:tcBorders>
              <w:right w:val="single" w:sz="8" w:color="0077C0"/>
            </w:tcBorders>
            <w:shd w:val="clear" w:color="auto" w:fill="E8EFF9"/>
          </w:tcPr>
          <w:p>
            <w:pPr>
              <w:spacing w:after="0"/>
              <w:rPr>
                <w:sz w:val="18"/>
                <w:szCs w:val="18"/>
                <w:color w:val="auto"/>
              </w:rPr>
            </w:pPr>
          </w:p>
        </w:tc>
        <w:tc>
          <w:tcPr>
            <w:tcW w:w="180" w:type="dxa"/>
            <w:vAlign w:val="bottom"/>
            <w:shd w:val="clear" w:color="auto" w:fill="E8EFF9"/>
          </w:tcPr>
          <w:p>
            <w:pPr>
              <w:spacing w:after="0"/>
              <w:rPr>
                <w:sz w:val="18"/>
                <w:szCs w:val="18"/>
                <w:color w:val="auto"/>
              </w:rPr>
            </w:pPr>
          </w:p>
        </w:tc>
        <w:tc>
          <w:tcPr>
            <w:tcW w:w="1060" w:type="dxa"/>
            <w:vAlign w:val="bottom"/>
            <w:shd w:val="clear" w:color="auto" w:fill="E8EFF9"/>
          </w:tcPr>
          <w:p>
            <w:pPr>
              <w:spacing w:after="0"/>
              <w:rPr>
                <w:sz w:val="18"/>
                <w:szCs w:val="18"/>
                <w:color w:val="auto"/>
              </w:rPr>
            </w:pPr>
          </w:p>
        </w:tc>
        <w:tc>
          <w:tcPr>
            <w:tcW w:w="220" w:type="dxa"/>
            <w:vAlign w:val="bottom"/>
            <w:shd w:val="clear" w:color="auto" w:fill="E8EFF9"/>
          </w:tcPr>
          <w:p>
            <w:pPr>
              <w:spacing w:after="0"/>
              <w:rPr>
                <w:sz w:val="18"/>
                <w:szCs w:val="18"/>
                <w:color w:val="auto"/>
              </w:rPr>
            </w:pPr>
          </w:p>
        </w:tc>
        <w:tc>
          <w:tcPr>
            <w:tcW w:w="1040" w:type="dxa"/>
            <w:vAlign w:val="bottom"/>
            <w:shd w:val="clear" w:color="auto" w:fill="E8EFF9"/>
          </w:tcPr>
          <w:p>
            <w:pPr>
              <w:spacing w:after="0"/>
              <w:rPr>
                <w:sz w:val="18"/>
                <w:szCs w:val="18"/>
                <w:color w:val="auto"/>
              </w:rPr>
            </w:pPr>
          </w:p>
        </w:tc>
        <w:tc>
          <w:tcPr>
            <w:tcW w:w="240" w:type="dxa"/>
            <w:vAlign w:val="bottom"/>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80" w:type="dxa"/>
            <w:vAlign w:val="bottom"/>
            <w:shd w:val="clear" w:color="auto" w:fill="E8EFF9"/>
          </w:tcPr>
          <w:p>
            <w:pPr>
              <w:ind w:left="140"/>
              <w:spacing w:after="0"/>
              <w:rPr>
                <w:sz w:val="20"/>
                <w:szCs w:val="20"/>
                <w:color w:val="auto"/>
              </w:rPr>
            </w:pPr>
            <w:r>
              <w:rPr>
                <w:rFonts w:ascii="Times New Roman" w:cs="Times New Roman" w:eastAsia="Times New Roman" w:hAnsi="Times New Roman"/>
                <w:sz w:val="16"/>
                <w:szCs w:val="16"/>
                <w:color w:val="auto"/>
              </w:rPr>
              <w:t>Sales and other operating revenues</w:t>
            </w:r>
          </w:p>
        </w:tc>
        <w:tc>
          <w:tcPr>
            <w:tcW w:w="12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right w:val="single" w:sz="8" w:color="0077C0"/>
            </w:tcBorders>
            <w:shd w:val="clear" w:color="auto" w:fill="E8EFF9"/>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193,414</w:t>
            </w:r>
          </w:p>
        </w:tc>
        <w:tc>
          <w:tcPr>
            <w:tcW w:w="18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196,913</w:t>
            </w:r>
          </w:p>
        </w:tc>
        <w:tc>
          <w:tcPr>
            <w:tcW w:w="22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235,717</w:t>
            </w:r>
          </w:p>
        </w:tc>
        <w:tc>
          <w:tcPr>
            <w:tcW w:w="240" w:type="dxa"/>
            <w:vAlign w:val="bottom"/>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80" w:type="dxa"/>
            <w:vAlign w:val="bottom"/>
            <w:shd w:val="clear" w:color="auto" w:fill="E8EFF9"/>
          </w:tcPr>
          <w:p>
            <w:pPr>
              <w:ind w:left="140"/>
              <w:spacing w:after="0"/>
              <w:rPr>
                <w:sz w:val="20"/>
                <w:szCs w:val="20"/>
                <w:color w:val="auto"/>
              </w:rPr>
            </w:pPr>
            <w:r>
              <w:rPr>
                <w:rFonts w:ascii="Times New Roman" w:cs="Times New Roman" w:eastAsia="Times New Roman" w:hAnsi="Times New Roman"/>
                <w:sz w:val="16"/>
                <w:szCs w:val="16"/>
                <w:color w:val="auto"/>
              </w:rPr>
              <w:t>Income (loss) from equity affiliates</w:t>
            </w:r>
          </w:p>
        </w:tc>
        <w:tc>
          <w:tcPr>
            <w:tcW w:w="120" w:type="dxa"/>
            <w:vAlign w:val="bottom"/>
            <w:shd w:val="clear" w:color="auto" w:fill="E8EFF9"/>
          </w:tcPr>
          <w:p>
            <w:pPr>
              <w:spacing w:after="0"/>
              <w:rPr>
                <w:sz w:val="18"/>
                <w:szCs w:val="18"/>
                <w:color w:val="auto"/>
              </w:rPr>
            </w:pPr>
          </w:p>
        </w:tc>
        <w:tc>
          <w:tcPr>
            <w:tcW w:w="1180" w:type="dxa"/>
            <w:vAlign w:val="bottom"/>
            <w:tcBorders>
              <w:right w:val="single" w:sz="8" w:color="0077C0"/>
            </w:tcBorders>
            <w:shd w:val="clear" w:color="auto" w:fill="E8EFF9"/>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4,596</w:t>
            </w:r>
          </w:p>
        </w:tc>
        <w:tc>
          <w:tcPr>
            <w:tcW w:w="180" w:type="dxa"/>
            <w:vAlign w:val="bottom"/>
            <w:shd w:val="clear" w:color="auto" w:fill="E8EFF9"/>
          </w:tcPr>
          <w:p>
            <w:pPr>
              <w:spacing w:after="0"/>
              <w:rPr>
                <w:sz w:val="18"/>
                <w:szCs w:val="18"/>
                <w:color w:val="auto"/>
              </w:rPr>
            </w:pPr>
          </w:p>
        </w:tc>
        <w:tc>
          <w:tcPr>
            <w:tcW w:w="10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5,131</w:t>
            </w:r>
          </w:p>
        </w:tc>
        <w:tc>
          <w:tcPr>
            <w:tcW w:w="220" w:type="dxa"/>
            <w:vAlign w:val="bottom"/>
            <w:shd w:val="clear" w:color="auto" w:fill="E8EFF9"/>
          </w:tcPr>
          <w:p>
            <w:pPr>
              <w:spacing w:after="0"/>
              <w:rPr>
                <w:sz w:val="18"/>
                <w:szCs w:val="18"/>
                <w:color w:val="auto"/>
              </w:rPr>
            </w:pPr>
          </w:p>
        </w:tc>
        <w:tc>
          <w:tcPr>
            <w:tcW w:w="10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8,585</w:t>
            </w:r>
          </w:p>
        </w:tc>
        <w:tc>
          <w:tcPr>
            <w:tcW w:w="240" w:type="dxa"/>
            <w:vAlign w:val="bottom"/>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980" w:type="dxa"/>
            <w:vAlign w:val="bottom"/>
            <w:tcBorders>
              <w:bottom w:val="single" w:sz="8" w:color="0077C0"/>
            </w:tcBorders>
            <w:shd w:val="clear" w:color="auto" w:fill="E8EFF9"/>
          </w:tcPr>
          <w:p>
            <w:pPr>
              <w:ind w:left="140"/>
              <w:spacing w:after="0"/>
              <w:rPr>
                <w:sz w:val="20"/>
                <w:szCs w:val="20"/>
                <w:color w:val="auto"/>
              </w:rPr>
            </w:pPr>
            <w:r>
              <w:rPr>
                <w:rFonts w:ascii="Times New Roman" w:cs="Times New Roman" w:eastAsia="Times New Roman" w:hAnsi="Times New Roman"/>
                <w:sz w:val="16"/>
                <w:szCs w:val="16"/>
                <w:color w:val="auto"/>
              </w:rPr>
              <w:t>Other income (loss)</w:t>
            </w:r>
          </w:p>
        </w:tc>
        <w:tc>
          <w:tcPr>
            <w:tcW w:w="120" w:type="dxa"/>
            <w:vAlign w:val="bottom"/>
            <w:tcBorders>
              <w:bottom w:val="single" w:sz="8" w:color="0077C0"/>
            </w:tcBorders>
            <w:shd w:val="clear" w:color="auto" w:fill="E8EFF9"/>
          </w:tcPr>
          <w:p>
            <w:pPr>
              <w:spacing w:after="0"/>
              <w:rPr>
                <w:sz w:val="19"/>
                <w:szCs w:val="19"/>
                <w:color w:val="auto"/>
              </w:rPr>
            </w:pPr>
          </w:p>
        </w:tc>
        <w:tc>
          <w:tcPr>
            <w:tcW w:w="1180" w:type="dxa"/>
            <w:vAlign w:val="bottom"/>
            <w:tcBorders>
              <w:bottom w:val="single" w:sz="8" w:color="0077C0"/>
              <w:right w:val="single" w:sz="8" w:color="0077C0"/>
            </w:tcBorders>
            <w:shd w:val="clear" w:color="auto" w:fill="E8EFF9"/>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4,782</w:t>
            </w:r>
          </w:p>
        </w:tc>
        <w:tc>
          <w:tcPr>
            <w:tcW w:w="180" w:type="dxa"/>
            <w:vAlign w:val="bottom"/>
            <w:tcBorders>
              <w:bottom w:val="single" w:sz="8" w:color="0077C0"/>
            </w:tcBorders>
            <w:shd w:val="clear" w:color="auto" w:fill="E8EFF9"/>
          </w:tcPr>
          <w:p>
            <w:pPr>
              <w:spacing w:after="0"/>
              <w:rPr>
                <w:sz w:val="19"/>
                <w:szCs w:val="19"/>
                <w:color w:val="auto"/>
              </w:rPr>
            </w:pPr>
          </w:p>
        </w:tc>
        <w:tc>
          <w:tcPr>
            <w:tcW w:w="106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220" w:type="dxa"/>
            <w:vAlign w:val="bottom"/>
            <w:tcBorders>
              <w:bottom w:val="single" w:sz="8" w:color="0077C0"/>
            </w:tcBorders>
            <w:shd w:val="clear" w:color="auto" w:fill="E8EFF9"/>
          </w:tcPr>
          <w:p>
            <w:pPr>
              <w:spacing w:after="0"/>
              <w:rPr>
                <w:sz w:val="19"/>
                <w:szCs w:val="19"/>
                <w:color w:val="auto"/>
              </w:rPr>
            </w:pPr>
          </w:p>
        </w:tc>
        <w:tc>
          <w:tcPr>
            <w:tcW w:w="104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240" w:type="dxa"/>
            <w:vAlign w:val="bottom"/>
            <w:tcBorders>
              <w:bottom w:val="single" w:sz="8" w:color="E8EFF9"/>
            </w:tcBorders>
            <w:shd w:val="clear" w:color="auto" w:fill="E8EFF9"/>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80" w:type="dxa"/>
            <w:vAlign w:val="bottom"/>
            <w:tcBorders>
              <w:bottom w:val="single" w:sz="8" w:color="0077C0"/>
            </w:tcBorders>
            <w:shd w:val="clear" w:color="auto" w:fill="E8EFF9"/>
          </w:tcPr>
          <w:p>
            <w:pPr>
              <w:ind w:left="20"/>
              <w:spacing w:after="0"/>
              <w:rPr>
                <w:sz w:val="20"/>
                <w:szCs w:val="20"/>
                <w:color w:val="auto"/>
              </w:rPr>
            </w:pPr>
            <w:r>
              <w:rPr>
                <w:rFonts w:ascii="Times New Roman" w:cs="Times New Roman" w:eastAsia="Times New Roman" w:hAnsi="Times New Roman"/>
                <w:sz w:val="16"/>
                <w:szCs w:val="16"/>
                <w:b w:val="1"/>
                <w:bCs w:val="1"/>
                <w:color w:val="0077C0"/>
              </w:rPr>
              <w:t>Total Revenues and Other Income</w:t>
            </w:r>
          </w:p>
        </w:tc>
        <w:tc>
          <w:tcPr>
            <w:tcW w:w="120" w:type="dxa"/>
            <w:vAlign w:val="bottom"/>
            <w:tcBorders>
              <w:bottom w:val="single" w:sz="8" w:color="0077C0"/>
            </w:tcBorders>
            <w:shd w:val="clear" w:color="auto" w:fill="E8EFF9"/>
          </w:tcPr>
          <w:p>
            <w:pPr>
              <w:spacing w:after="0"/>
              <w:rPr>
                <w:sz w:val="18"/>
                <w:szCs w:val="18"/>
                <w:color w:val="auto"/>
              </w:rPr>
            </w:pPr>
          </w:p>
        </w:tc>
        <w:tc>
          <w:tcPr>
            <w:tcW w:w="1180" w:type="dxa"/>
            <w:vAlign w:val="bottom"/>
            <w:tcBorders>
              <w:bottom w:val="single" w:sz="8" w:color="0077C0"/>
              <w:right w:val="single" w:sz="8" w:color="0077C0"/>
            </w:tcBorders>
            <w:shd w:val="clear" w:color="auto" w:fill="E8EFF9"/>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202,792</w:t>
            </w:r>
          </w:p>
        </w:tc>
        <w:tc>
          <w:tcPr>
            <w:tcW w:w="180" w:type="dxa"/>
            <w:vAlign w:val="bottom"/>
            <w:tcBorders>
              <w:bottom w:val="single" w:sz="8" w:color="0077C0"/>
            </w:tcBorders>
            <w:shd w:val="clear" w:color="auto" w:fill="E8EFF9"/>
          </w:tcPr>
          <w:p>
            <w:pPr>
              <w:spacing w:after="0"/>
              <w:rPr>
                <w:sz w:val="18"/>
                <w:szCs w:val="18"/>
                <w:color w:val="auto"/>
              </w:rPr>
            </w:pPr>
          </w:p>
        </w:tc>
        <w:tc>
          <w:tcPr>
            <w:tcW w:w="106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200,949</w:t>
            </w:r>
          </w:p>
        </w:tc>
        <w:tc>
          <w:tcPr>
            <w:tcW w:w="220" w:type="dxa"/>
            <w:vAlign w:val="bottom"/>
            <w:tcBorders>
              <w:bottom w:val="single" w:sz="8" w:color="0077C0"/>
            </w:tcBorders>
            <w:shd w:val="clear" w:color="auto" w:fill="E8EFF9"/>
          </w:tcPr>
          <w:p>
            <w:pPr>
              <w:spacing w:after="0"/>
              <w:rPr>
                <w:sz w:val="18"/>
                <w:szCs w:val="18"/>
                <w:color w:val="auto"/>
              </w:rPr>
            </w:pPr>
          </w:p>
        </w:tc>
        <w:tc>
          <w:tcPr>
            <w:tcW w:w="104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246,252</w:t>
            </w:r>
          </w:p>
        </w:tc>
        <w:tc>
          <w:tcPr>
            <w:tcW w:w="240" w:type="dxa"/>
            <w:vAlign w:val="bottom"/>
            <w:tcBorders>
              <w:bottom w:val="single" w:sz="8" w:color="E8EFF9"/>
            </w:tcBorders>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80" w:type="dxa"/>
            <w:vAlign w:val="bottom"/>
            <w:shd w:val="clear" w:color="auto" w:fill="E8EFF9"/>
          </w:tcPr>
          <w:p>
            <w:pPr>
              <w:ind w:left="20"/>
              <w:spacing w:after="0"/>
              <w:rPr>
                <w:sz w:val="20"/>
                <w:szCs w:val="20"/>
                <w:color w:val="auto"/>
              </w:rPr>
            </w:pPr>
            <w:r>
              <w:rPr>
                <w:rFonts w:ascii="Times New Roman" w:cs="Times New Roman" w:eastAsia="Times New Roman" w:hAnsi="Times New Roman"/>
                <w:sz w:val="16"/>
                <w:szCs w:val="16"/>
                <w:b w:val="1"/>
                <w:bCs w:val="1"/>
                <w:color w:val="0077C0"/>
              </w:rPr>
              <w:t>Costs and Other Deductions</w:t>
            </w:r>
          </w:p>
        </w:tc>
        <w:tc>
          <w:tcPr>
            <w:tcW w:w="120" w:type="dxa"/>
            <w:vAlign w:val="bottom"/>
            <w:shd w:val="clear" w:color="auto" w:fill="E8EFF9"/>
          </w:tcPr>
          <w:p>
            <w:pPr>
              <w:spacing w:after="0"/>
              <w:rPr>
                <w:sz w:val="18"/>
                <w:szCs w:val="18"/>
                <w:color w:val="auto"/>
              </w:rPr>
            </w:pPr>
          </w:p>
        </w:tc>
        <w:tc>
          <w:tcPr>
            <w:tcW w:w="1180" w:type="dxa"/>
            <w:vAlign w:val="bottom"/>
            <w:tcBorders>
              <w:right w:val="single" w:sz="8" w:color="0077C0"/>
            </w:tcBorders>
            <w:shd w:val="clear" w:color="auto" w:fill="E8EFF9"/>
          </w:tcPr>
          <w:p>
            <w:pPr>
              <w:spacing w:after="0"/>
              <w:rPr>
                <w:sz w:val="18"/>
                <w:szCs w:val="18"/>
                <w:color w:val="auto"/>
              </w:rPr>
            </w:pPr>
          </w:p>
        </w:tc>
        <w:tc>
          <w:tcPr>
            <w:tcW w:w="180" w:type="dxa"/>
            <w:vAlign w:val="bottom"/>
            <w:shd w:val="clear" w:color="auto" w:fill="E8EFF9"/>
          </w:tcPr>
          <w:p>
            <w:pPr>
              <w:spacing w:after="0"/>
              <w:rPr>
                <w:sz w:val="18"/>
                <w:szCs w:val="18"/>
                <w:color w:val="auto"/>
              </w:rPr>
            </w:pPr>
          </w:p>
        </w:tc>
        <w:tc>
          <w:tcPr>
            <w:tcW w:w="1060" w:type="dxa"/>
            <w:vAlign w:val="bottom"/>
            <w:shd w:val="clear" w:color="auto" w:fill="E8EFF9"/>
          </w:tcPr>
          <w:p>
            <w:pPr>
              <w:spacing w:after="0"/>
              <w:rPr>
                <w:sz w:val="18"/>
                <w:szCs w:val="18"/>
                <w:color w:val="auto"/>
              </w:rPr>
            </w:pPr>
          </w:p>
        </w:tc>
        <w:tc>
          <w:tcPr>
            <w:tcW w:w="220" w:type="dxa"/>
            <w:vAlign w:val="bottom"/>
            <w:shd w:val="clear" w:color="auto" w:fill="E8EFF9"/>
          </w:tcPr>
          <w:p>
            <w:pPr>
              <w:spacing w:after="0"/>
              <w:rPr>
                <w:sz w:val="18"/>
                <w:szCs w:val="18"/>
                <w:color w:val="auto"/>
              </w:rPr>
            </w:pPr>
          </w:p>
        </w:tc>
        <w:tc>
          <w:tcPr>
            <w:tcW w:w="1040" w:type="dxa"/>
            <w:vAlign w:val="bottom"/>
            <w:shd w:val="clear" w:color="auto" w:fill="E8EFF9"/>
          </w:tcPr>
          <w:p>
            <w:pPr>
              <w:spacing w:after="0"/>
              <w:rPr>
                <w:sz w:val="18"/>
                <w:szCs w:val="18"/>
                <w:color w:val="auto"/>
              </w:rPr>
            </w:pPr>
          </w:p>
        </w:tc>
        <w:tc>
          <w:tcPr>
            <w:tcW w:w="240" w:type="dxa"/>
            <w:vAlign w:val="bottom"/>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80" w:type="dxa"/>
            <w:vAlign w:val="bottom"/>
            <w:shd w:val="clear" w:color="auto" w:fill="E8EFF9"/>
          </w:tcPr>
          <w:p>
            <w:pPr>
              <w:ind w:left="140"/>
              <w:spacing w:after="0"/>
              <w:rPr>
                <w:sz w:val="20"/>
                <w:szCs w:val="20"/>
                <w:color w:val="auto"/>
              </w:rPr>
            </w:pPr>
            <w:r>
              <w:rPr>
                <w:rFonts w:ascii="Times New Roman" w:cs="Times New Roman" w:eastAsia="Times New Roman" w:hAnsi="Times New Roman"/>
                <w:sz w:val="16"/>
                <w:szCs w:val="16"/>
                <w:color w:val="auto"/>
              </w:rPr>
              <w:t>Purchased crude oil and products</w:t>
            </w:r>
          </w:p>
        </w:tc>
        <w:tc>
          <w:tcPr>
            <w:tcW w:w="120" w:type="dxa"/>
            <w:vAlign w:val="bottom"/>
            <w:shd w:val="clear" w:color="auto" w:fill="E8EFF9"/>
          </w:tcPr>
          <w:p>
            <w:pPr>
              <w:spacing w:after="0"/>
              <w:rPr>
                <w:sz w:val="18"/>
                <w:szCs w:val="18"/>
                <w:color w:val="auto"/>
              </w:rPr>
            </w:pPr>
          </w:p>
        </w:tc>
        <w:tc>
          <w:tcPr>
            <w:tcW w:w="1180" w:type="dxa"/>
            <w:vAlign w:val="bottom"/>
            <w:tcBorders>
              <w:right w:val="single" w:sz="8" w:color="0077C0"/>
            </w:tcBorders>
            <w:shd w:val="clear" w:color="auto" w:fill="E8EFF9"/>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119,206</w:t>
            </w:r>
          </w:p>
        </w:tc>
        <w:tc>
          <w:tcPr>
            <w:tcW w:w="180" w:type="dxa"/>
            <w:vAlign w:val="bottom"/>
            <w:shd w:val="clear" w:color="auto" w:fill="E8EFF9"/>
          </w:tcPr>
          <w:p>
            <w:pPr>
              <w:spacing w:after="0"/>
              <w:rPr>
                <w:sz w:val="18"/>
                <w:szCs w:val="18"/>
                <w:color w:val="auto"/>
              </w:rPr>
            </w:pPr>
          </w:p>
        </w:tc>
        <w:tc>
          <w:tcPr>
            <w:tcW w:w="10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119,196</w:t>
            </w:r>
          </w:p>
        </w:tc>
        <w:tc>
          <w:tcPr>
            <w:tcW w:w="220" w:type="dxa"/>
            <w:vAlign w:val="bottom"/>
            <w:shd w:val="clear" w:color="auto" w:fill="E8EFF9"/>
          </w:tcPr>
          <w:p>
            <w:pPr>
              <w:spacing w:after="0"/>
              <w:rPr>
                <w:sz w:val="18"/>
                <w:szCs w:val="18"/>
                <w:color w:val="auto"/>
              </w:rPr>
            </w:pPr>
          </w:p>
        </w:tc>
        <w:tc>
          <w:tcPr>
            <w:tcW w:w="10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145,416</w:t>
            </w:r>
          </w:p>
        </w:tc>
        <w:tc>
          <w:tcPr>
            <w:tcW w:w="240" w:type="dxa"/>
            <w:vAlign w:val="bottom"/>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980" w:type="dxa"/>
            <w:vAlign w:val="bottom"/>
            <w:shd w:val="clear" w:color="auto" w:fill="E8EFF9"/>
          </w:tcPr>
          <w:p>
            <w:pPr>
              <w:ind w:left="140"/>
              <w:spacing w:after="0"/>
              <w:rPr>
                <w:sz w:val="20"/>
                <w:szCs w:val="20"/>
                <w:color w:val="auto"/>
              </w:rPr>
            </w:pPr>
            <w:r>
              <w:rPr>
                <w:rFonts w:ascii="Times New Roman" w:cs="Times New Roman" w:eastAsia="Times New Roman" w:hAnsi="Times New Roman"/>
                <w:sz w:val="16"/>
                <w:szCs w:val="16"/>
                <w:color w:val="auto"/>
              </w:rPr>
              <w:t>Operating expenses</w:t>
            </w:r>
          </w:p>
        </w:tc>
        <w:tc>
          <w:tcPr>
            <w:tcW w:w="120" w:type="dxa"/>
            <w:vAlign w:val="bottom"/>
            <w:shd w:val="clear" w:color="auto" w:fill="E8EFF9"/>
          </w:tcPr>
          <w:p>
            <w:pPr>
              <w:spacing w:after="0"/>
              <w:rPr>
                <w:sz w:val="19"/>
                <w:szCs w:val="19"/>
                <w:color w:val="auto"/>
              </w:rPr>
            </w:pPr>
          </w:p>
        </w:tc>
        <w:tc>
          <w:tcPr>
            <w:tcW w:w="1180" w:type="dxa"/>
            <w:vAlign w:val="bottom"/>
            <w:tcBorders>
              <w:right w:val="single" w:sz="8" w:color="0077C0"/>
            </w:tcBorders>
            <w:shd w:val="clear" w:color="auto" w:fill="E8EFF9"/>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27,464</w:t>
            </w:r>
          </w:p>
        </w:tc>
        <w:tc>
          <w:tcPr>
            <w:tcW w:w="180" w:type="dxa"/>
            <w:vAlign w:val="bottom"/>
            <w:shd w:val="clear" w:color="auto" w:fill="E8EFF9"/>
          </w:tcPr>
          <w:p>
            <w:pPr>
              <w:spacing w:after="0"/>
              <w:rPr>
                <w:sz w:val="19"/>
                <w:szCs w:val="19"/>
                <w:color w:val="auto"/>
              </w:rPr>
            </w:pPr>
          </w:p>
        </w:tc>
        <w:tc>
          <w:tcPr>
            <w:tcW w:w="10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24,887</w:t>
            </w:r>
          </w:p>
        </w:tc>
        <w:tc>
          <w:tcPr>
            <w:tcW w:w="220" w:type="dxa"/>
            <w:vAlign w:val="bottom"/>
            <w:shd w:val="clear" w:color="auto" w:fill="E8EFF9"/>
          </w:tcPr>
          <w:p>
            <w:pPr>
              <w:spacing w:after="0"/>
              <w:rPr>
                <w:sz w:val="19"/>
                <w:szCs w:val="19"/>
                <w:color w:val="auto"/>
              </w:rPr>
            </w:pPr>
          </w:p>
        </w:tc>
        <w:tc>
          <w:tcPr>
            <w:tcW w:w="10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24,714</w:t>
            </w:r>
          </w:p>
        </w:tc>
        <w:tc>
          <w:tcPr>
            <w:tcW w:w="240" w:type="dxa"/>
            <w:vAlign w:val="bottom"/>
            <w:shd w:val="clear" w:color="auto" w:fill="E8EFF9"/>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80" w:type="dxa"/>
            <w:vAlign w:val="bottom"/>
            <w:shd w:val="clear" w:color="auto" w:fill="E8EFF9"/>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20" w:type="dxa"/>
            <w:vAlign w:val="bottom"/>
            <w:shd w:val="clear" w:color="auto" w:fill="E8EFF9"/>
          </w:tcPr>
          <w:p>
            <w:pPr>
              <w:spacing w:after="0"/>
              <w:rPr>
                <w:sz w:val="18"/>
                <w:szCs w:val="18"/>
                <w:color w:val="auto"/>
              </w:rPr>
            </w:pPr>
          </w:p>
        </w:tc>
        <w:tc>
          <w:tcPr>
            <w:tcW w:w="1180" w:type="dxa"/>
            <w:vAlign w:val="bottom"/>
            <w:tcBorders>
              <w:right w:val="single" w:sz="8" w:color="0077C0"/>
            </w:tcBorders>
            <w:shd w:val="clear" w:color="auto" w:fill="E8EFF9"/>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4,834</w:t>
            </w:r>
          </w:p>
        </w:tc>
        <w:tc>
          <w:tcPr>
            <w:tcW w:w="180" w:type="dxa"/>
            <w:vAlign w:val="bottom"/>
            <w:shd w:val="clear" w:color="auto" w:fill="E8EFF9"/>
          </w:tcPr>
          <w:p>
            <w:pPr>
              <w:spacing w:after="0"/>
              <w:rPr>
                <w:sz w:val="18"/>
                <w:szCs w:val="18"/>
                <w:color w:val="auto"/>
              </w:rPr>
            </w:pPr>
          </w:p>
        </w:tc>
        <w:tc>
          <w:tcPr>
            <w:tcW w:w="10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4,141</w:t>
            </w:r>
          </w:p>
        </w:tc>
        <w:tc>
          <w:tcPr>
            <w:tcW w:w="220" w:type="dxa"/>
            <w:vAlign w:val="bottom"/>
            <w:shd w:val="clear" w:color="auto" w:fill="E8EFF9"/>
          </w:tcPr>
          <w:p>
            <w:pPr>
              <w:spacing w:after="0"/>
              <w:rPr>
                <w:sz w:val="18"/>
                <w:szCs w:val="18"/>
                <w:color w:val="auto"/>
              </w:rPr>
            </w:pPr>
          </w:p>
        </w:tc>
        <w:tc>
          <w:tcPr>
            <w:tcW w:w="10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4,312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80" w:type="dxa"/>
            <w:vAlign w:val="bottom"/>
            <w:shd w:val="clear" w:color="auto" w:fill="E8EFF9"/>
          </w:tcPr>
          <w:p>
            <w:pPr>
              <w:ind w:left="140"/>
              <w:spacing w:after="0"/>
              <w:rPr>
                <w:sz w:val="20"/>
                <w:szCs w:val="20"/>
                <w:color w:val="auto"/>
              </w:rPr>
            </w:pPr>
            <w:r>
              <w:rPr>
                <w:rFonts w:ascii="Times New Roman" w:cs="Times New Roman" w:eastAsia="Times New Roman" w:hAnsi="Times New Roman"/>
                <w:sz w:val="16"/>
                <w:szCs w:val="16"/>
                <w:color w:val="auto"/>
              </w:rPr>
              <w:t>Exploration expenses</w:t>
            </w:r>
          </w:p>
        </w:tc>
        <w:tc>
          <w:tcPr>
            <w:tcW w:w="120" w:type="dxa"/>
            <w:vAlign w:val="bottom"/>
            <w:shd w:val="clear" w:color="auto" w:fill="E8EFF9"/>
          </w:tcPr>
          <w:p>
            <w:pPr>
              <w:spacing w:after="0"/>
              <w:rPr>
                <w:sz w:val="18"/>
                <w:szCs w:val="18"/>
                <w:color w:val="auto"/>
              </w:rPr>
            </w:pPr>
          </w:p>
        </w:tc>
        <w:tc>
          <w:tcPr>
            <w:tcW w:w="1180" w:type="dxa"/>
            <w:vAlign w:val="bottom"/>
            <w:tcBorders>
              <w:right w:val="single" w:sz="8" w:color="0077C0"/>
            </w:tcBorders>
            <w:shd w:val="clear" w:color="auto" w:fill="E8EFF9"/>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995</w:t>
            </w:r>
          </w:p>
        </w:tc>
        <w:tc>
          <w:tcPr>
            <w:tcW w:w="180" w:type="dxa"/>
            <w:vAlign w:val="bottom"/>
            <w:shd w:val="clear" w:color="auto" w:fill="E8EFF9"/>
          </w:tcPr>
          <w:p>
            <w:pPr>
              <w:spacing w:after="0"/>
              <w:rPr>
                <w:sz w:val="18"/>
                <w:szCs w:val="18"/>
                <w:color w:val="auto"/>
              </w:rPr>
            </w:pPr>
          </w:p>
        </w:tc>
        <w:tc>
          <w:tcPr>
            <w:tcW w:w="10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220" w:type="dxa"/>
            <w:vAlign w:val="bottom"/>
            <w:shd w:val="clear" w:color="auto" w:fill="E8EFF9"/>
          </w:tcPr>
          <w:p>
            <w:pPr>
              <w:spacing w:after="0"/>
              <w:rPr>
                <w:sz w:val="18"/>
                <w:szCs w:val="18"/>
                <w:color w:val="auto"/>
              </w:rPr>
            </w:pPr>
          </w:p>
        </w:tc>
        <w:tc>
          <w:tcPr>
            <w:tcW w:w="10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974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80" w:type="dxa"/>
            <w:vAlign w:val="bottom"/>
            <w:shd w:val="clear" w:color="auto" w:fill="E8EFF9"/>
          </w:tcPr>
          <w:p>
            <w:pPr>
              <w:ind w:left="140"/>
              <w:spacing w:after="0"/>
              <w:rPr>
                <w:sz w:val="20"/>
                <w:szCs w:val="20"/>
                <w:color w:val="auto"/>
              </w:rPr>
            </w:pPr>
            <w:r>
              <w:rPr>
                <w:rFonts w:ascii="Times New Roman" w:cs="Times New Roman" w:eastAsia="Times New Roman" w:hAnsi="Times New Roman"/>
                <w:sz w:val="16"/>
                <w:szCs w:val="16"/>
                <w:color w:val="auto"/>
              </w:rPr>
              <w:t>Depreciation, depletion and amortization</w:t>
            </w:r>
          </w:p>
        </w:tc>
        <w:tc>
          <w:tcPr>
            <w:tcW w:w="120" w:type="dxa"/>
            <w:vAlign w:val="bottom"/>
            <w:shd w:val="clear" w:color="auto" w:fill="E8EFF9"/>
          </w:tcPr>
          <w:p>
            <w:pPr>
              <w:spacing w:after="0"/>
              <w:rPr>
                <w:sz w:val="18"/>
                <w:szCs w:val="18"/>
                <w:color w:val="auto"/>
              </w:rPr>
            </w:pPr>
          </w:p>
        </w:tc>
        <w:tc>
          <w:tcPr>
            <w:tcW w:w="1180" w:type="dxa"/>
            <w:vAlign w:val="bottom"/>
            <w:tcBorders>
              <w:right w:val="single" w:sz="8" w:color="0077C0"/>
            </w:tcBorders>
            <w:shd w:val="clear" w:color="auto" w:fill="E8EFF9"/>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17,282</w:t>
            </w:r>
          </w:p>
        </w:tc>
        <w:tc>
          <w:tcPr>
            <w:tcW w:w="180" w:type="dxa"/>
            <w:vAlign w:val="bottom"/>
            <w:shd w:val="clear" w:color="auto" w:fill="E8EFF9"/>
          </w:tcPr>
          <w:p>
            <w:pPr>
              <w:spacing w:after="0"/>
              <w:rPr>
                <w:sz w:val="18"/>
                <w:szCs w:val="18"/>
                <w:color w:val="auto"/>
              </w:rPr>
            </w:pPr>
          </w:p>
        </w:tc>
        <w:tc>
          <w:tcPr>
            <w:tcW w:w="10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17,326</w:t>
            </w:r>
          </w:p>
        </w:tc>
        <w:tc>
          <w:tcPr>
            <w:tcW w:w="220" w:type="dxa"/>
            <w:vAlign w:val="bottom"/>
            <w:shd w:val="clear" w:color="auto" w:fill="E8EFF9"/>
          </w:tcPr>
          <w:p>
            <w:pPr>
              <w:spacing w:after="0"/>
              <w:rPr>
                <w:sz w:val="18"/>
                <w:szCs w:val="18"/>
                <w:color w:val="auto"/>
              </w:rPr>
            </w:pPr>
          </w:p>
        </w:tc>
        <w:tc>
          <w:tcPr>
            <w:tcW w:w="10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16,319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80" w:type="dxa"/>
            <w:vAlign w:val="bottom"/>
            <w:shd w:val="clear" w:color="auto" w:fill="E8EFF9"/>
          </w:tcPr>
          <w:p>
            <w:pPr>
              <w:ind w:left="140"/>
              <w:spacing w:after="0"/>
              <w:rPr>
                <w:sz w:val="20"/>
                <w:szCs w:val="20"/>
                <w:color w:val="auto"/>
              </w:rPr>
            </w:pPr>
            <w:r>
              <w:rPr>
                <w:rFonts w:ascii="Times New Roman" w:cs="Times New Roman" w:eastAsia="Times New Roman" w:hAnsi="Times New Roman"/>
                <w:sz w:val="16"/>
                <w:szCs w:val="16"/>
                <w:color w:val="auto"/>
              </w:rPr>
              <w:t>Taxes other than on income</w:t>
            </w:r>
          </w:p>
        </w:tc>
        <w:tc>
          <w:tcPr>
            <w:tcW w:w="120" w:type="dxa"/>
            <w:vAlign w:val="bottom"/>
            <w:shd w:val="clear" w:color="auto" w:fill="E8EFF9"/>
          </w:tcPr>
          <w:p>
            <w:pPr>
              <w:spacing w:after="0"/>
              <w:rPr>
                <w:sz w:val="18"/>
                <w:szCs w:val="18"/>
                <w:color w:val="auto"/>
              </w:rPr>
            </w:pPr>
          </w:p>
        </w:tc>
        <w:tc>
          <w:tcPr>
            <w:tcW w:w="1180" w:type="dxa"/>
            <w:vAlign w:val="bottom"/>
            <w:tcBorders>
              <w:right w:val="single" w:sz="8" w:color="0077C0"/>
            </w:tcBorders>
            <w:shd w:val="clear" w:color="auto" w:fill="E8EFF9"/>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4,716</w:t>
            </w:r>
          </w:p>
        </w:tc>
        <w:tc>
          <w:tcPr>
            <w:tcW w:w="180" w:type="dxa"/>
            <w:vAlign w:val="bottom"/>
            <w:shd w:val="clear" w:color="auto" w:fill="E8EFF9"/>
          </w:tcPr>
          <w:p>
            <w:pPr>
              <w:spacing w:after="0"/>
              <w:rPr>
                <w:sz w:val="18"/>
                <w:szCs w:val="18"/>
                <w:color w:val="auto"/>
              </w:rPr>
            </w:pPr>
          </w:p>
        </w:tc>
        <w:tc>
          <w:tcPr>
            <w:tcW w:w="10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4,220</w:t>
            </w:r>
          </w:p>
        </w:tc>
        <w:tc>
          <w:tcPr>
            <w:tcW w:w="220" w:type="dxa"/>
            <w:vAlign w:val="bottom"/>
            <w:shd w:val="clear" w:color="auto" w:fill="E8EFF9"/>
          </w:tcPr>
          <w:p>
            <w:pPr>
              <w:spacing w:after="0"/>
              <w:rPr>
                <w:sz w:val="18"/>
                <w:szCs w:val="18"/>
                <w:color w:val="auto"/>
              </w:rPr>
            </w:pPr>
          </w:p>
        </w:tc>
        <w:tc>
          <w:tcPr>
            <w:tcW w:w="10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4,032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80" w:type="dxa"/>
            <w:vAlign w:val="bottom"/>
            <w:shd w:val="clear" w:color="auto" w:fill="E8EFF9"/>
          </w:tcPr>
          <w:p>
            <w:pPr>
              <w:ind w:left="140"/>
              <w:spacing w:after="0"/>
              <w:rPr>
                <w:sz w:val="20"/>
                <w:szCs w:val="20"/>
                <w:color w:val="auto"/>
              </w:rPr>
            </w:pPr>
            <w:r>
              <w:rPr>
                <w:rFonts w:ascii="Times New Roman" w:cs="Times New Roman" w:eastAsia="Times New Roman" w:hAnsi="Times New Roman"/>
                <w:sz w:val="16"/>
                <w:szCs w:val="16"/>
                <w:color w:val="auto"/>
              </w:rPr>
              <w:t>Interest and debt expense</w:t>
            </w:r>
          </w:p>
        </w:tc>
        <w:tc>
          <w:tcPr>
            <w:tcW w:w="120" w:type="dxa"/>
            <w:vAlign w:val="bottom"/>
            <w:shd w:val="clear" w:color="auto" w:fill="E8EFF9"/>
          </w:tcPr>
          <w:p>
            <w:pPr>
              <w:spacing w:after="0"/>
              <w:rPr>
                <w:sz w:val="18"/>
                <w:szCs w:val="18"/>
                <w:color w:val="auto"/>
              </w:rPr>
            </w:pPr>
          </w:p>
        </w:tc>
        <w:tc>
          <w:tcPr>
            <w:tcW w:w="1180" w:type="dxa"/>
            <w:vAlign w:val="bottom"/>
            <w:tcBorders>
              <w:right w:val="single" w:sz="8" w:color="0077C0"/>
            </w:tcBorders>
            <w:shd w:val="clear" w:color="auto" w:fill="E8EFF9"/>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594</w:t>
            </w:r>
          </w:p>
        </w:tc>
        <w:tc>
          <w:tcPr>
            <w:tcW w:w="180" w:type="dxa"/>
            <w:vAlign w:val="bottom"/>
            <w:shd w:val="clear" w:color="auto" w:fill="E8EFF9"/>
          </w:tcPr>
          <w:p>
            <w:pPr>
              <w:spacing w:after="0"/>
              <w:rPr>
                <w:sz w:val="18"/>
                <w:szCs w:val="18"/>
                <w:color w:val="auto"/>
              </w:rPr>
            </w:pPr>
          </w:p>
        </w:tc>
        <w:tc>
          <w:tcPr>
            <w:tcW w:w="10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220" w:type="dxa"/>
            <w:vAlign w:val="bottom"/>
            <w:shd w:val="clear" w:color="auto" w:fill="E8EFF9"/>
          </w:tcPr>
          <w:p>
            <w:pPr>
              <w:spacing w:after="0"/>
              <w:rPr>
                <w:sz w:val="18"/>
                <w:szCs w:val="18"/>
                <w:color w:val="auto"/>
              </w:rPr>
            </w:pPr>
          </w:p>
        </w:tc>
        <w:tc>
          <w:tcPr>
            <w:tcW w:w="10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980" w:type="dxa"/>
            <w:vAlign w:val="bottom"/>
            <w:tcBorders>
              <w:bottom w:val="single" w:sz="8" w:color="0077C0"/>
            </w:tcBorders>
            <w:shd w:val="clear" w:color="auto" w:fill="E8EFF9"/>
          </w:tcPr>
          <w:p>
            <w:pPr>
              <w:ind w:left="140"/>
              <w:spacing w:after="0"/>
              <w:rPr>
                <w:sz w:val="20"/>
                <w:szCs w:val="20"/>
                <w:color w:val="auto"/>
              </w:rPr>
            </w:pPr>
            <w:r>
              <w:rPr>
                <w:rFonts w:ascii="Times New Roman" w:cs="Times New Roman" w:eastAsia="Times New Roman" w:hAnsi="Times New Roman"/>
                <w:sz w:val="16"/>
                <w:szCs w:val="16"/>
                <w:color w:val="auto"/>
              </w:rPr>
              <w:t>Other components of net periodic benefit costs</w:t>
            </w:r>
          </w:p>
        </w:tc>
        <w:tc>
          <w:tcPr>
            <w:tcW w:w="120" w:type="dxa"/>
            <w:vAlign w:val="bottom"/>
            <w:tcBorders>
              <w:bottom w:val="single" w:sz="8" w:color="0077C0"/>
            </w:tcBorders>
            <w:shd w:val="clear" w:color="auto" w:fill="E8EFF9"/>
          </w:tcPr>
          <w:p>
            <w:pPr>
              <w:spacing w:after="0"/>
              <w:rPr>
                <w:sz w:val="19"/>
                <w:szCs w:val="19"/>
                <w:color w:val="auto"/>
              </w:rPr>
            </w:pPr>
          </w:p>
        </w:tc>
        <w:tc>
          <w:tcPr>
            <w:tcW w:w="1180" w:type="dxa"/>
            <w:vAlign w:val="bottom"/>
            <w:tcBorders>
              <w:bottom w:val="single" w:sz="8" w:color="0077C0"/>
              <w:right w:val="single" w:sz="8" w:color="0077C0"/>
            </w:tcBorders>
            <w:shd w:val="clear" w:color="auto" w:fill="E8EFF9"/>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195</w:t>
            </w:r>
          </w:p>
        </w:tc>
        <w:tc>
          <w:tcPr>
            <w:tcW w:w="180" w:type="dxa"/>
            <w:vAlign w:val="bottom"/>
            <w:tcBorders>
              <w:bottom w:val="single" w:sz="8" w:color="0077C0"/>
            </w:tcBorders>
            <w:shd w:val="clear" w:color="auto" w:fill="E8EFF9"/>
          </w:tcPr>
          <w:p>
            <w:pPr>
              <w:spacing w:after="0"/>
              <w:rPr>
                <w:sz w:val="19"/>
                <w:szCs w:val="19"/>
                <w:color w:val="auto"/>
              </w:rPr>
            </w:pPr>
          </w:p>
        </w:tc>
        <w:tc>
          <w:tcPr>
            <w:tcW w:w="106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220" w:type="dxa"/>
            <w:vAlign w:val="bottom"/>
            <w:tcBorders>
              <w:bottom w:val="single" w:sz="8" w:color="0077C0"/>
            </w:tcBorders>
            <w:shd w:val="clear" w:color="auto" w:fill="E8EFF9"/>
          </w:tcPr>
          <w:p>
            <w:pPr>
              <w:spacing w:after="0"/>
              <w:rPr>
                <w:sz w:val="19"/>
                <w:szCs w:val="19"/>
                <w:color w:val="auto"/>
              </w:rPr>
            </w:pPr>
          </w:p>
        </w:tc>
        <w:tc>
          <w:tcPr>
            <w:tcW w:w="104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80" w:type="dxa"/>
            <w:vAlign w:val="bottom"/>
            <w:tcBorders>
              <w:bottom w:val="single" w:sz="8" w:color="0077C0"/>
            </w:tcBorders>
            <w:shd w:val="clear" w:color="auto" w:fill="E8EFF9"/>
          </w:tcPr>
          <w:p>
            <w:pPr>
              <w:ind w:left="20"/>
              <w:spacing w:after="0"/>
              <w:rPr>
                <w:sz w:val="20"/>
                <w:szCs w:val="20"/>
                <w:color w:val="auto"/>
              </w:rPr>
            </w:pPr>
            <w:r>
              <w:rPr>
                <w:rFonts w:ascii="Times New Roman" w:cs="Times New Roman" w:eastAsia="Times New Roman" w:hAnsi="Times New Roman"/>
                <w:sz w:val="16"/>
                <w:szCs w:val="16"/>
                <w:b w:val="1"/>
                <w:bCs w:val="1"/>
                <w:color w:val="0077C0"/>
              </w:rPr>
              <w:t>Total Costs and Other Deductions</w:t>
            </w:r>
          </w:p>
        </w:tc>
        <w:tc>
          <w:tcPr>
            <w:tcW w:w="120" w:type="dxa"/>
            <w:vAlign w:val="bottom"/>
            <w:tcBorders>
              <w:bottom w:val="single" w:sz="8" w:color="0077C0"/>
            </w:tcBorders>
            <w:shd w:val="clear" w:color="auto" w:fill="E8EFF9"/>
          </w:tcPr>
          <w:p>
            <w:pPr>
              <w:spacing w:after="0"/>
              <w:rPr>
                <w:sz w:val="18"/>
                <w:szCs w:val="18"/>
                <w:color w:val="auto"/>
              </w:rPr>
            </w:pPr>
          </w:p>
        </w:tc>
        <w:tc>
          <w:tcPr>
            <w:tcW w:w="1180" w:type="dxa"/>
            <w:vAlign w:val="bottom"/>
            <w:tcBorders>
              <w:bottom w:val="single" w:sz="8" w:color="0077C0"/>
              <w:right w:val="single" w:sz="8" w:color="0077C0"/>
            </w:tcBorders>
            <w:shd w:val="clear" w:color="auto" w:fill="E8EFF9"/>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175,286</w:t>
            </w:r>
          </w:p>
        </w:tc>
        <w:tc>
          <w:tcPr>
            <w:tcW w:w="180" w:type="dxa"/>
            <w:vAlign w:val="bottom"/>
            <w:tcBorders>
              <w:bottom w:val="single" w:sz="8" w:color="0077C0"/>
            </w:tcBorders>
            <w:shd w:val="clear" w:color="auto" w:fill="E8EFF9"/>
          </w:tcPr>
          <w:p>
            <w:pPr>
              <w:spacing w:after="0"/>
              <w:rPr>
                <w:sz w:val="18"/>
                <w:szCs w:val="18"/>
                <w:color w:val="auto"/>
              </w:rPr>
            </w:pPr>
          </w:p>
        </w:tc>
        <w:tc>
          <w:tcPr>
            <w:tcW w:w="106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171,365</w:t>
            </w:r>
          </w:p>
        </w:tc>
        <w:tc>
          <w:tcPr>
            <w:tcW w:w="220" w:type="dxa"/>
            <w:vAlign w:val="bottom"/>
            <w:tcBorders>
              <w:bottom w:val="single" w:sz="8" w:color="0077C0"/>
            </w:tcBorders>
            <w:shd w:val="clear" w:color="auto" w:fill="E8EFF9"/>
          </w:tcPr>
          <w:p>
            <w:pPr>
              <w:spacing w:after="0"/>
              <w:rPr>
                <w:sz w:val="18"/>
                <w:szCs w:val="18"/>
                <w:color w:val="auto"/>
              </w:rPr>
            </w:pPr>
          </w:p>
        </w:tc>
        <w:tc>
          <w:tcPr>
            <w:tcW w:w="104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196,578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80" w:type="dxa"/>
            <w:vAlign w:val="bottom"/>
            <w:shd w:val="clear" w:color="auto" w:fill="E8EFF9"/>
          </w:tcPr>
          <w:p>
            <w:pPr>
              <w:ind w:left="20"/>
              <w:spacing w:after="0"/>
              <w:rPr>
                <w:sz w:val="20"/>
                <w:szCs w:val="20"/>
                <w:color w:val="auto"/>
              </w:rPr>
            </w:pPr>
            <w:r>
              <w:rPr>
                <w:rFonts w:ascii="Times New Roman" w:cs="Times New Roman" w:eastAsia="Times New Roman" w:hAnsi="Times New Roman"/>
                <w:sz w:val="16"/>
                <w:szCs w:val="16"/>
                <w:b w:val="1"/>
                <w:bCs w:val="1"/>
                <w:color w:val="0077C0"/>
              </w:rPr>
              <w:t>Income (Loss) Before Income Tax Expense</w:t>
            </w:r>
          </w:p>
        </w:tc>
        <w:tc>
          <w:tcPr>
            <w:tcW w:w="120" w:type="dxa"/>
            <w:vAlign w:val="bottom"/>
            <w:shd w:val="clear" w:color="auto" w:fill="E8EFF9"/>
          </w:tcPr>
          <w:p>
            <w:pPr>
              <w:spacing w:after="0"/>
              <w:rPr>
                <w:sz w:val="18"/>
                <w:szCs w:val="18"/>
                <w:color w:val="auto"/>
              </w:rPr>
            </w:pPr>
          </w:p>
        </w:tc>
        <w:tc>
          <w:tcPr>
            <w:tcW w:w="1180" w:type="dxa"/>
            <w:vAlign w:val="bottom"/>
            <w:tcBorders>
              <w:right w:val="single" w:sz="8" w:color="0077C0"/>
            </w:tcBorders>
            <w:shd w:val="clear" w:color="auto" w:fill="E8EFF9"/>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27,506</w:t>
            </w:r>
          </w:p>
        </w:tc>
        <w:tc>
          <w:tcPr>
            <w:tcW w:w="180" w:type="dxa"/>
            <w:vAlign w:val="bottom"/>
            <w:shd w:val="clear" w:color="auto" w:fill="E8EFF9"/>
          </w:tcPr>
          <w:p>
            <w:pPr>
              <w:spacing w:after="0"/>
              <w:rPr>
                <w:sz w:val="18"/>
                <w:szCs w:val="18"/>
                <w:color w:val="auto"/>
              </w:rPr>
            </w:pPr>
          </w:p>
        </w:tc>
        <w:tc>
          <w:tcPr>
            <w:tcW w:w="10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29,584</w:t>
            </w:r>
          </w:p>
        </w:tc>
        <w:tc>
          <w:tcPr>
            <w:tcW w:w="220" w:type="dxa"/>
            <w:vAlign w:val="bottom"/>
            <w:shd w:val="clear" w:color="auto" w:fill="E8EFF9"/>
          </w:tcPr>
          <w:p>
            <w:pPr>
              <w:spacing w:after="0"/>
              <w:rPr>
                <w:sz w:val="18"/>
                <w:szCs w:val="18"/>
                <w:color w:val="auto"/>
              </w:rPr>
            </w:pPr>
          </w:p>
        </w:tc>
        <w:tc>
          <w:tcPr>
            <w:tcW w:w="10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49,674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80" w:type="dxa"/>
            <w:vAlign w:val="bottom"/>
            <w:tcBorders>
              <w:bottom w:val="single" w:sz="8" w:color="0077C0"/>
            </w:tcBorders>
            <w:shd w:val="clear" w:color="auto" w:fill="E8EFF9"/>
          </w:tcPr>
          <w:p>
            <w:pPr>
              <w:ind w:left="20"/>
              <w:spacing w:after="0"/>
              <w:rPr>
                <w:sz w:val="20"/>
                <w:szCs w:val="20"/>
                <w:color w:val="auto"/>
              </w:rPr>
            </w:pPr>
            <w:r>
              <w:rPr>
                <w:rFonts w:ascii="Times New Roman" w:cs="Times New Roman" w:eastAsia="Times New Roman" w:hAnsi="Times New Roman"/>
                <w:sz w:val="16"/>
                <w:szCs w:val="16"/>
                <w:b w:val="1"/>
                <w:bCs w:val="1"/>
                <w:color w:val="0077C0"/>
              </w:rPr>
              <w:t>Income Tax Expense (Benefit)</w:t>
            </w:r>
          </w:p>
        </w:tc>
        <w:tc>
          <w:tcPr>
            <w:tcW w:w="120" w:type="dxa"/>
            <w:vAlign w:val="bottom"/>
            <w:tcBorders>
              <w:bottom w:val="single" w:sz="8" w:color="0077C0"/>
            </w:tcBorders>
            <w:shd w:val="clear" w:color="auto" w:fill="E8EFF9"/>
          </w:tcPr>
          <w:p>
            <w:pPr>
              <w:spacing w:after="0"/>
              <w:rPr>
                <w:sz w:val="18"/>
                <w:szCs w:val="18"/>
                <w:color w:val="auto"/>
              </w:rPr>
            </w:pPr>
          </w:p>
        </w:tc>
        <w:tc>
          <w:tcPr>
            <w:tcW w:w="1180" w:type="dxa"/>
            <w:vAlign w:val="bottom"/>
            <w:tcBorders>
              <w:bottom w:val="single" w:sz="8" w:color="0077C0"/>
              <w:right w:val="single" w:sz="8" w:color="0077C0"/>
            </w:tcBorders>
            <w:shd w:val="clear" w:color="auto" w:fill="E8EFF9"/>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9,757</w:t>
            </w:r>
          </w:p>
        </w:tc>
        <w:tc>
          <w:tcPr>
            <w:tcW w:w="180" w:type="dxa"/>
            <w:vAlign w:val="bottom"/>
            <w:tcBorders>
              <w:bottom w:val="single" w:sz="8" w:color="0077C0"/>
            </w:tcBorders>
            <w:shd w:val="clear" w:color="auto" w:fill="E8EFF9"/>
          </w:tcPr>
          <w:p>
            <w:pPr>
              <w:spacing w:after="0"/>
              <w:rPr>
                <w:sz w:val="18"/>
                <w:szCs w:val="18"/>
                <w:color w:val="auto"/>
              </w:rPr>
            </w:pPr>
          </w:p>
        </w:tc>
        <w:tc>
          <w:tcPr>
            <w:tcW w:w="106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8,173</w:t>
            </w:r>
          </w:p>
        </w:tc>
        <w:tc>
          <w:tcPr>
            <w:tcW w:w="220" w:type="dxa"/>
            <w:vAlign w:val="bottom"/>
            <w:tcBorders>
              <w:bottom w:val="single" w:sz="8" w:color="0077C0"/>
            </w:tcBorders>
            <w:shd w:val="clear" w:color="auto" w:fill="E8EFF9"/>
          </w:tcPr>
          <w:p>
            <w:pPr>
              <w:spacing w:after="0"/>
              <w:rPr>
                <w:sz w:val="18"/>
                <w:szCs w:val="18"/>
                <w:color w:val="auto"/>
              </w:rPr>
            </w:pPr>
          </w:p>
        </w:tc>
        <w:tc>
          <w:tcPr>
            <w:tcW w:w="104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14,066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80" w:type="dxa"/>
            <w:vAlign w:val="bottom"/>
            <w:shd w:val="clear" w:color="auto" w:fill="E8EFF9"/>
          </w:tcPr>
          <w:p>
            <w:pPr>
              <w:ind w:left="20"/>
              <w:spacing w:after="0"/>
              <w:rPr>
                <w:sz w:val="20"/>
                <w:szCs w:val="20"/>
                <w:color w:val="auto"/>
              </w:rPr>
            </w:pPr>
            <w:r>
              <w:rPr>
                <w:rFonts w:ascii="Times New Roman" w:cs="Times New Roman" w:eastAsia="Times New Roman" w:hAnsi="Times New Roman"/>
                <w:sz w:val="16"/>
                <w:szCs w:val="16"/>
                <w:b w:val="1"/>
                <w:bCs w:val="1"/>
                <w:color w:val="0077C0"/>
              </w:rPr>
              <w:t>Net Income (Loss)</w:t>
            </w:r>
          </w:p>
        </w:tc>
        <w:tc>
          <w:tcPr>
            <w:tcW w:w="120" w:type="dxa"/>
            <w:vAlign w:val="bottom"/>
            <w:shd w:val="clear" w:color="auto" w:fill="E8EFF9"/>
          </w:tcPr>
          <w:p>
            <w:pPr>
              <w:spacing w:after="0"/>
              <w:rPr>
                <w:sz w:val="18"/>
                <w:szCs w:val="18"/>
                <w:color w:val="auto"/>
              </w:rPr>
            </w:pPr>
          </w:p>
        </w:tc>
        <w:tc>
          <w:tcPr>
            <w:tcW w:w="1180" w:type="dxa"/>
            <w:vAlign w:val="bottom"/>
            <w:tcBorders>
              <w:right w:val="single" w:sz="8" w:color="0077C0"/>
            </w:tcBorders>
            <w:shd w:val="clear" w:color="auto" w:fill="E8EFF9"/>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17,749</w:t>
            </w:r>
          </w:p>
        </w:tc>
        <w:tc>
          <w:tcPr>
            <w:tcW w:w="180" w:type="dxa"/>
            <w:vAlign w:val="bottom"/>
            <w:shd w:val="clear" w:color="auto" w:fill="E8EFF9"/>
          </w:tcPr>
          <w:p>
            <w:pPr>
              <w:spacing w:after="0"/>
              <w:rPr>
                <w:sz w:val="18"/>
                <w:szCs w:val="18"/>
                <w:color w:val="auto"/>
              </w:rPr>
            </w:pPr>
          </w:p>
        </w:tc>
        <w:tc>
          <w:tcPr>
            <w:tcW w:w="10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21,411</w:t>
            </w:r>
          </w:p>
        </w:tc>
        <w:tc>
          <w:tcPr>
            <w:tcW w:w="220" w:type="dxa"/>
            <w:vAlign w:val="bottom"/>
            <w:shd w:val="clear" w:color="auto" w:fill="E8EFF9"/>
          </w:tcPr>
          <w:p>
            <w:pPr>
              <w:spacing w:after="0"/>
              <w:rPr>
                <w:sz w:val="18"/>
                <w:szCs w:val="18"/>
                <w:color w:val="auto"/>
              </w:rPr>
            </w:pPr>
          </w:p>
        </w:tc>
        <w:tc>
          <w:tcPr>
            <w:tcW w:w="10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35,608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80" w:type="dxa"/>
            <w:vAlign w:val="bottom"/>
            <w:tcBorders>
              <w:bottom w:val="single" w:sz="8" w:color="0077C0"/>
            </w:tcBorders>
            <w:shd w:val="clear" w:color="auto" w:fill="E8EFF9"/>
          </w:tcPr>
          <w:p>
            <w:pPr>
              <w:ind w:left="14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120" w:type="dxa"/>
            <w:vAlign w:val="bottom"/>
            <w:tcBorders>
              <w:bottom w:val="single" w:sz="8" w:color="0077C0"/>
            </w:tcBorders>
            <w:shd w:val="clear" w:color="auto" w:fill="E8EFF9"/>
          </w:tcPr>
          <w:p>
            <w:pPr>
              <w:spacing w:after="0"/>
              <w:rPr>
                <w:sz w:val="18"/>
                <w:szCs w:val="18"/>
                <w:color w:val="auto"/>
              </w:rPr>
            </w:pPr>
          </w:p>
        </w:tc>
        <w:tc>
          <w:tcPr>
            <w:tcW w:w="1180" w:type="dxa"/>
            <w:vAlign w:val="bottom"/>
            <w:tcBorders>
              <w:bottom w:val="single" w:sz="8" w:color="0077C0"/>
              <w:right w:val="single" w:sz="8" w:color="0077C0"/>
            </w:tcBorders>
            <w:shd w:val="clear" w:color="auto" w:fill="E8EFF9"/>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88</w:t>
            </w:r>
          </w:p>
        </w:tc>
        <w:tc>
          <w:tcPr>
            <w:tcW w:w="180" w:type="dxa"/>
            <w:vAlign w:val="bottom"/>
            <w:tcBorders>
              <w:bottom w:val="single" w:sz="8" w:color="0077C0"/>
            </w:tcBorders>
            <w:shd w:val="clear" w:color="auto" w:fill="E8EFF9"/>
          </w:tcPr>
          <w:p>
            <w:pPr>
              <w:spacing w:after="0"/>
              <w:rPr>
                <w:sz w:val="18"/>
                <w:szCs w:val="18"/>
                <w:color w:val="auto"/>
              </w:rPr>
            </w:pPr>
          </w:p>
        </w:tc>
        <w:tc>
          <w:tcPr>
            <w:tcW w:w="106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20" w:type="dxa"/>
            <w:vAlign w:val="bottom"/>
            <w:tcBorders>
              <w:bottom w:val="single" w:sz="8" w:color="0077C0"/>
            </w:tcBorders>
            <w:shd w:val="clear" w:color="auto" w:fill="E8EFF9"/>
          </w:tcPr>
          <w:p>
            <w:pPr>
              <w:spacing w:after="0"/>
              <w:rPr>
                <w:sz w:val="18"/>
                <w:szCs w:val="18"/>
                <w:color w:val="auto"/>
              </w:rPr>
            </w:pPr>
          </w:p>
        </w:tc>
        <w:tc>
          <w:tcPr>
            <w:tcW w:w="104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80" w:type="dxa"/>
            <w:vAlign w:val="bottom"/>
            <w:tcBorders>
              <w:bottom w:val="single" w:sz="8" w:color="0077C0"/>
            </w:tcBorders>
            <w:shd w:val="clear" w:color="auto" w:fill="E8EFF9"/>
          </w:tcPr>
          <w:p>
            <w:pPr>
              <w:ind w:left="20"/>
              <w:spacing w:after="0"/>
              <w:rPr>
                <w:sz w:val="20"/>
                <w:szCs w:val="20"/>
                <w:color w:val="auto"/>
              </w:rPr>
            </w:pPr>
            <w:r>
              <w:rPr>
                <w:rFonts w:ascii="Times New Roman" w:cs="Times New Roman" w:eastAsia="Times New Roman" w:hAnsi="Times New Roman"/>
                <w:sz w:val="16"/>
                <w:szCs w:val="16"/>
                <w:b w:val="1"/>
                <w:bCs w:val="1"/>
                <w:color w:val="0077C0"/>
              </w:rPr>
              <w:t>Net Income (Loss) Attributable to Chevron Corporation</w:t>
            </w:r>
          </w:p>
        </w:tc>
        <w:tc>
          <w:tcPr>
            <w:tcW w:w="12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0077C0"/>
              <w:right w:val="single" w:sz="8" w:color="0077C0"/>
            </w:tcBorders>
            <w:shd w:val="clear" w:color="auto" w:fill="E8EFF9"/>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17,661</w:t>
            </w:r>
          </w:p>
        </w:tc>
        <w:tc>
          <w:tcPr>
            <w:tcW w:w="18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21,369</w:t>
            </w:r>
          </w:p>
        </w:tc>
        <w:tc>
          <w:tcPr>
            <w:tcW w:w="22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35,465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80" w:type="dxa"/>
            <w:vAlign w:val="bottom"/>
            <w:shd w:val="clear" w:color="auto" w:fill="E8EFF9"/>
          </w:tcPr>
          <w:p>
            <w:pPr>
              <w:ind w:left="20"/>
              <w:spacing w:after="0"/>
              <w:rPr>
                <w:sz w:val="20"/>
                <w:szCs w:val="20"/>
                <w:color w:val="auto"/>
              </w:rPr>
            </w:pPr>
            <w:r>
              <w:rPr>
                <w:rFonts w:ascii="Times New Roman" w:cs="Times New Roman" w:eastAsia="Times New Roman" w:hAnsi="Times New Roman"/>
                <w:sz w:val="16"/>
                <w:szCs w:val="16"/>
                <w:b w:val="1"/>
                <w:bCs w:val="1"/>
                <w:color w:val="0077C0"/>
              </w:rPr>
              <w:t>Per Share of Common Stock</w:t>
            </w:r>
          </w:p>
        </w:tc>
        <w:tc>
          <w:tcPr>
            <w:tcW w:w="120" w:type="dxa"/>
            <w:vAlign w:val="bottom"/>
            <w:shd w:val="clear" w:color="auto" w:fill="E8EFF9"/>
          </w:tcPr>
          <w:p>
            <w:pPr>
              <w:spacing w:after="0"/>
              <w:rPr>
                <w:sz w:val="18"/>
                <w:szCs w:val="18"/>
                <w:color w:val="auto"/>
              </w:rPr>
            </w:pPr>
          </w:p>
        </w:tc>
        <w:tc>
          <w:tcPr>
            <w:tcW w:w="1180" w:type="dxa"/>
            <w:vAlign w:val="bottom"/>
            <w:tcBorders>
              <w:right w:val="single" w:sz="8" w:color="0077C0"/>
            </w:tcBorders>
            <w:shd w:val="clear" w:color="auto" w:fill="E8EFF9"/>
          </w:tcPr>
          <w:p>
            <w:pPr>
              <w:spacing w:after="0"/>
              <w:rPr>
                <w:sz w:val="18"/>
                <w:szCs w:val="18"/>
                <w:color w:val="auto"/>
              </w:rPr>
            </w:pPr>
          </w:p>
        </w:tc>
        <w:tc>
          <w:tcPr>
            <w:tcW w:w="180" w:type="dxa"/>
            <w:vAlign w:val="bottom"/>
            <w:shd w:val="clear" w:color="auto" w:fill="E8EFF9"/>
          </w:tcPr>
          <w:p>
            <w:pPr>
              <w:spacing w:after="0"/>
              <w:rPr>
                <w:sz w:val="18"/>
                <w:szCs w:val="18"/>
                <w:color w:val="auto"/>
              </w:rPr>
            </w:pPr>
          </w:p>
        </w:tc>
        <w:tc>
          <w:tcPr>
            <w:tcW w:w="1060" w:type="dxa"/>
            <w:vAlign w:val="bottom"/>
            <w:shd w:val="clear" w:color="auto" w:fill="E8EFF9"/>
          </w:tcPr>
          <w:p>
            <w:pPr>
              <w:spacing w:after="0"/>
              <w:rPr>
                <w:sz w:val="18"/>
                <w:szCs w:val="18"/>
                <w:color w:val="auto"/>
              </w:rPr>
            </w:pPr>
          </w:p>
        </w:tc>
        <w:tc>
          <w:tcPr>
            <w:tcW w:w="220" w:type="dxa"/>
            <w:vAlign w:val="bottom"/>
            <w:shd w:val="clear" w:color="auto" w:fill="E8EFF9"/>
          </w:tcPr>
          <w:p>
            <w:pPr>
              <w:spacing w:after="0"/>
              <w:rPr>
                <w:sz w:val="18"/>
                <w:szCs w:val="18"/>
                <w:color w:val="auto"/>
              </w:rPr>
            </w:pPr>
          </w:p>
        </w:tc>
        <w:tc>
          <w:tcPr>
            <w:tcW w:w="1040" w:type="dxa"/>
            <w:vAlign w:val="bottom"/>
            <w:shd w:val="clear" w:color="auto" w:fill="E8EFF9"/>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80" w:type="dxa"/>
            <w:vAlign w:val="bottom"/>
            <w:shd w:val="clear" w:color="auto" w:fill="E8EFF9"/>
          </w:tcPr>
          <w:p>
            <w:pPr>
              <w:ind w:left="140"/>
              <w:spacing w:after="0"/>
              <w:rPr>
                <w:sz w:val="20"/>
                <w:szCs w:val="20"/>
                <w:color w:val="auto"/>
              </w:rPr>
            </w:pPr>
            <w:r>
              <w:rPr>
                <w:rFonts w:ascii="Times New Roman" w:cs="Times New Roman" w:eastAsia="Times New Roman" w:hAnsi="Times New Roman"/>
                <w:sz w:val="16"/>
                <w:szCs w:val="16"/>
                <w:b w:val="1"/>
                <w:bCs w:val="1"/>
                <w:color w:val="0077C0"/>
              </w:rPr>
              <w:t>Net Income (Loss) Attributable to Chevron Corporation</w:t>
            </w:r>
          </w:p>
        </w:tc>
        <w:tc>
          <w:tcPr>
            <w:tcW w:w="120" w:type="dxa"/>
            <w:vAlign w:val="bottom"/>
            <w:shd w:val="clear" w:color="auto" w:fill="E8EFF9"/>
          </w:tcPr>
          <w:p>
            <w:pPr>
              <w:spacing w:after="0"/>
              <w:rPr>
                <w:sz w:val="18"/>
                <w:szCs w:val="18"/>
                <w:color w:val="auto"/>
              </w:rPr>
            </w:pPr>
          </w:p>
        </w:tc>
        <w:tc>
          <w:tcPr>
            <w:tcW w:w="1180" w:type="dxa"/>
            <w:vAlign w:val="bottom"/>
            <w:tcBorders>
              <w:right w:val="single" w:sz="8" w:color="0077C0"/>
            </w:tcBorders>
            <w:shd w:val="clear" w:color="auto" w:fill="E8EFF9"/>
          </w:tcPr>
          <w:p>
            <w:pPr>
              <w:spacing w:after="0"/>
              <w:rPr>
                <w:sz w:val="18"/>
                <w:szCs w:val="18"/>
                <w:color w:val="auto"/>
              </w:rPr>
            </w:pPr>
          </w:p>
        </w:tc>
        <w:tc>
          <w:tcPr>
            <w:tcW w:w="180" w:type="dxa"/>
            <w:vAlign w:val="bottom"/>
            <w:shd w:val="clear" w:color="auto" w:fill="E8EFF9"/>
          </w:tcPr>
          <w:p>
            <w:pPr>
              <w:spacing w:after="0"/>
              <w:rPr>
                <w:sz w:val="18"/>
                <w:szCs w:val="18"/>
                <w:color w:val="auto"/>
              </w:rPr>
            </w:pPr>
          </w:p>
        </w:tc>
        <w:tc>
          <w:tcPr>
            <w:tcW w:w="1060" w:type="dxa"/>
            <w:vAlign w:val="bottom"/>
            <w:shd w:val="clear" w:color="auto" w:fill="E8EFF9"/>
          </w:tcPr>
          <w:p>
            <w:pPr>
              <w:spacing w:after="0"/>
              <w:rPr>
                <w:sz w:val="18"/>
                <w:szCs w:val="18"/>
                <w:color w:val="auto"/>
              </w:rPr>
            </w:pPr>
          </w:p>
        </w:tc>
        <w:tc>
          <w:tcPr>
            <w:tcW w:w="220" w:type="dxa"/>
            <w:vAlign w:val="bottom"/>
            <w:shd w:val="clear" w:color="auto" w:fill="E8EFF9"/>
          </w:tcPr>
          <w:p>
            <w:pPr>
              <w:spacing w:after="0"/>
              <w:rPr>
                <w:sz w:val="18"/>
                <w:szCs w:val="18"/>
                <w:color w:val="auto"/>
              </w:rPr>
            </w:pPr>
          </w:p>
        </w:tc>
        <w:tc>
          <w:tcPr>
            <w:tcW w:w="1040" w:type="dxa"/>
            <w:vAlign w:val="bottom"/>
            <w:shd w:val="clear" w:color="auto" w:fill="E8EFF9"/>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80" w:type="dxa"/>
            <w:vAlign w:val="bottom"/>
            <w:shd w:val="clear" w:color="auto" w:fill="E8EFF9"/>
          </w:tcPr>
          <w:p>
            <w:pPr>
              <w:ind w:left="180"/>
              <w:spacing w:after="0"/>
              <w:rPr>
                <w:sz w:val="20"/>
                <w:szCs w:val="20"/>
                <w:color w:val="auto"/>
              </w:rPr>
            </w:pPr>
            <w:r>
              <w:rPr>
                <w:rFonts w:ascii="Times New Roman" w:cs="Times New Roman" w:eastAsia="Times New Roman" w:hAnsi="Times New Roman"/>
                <w:sz w:val="16"/>
                <w:szCs w:val="16"/>
                <w:b w:val="1"/>
                <w:bCs w:val="1"/>
                <w:color w:val="0077C0"/>
              </w:rPr>
              <w:t>- Basic</w:t>
            </w:r>
          </w:p>
        </w:tc>
        <w:tc>
          <w:tcPr>
            <w:tcW w:w="12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right w:val="single" w:sz="8" w:color="0077C0"/>
            </w:tcBorders>
            <w:shd w:val="clear" w:color="auto" w:fill="E8EFF9"/>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9.76</w:t>
            </w:r>
          </w:p>
        </w:tc>
        <w:tc>
          <w:tcPr>
            <w:tcW w:w="18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11.41</w:t>
            </w:r>
          </w:p>
        </w:tc>
        <w:tc>
          <w:tcPr>
            <w:tcW w:w="22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18.36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980" w:type="dxa"/>
            <w:vAlign w:val="bottom"/>
            <w:tcBorders>
              <w:bottom w:val="single" w:sz="8" w:color="0077C0"/>
            </w:tcBorders>
            <w:shd w:val="clear" w:color="auto" w:fill="E8EFF9"/>
          </w:tcPr>
          <w:p>
            <w:pPr>
              <w:ind w:left="180"/>
              <w:spacing w:after="0"/>
              <w:rPr>
                <w:sz w:val="20"/>
                <w:szCs w:val="20"/>
                <w:color w:val="auto"/>
              </w:rPr>
            </w:pPr>
            <w:r>
              <w:rPr>
                <w:rFonts w:ascii="Times New Roman" w:cs="Times New Roman" w:eastAsia="Times New Roman" w:hAnsi="Times New Roman"/>
                <w:sz w:val="16"/>
                <w:szCs w:val="16"/>
                <w:b w:val="1"/>
                <w:bCs w:val="1"/>
                <w:color w:val="0077C0"/>
              </w:rPr>
              <w:t>- Diluted</w:t>
            </w:r>
          </w:p>
        </w:tc>
        <w:tc>
          <w:tcPr>
            <w:tcW w:w="12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0077C0"/>
              <w:right w:val="single" w:sz="8" w:color="0077C0"/>
            </w:tcBorders>
            <w:shd w:val="clear" w:color="auto" w:fill="E8EFF9"/>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9.72</w:t>
            </w:r>
          </w:p>
        </w:tc>
        <w:tc>
          <w:tcPr>
            <w:tcW w:w="18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11.36</w:t>
            </w:r>
          </w:p>
        </w:tc>
        <w:tc>
          <w:tcPr>
            <w:tcW w:w="22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18.28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-3788410</wp:posOffset>
            </wp:positionV>
            <wp:extent cx="7132320" cy="69608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6960870"/>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230505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260" w:top="161"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9"/>
        </w:trPr>
        <w:tc>
          <w:tcPr>
            <w:tcW w:w="7320" w:type="dxa"/>
            <w:vAlign w:val="bottom"/>
            <w:gridSpan w:val="2"/>
          </w:tcPr>
          <w:p>
            <w:pPr>
              <w:ind w:left="20"/>
              <w:spacing w:after="0"/>
              <w:rPr>
                <w:sz w:val="20"/>
                <w:szCs w:val="20"/>
                <w:color w:val="auto"/>
              </w:rPr>
            </w:pPr>
            <w:r>
              <w:rPr>
                <w:rFonts w:ascii="Arial" w:cs="Arial" w:eastAsia="Arial" w:hAnsi="Arial"/>
                <w:sz w:val="18"/>
                <w:szCs w:val="18"/>
                <w:color w:val="0077C0"/>
              </w:rPr>
              <w:t>Consolidated Statement of Comprehensive Income</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00" w:type="dxa"/>
            <w:vAlign w:val="bottom"/>
            <w:gridSpan w:val="4"/>
          </w:tcPr>
          <w:p>
            <w:pPr>
              <w:ind w:left="440"/>
              <w:spacing w:after="0"/>
              <w:rPr>
                <w:sz w:val="20"/>
                <w:szCs w:val="20"/>
                <w:color w:val="auto"/>
              </w:rPr>
            </w:pPr>
            <w:r>
              <w:rPr>
                <w:rFonts w:ascii="Arial" w:cs="Arial" w:eastAsia="Arial" w:hAnsi="Arial"/>
                <w:sz w:val="14"/>
                <w:szCs w:val="14"/>
                <w:color w:val="0077C0"/>
              </w:rPr>
              <w:t>Financial Table of Contents</w:t>
            </w:r>
          </w:p>
        </w:tc>
        <w:tc>
          <w:tcPr>
            <w:tcW w:w="0" w:type="dxa"/>
            <w:vAlign w:val="bottom"/>
          </w:tcPr>
          <w:p>
            <w:pPr>
              <w:spacing w:after="0"/>
              <w:rPr>
                <w:sz w:val="1"/>
                <w:szCs w:val="1"/>
                <w:color w:val="auto"/>
              </w:rPr>
            </w:pPr>
          </w:p>
        </w:tc>
      </w:tr>
      <w:tr>
        <w:trPr>
          <w:trHeight w:val="190"/>
        </w:trPr>
        <w:tc>
          <w:tcPr>
            <w:tcW w:w="7320" w:type="dxa"/>
            <w:vAlign w:val="bottom"/>
            <w:gridSpan w:val="2"/>
          </w:tcPr>
          <w:p>
            <w:pPr>
              <w:ind w:left="20"/>
              <w:spacing w:after="0"/>
              <w:rPr>
                <w:sz w:val="20"/>
                <w:szCs w:val="20"/>
                <w:color w:val="auto"/>
              </w:rPr>
            </w:pPr>
            <w:r>
              <w:rPr>
                <w:rFonts w:ascii="Arial" w:cs="Arial" w:eastAsia="Arial" w:hAnsi="Arial"/>
                <w:sz w:val="14"/>
                <w:szCs w:val="14"/>
                <w:color w:val="0077C0"/>
              </w:rPr>
              <w:t>Millions of dollars</w:t>
            </w: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8"/>
        </w:trPr>
        <w:tc>
          <w:tcPr>
            <w:tcW w:w="2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20" w:type="dxa"/>
            <w:vAlign w:val="bottom"/>
            <w:shd w:val="clear" w:color="auto" w:fill="E8EFF9"/>
          </w:tcPr>
          <w:p>
            <w:pPr>
              <w:spacing w:after="0"/>
              <w:rPr>
                <w:sz w:val="18"/>
                <w:szCs w:val="18"/>
                <w:color w:val="auto"/>
              </w:rPr>
            </w:pPr>
          </w:p>
        </w:tc>
        <w:tc>
          <w:tcPr>
            <w:tcW w:w="7100" w:type="dxa"/>
            <w:vAlign w:val="bottom"/>
            <w:shd w:val="clear" w:color="auto" w:fill="E8EFF9"/>
          </w:tcPr>
          <w:p>
            <w:pPr>
              <w:spacing w:after="0"/>
              <w:rPr>
                <w:sz w:val="18"/>
                <w:szCs w:val="18"/>
                <w:color w:val="auto"/>
              </w:rPr>
            </w:pPr>
          </w:p>
        </w:tc>
        <w:tc>
          <w:tcPr>
            <w:tcW w:w="320" w:type="dxa"/>
            <w:vAlign w:val="bottom"/>
            <w:shd w:val="clear" w:color="auto" w:fill="E8EFF9"/>
          </w:tcPr>
          <w:p>
            <w:pPr>
              <w:spacing w:after="0"/>
              <w:rPr>
                <w:sz w:val="18"/>
                <w:szCs w:val="18"/>
                <w:color w:val="auto"/>
              </w:rPr>
            </w:pPr>
          </w:p>
        </w:tc>
        <w:tc>
          <w:tcPr>
            <w:tcW w:w="760" w:type="dxa"/>
            <w:vAlign w:val="bottom"/>
            <w:tcBorders>
              <w:right w:val="single" w:sz="8" w:color="E8EFF9"/>
            </w:tcBorders>
            <w:shd w:val="clear" w:color="auto" w:fill="E8EFF9"/>
          </w:tcPr>
          <w:p>
            <w:pPr>
              <w:spacing w:after="0"/>
              <w:rPr>
                <w:sz w:val="18"/>
                <w:szCs w:val="18"/>
                <w:color w:val="auto"/>
              </w:rPr>
            </w:pPr>
          </w:p>
        </w:tc>
        <w:tc>
          <w:tcPr>
            <w:tcW w:w="120" w:type="dxa"/>
            <w:vAlign w:val="bottom"/>
            <w:tcBorders>
              <w:right w:val="single" w:sz="8" w:color="E8EFF9"/>
            </w:tcBorders>
            <w:shd w:val="clear" w:color="auto" w:fill="E8EFF9"/>
          </w:tcPr>
          <w:p>
            <w:pPr>
              <w:spacing w:after="0"/>
              <w:rPr>
                <w:sz w:val="18"/>
                <w:szCs w:val="18"/>
                <w:color w:val="auto"/>
              </w:rPr>
            </w:pPr>
          </w:p>
        </w:tc>
        <w:tc>
          <w:tcPr>
            <w:tcW w:w="80" w:type="dxa"/>
            <w:vAlign w:val="bottom"/>
            <w:shd w:val="clear" w:color="auto" w:fill="E8EFF9"/>
          </w:tcPr>
          <w:p>
            <w:pPr>
              <w:spacing w:after="0"/>
              <w:rPr>
                <w:sz w:val="18"/>
                <w:szCs w:val="18"/>
                <w:color w:val="auto"/>
              </w:rPr>
            </w:pPr>
          </w:p>
        </w:tc>
        <w:tc>
          <w:tcPr>
            <w:tcW w:w="340" w:type="dxa"/>
            <w:vAlign w:val="bottom"/>
            <w:shd w:val="clear" w:color="auto" w:fill="E8EFF9"/>
          </w:tcPr>
          <w:p>
            <w:pPr>
              <w:spacing w:after="0"/>
              <w:rPr>
                <w:sz w:val="18"/>
                <w:szCs w:val="18"/>
                <w:color w:val="auto"/>
              </w:rPr>
            </w:pPr>
          </w:p>
        </w:tc>
        <w:tc>
          <w:tcPr>
            <w:tcW w:w="2300" w:type="dxa"/>
            <w:vAlign w:val="bottom"/>
            <w:gridSpan w:val="4"/>
            <w:shd w:val="clear" w:color="auto" w:fill="E8EFF9"/>
          </w:tcPr>
          <w:p>
            <w:pPr>
              <w:ind w:left="400"/>
              <w:spacing w:after="0"/>
              <w:rPr>
                <w:sz w:val="20"/>
                <w:szCs w:val="20"/>
                <w:color w:val="auto"/>
              </w:rPr>
            </w:pPr>
            <w:r>
              <w:rPr>
                <w:rFonts w:ascii="Times New Roman" w:cs="Times New Roman" w:eastAsia="Times New Roman" w:hAnsi="Times New Roman"/>
                <w:sz w:val="16"/>
                <w:szCs w:val="16"/>
                <w:color w:val="auto"/>
              </w:rPr>
              <w:t>Year ended December 31</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7100" w:type="dxa"/>
            <w:vAlign w:val="bottom"/>
            <w:tcBorders>
              <w:top w:val="single" w:sz="8" w:color="E8EFF9"/>
              <w:bottom w:val="single" w:sz="8" w:color="0077C0"/>
            </w:tcBorders>
            <w:shd w:val="clear" w:color="auto" w:fill="E8EFF9"/>
          </w:tcPr>
          <w:p>
            <w:pPr>
              <w:spacing w:after="0"/>
              <w:rPr>
                <w:sz w:val="18"/>
                <w:szCs w:val="18"/>
                <w:color w:val="auto"/>
              </w:rPr>
            </w:pPr>
          </w:p>
        </w:tc>
        <w:tc>
          <w:tcPr>
            <w:tcW w:w="320" w:type="dxa"/>
            <w:vAlign w:val="bottom"/>
            <w:tcBorders>
              <w:top w:val="single" w:sz="8" w:color="0077C0"/>
              <w:bottom w:val="single" w:sz="8" w:color="0077C0"/>
            </w:tcBorders>
            <w:shd w:val="clear" w:color="auto" w:fill="E8EFF9"/>
          </w:tcPr>
          <w:p>
            <w:pPr>
              <w:spacing w:after="0"/>
              <w:rPr>
                <w:sz w:val="18"/>
                <w:szCs w:val="18"/>
                <w:color w:val="auto"/>
              </w:rPr>
            </w:pPr>
          </w:p>
        </w:tc>
        <w:tc>
          <w:tcPr>
            <w:tcW w:w="760" w:type="dxa"/>
            <w:vAlign w:val="bottom"/>
            <w:tcBorders>
              <w:top w:val="single" w:sz="8" w:color="0077C0"/>
              <w:bottom w:val="single" w:sz="8" w:color="0077C0"/>
              <w:right w:val="single" w:sz="8" w:color="E8EFF9"/>
            </w:tcBorders>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0077C0"/>
              <w:bottom w:val="single" w:sz="8" w:color="0077C0"/>
              <w:right w:val="single" w:sz="8" w:color="E8EFF9"/>
            </w:tcBorders>
            <w:shd w:val="clear" w:color="auto" w:fill="E8EFF9"/>
          </w:tcPr>
          <w:p>
            <w:pPr>
              <w:spacing w:after="0"/>
              <w:rPr>
                <w:sz w:val="18"/>
                <w:szCs w:val="18"/>
                <w:color w:val="auto"/>
              </w:rPr>
            </w:pPr>
          </w:p>
        </w:tc>
        <w:tc>
          <w:tcPr>
            <w:tcW w:w="80" w:type="dxa"/>
            <w:vAlign w:val="bottom"/>
            <w:tcBorders>
              <w:top w:val="single" w:sz="8" w:color="0077C0"/>
              <w:bottom w:val="single" w:sz="8" w:color="0077C0"/>
            </w:tcBorders>
            <w:shd w:val="clear" w:color="auto" w:fill="E8EFF9"/>
          </w:tcPr>
          <w:p>
            <w:pPr>
              <w:spacing w:after="0"/>
              <w:rPr>
                <w:sz w:val="18"/>
                <w:szCs w:val="18"/>
                <w:color w:val="auto"/>
              </w:rPr>
            </w:pPr>
          </w:p>
        </w:tc>
        <w:tc>
          <w:tcPr>
            <w:tcW w:w="340" w:type="dxa"/>
            <w:vAlign w:val="bottom"/>
            <w:tcBorders>
              <w:top w:val="single" w:sz="8" w:color="0077C0"/>
              <w:bottom w:val="single" w:sz="8" w:color="0077C0"/>
            </w:tcBorders>
            <w:shd w:val="clear" w:color="auto" w:fill="E8EFF9"/>
          </w:tcPr>
          <w:p>
            <w:pPr>
              <w:spacing w:after="0"/>
              <w:rPr>
                <w:sz w:val="18"/>
                <w:szCs w:val="18"/>
                <w:color w:val="auto"/>
              </w:rPr>
            </w:pPr>
          </w:p>
        </w:tc>
        <w:tc>
          <w:tcPr>
            <w:tcW w:w="740" w:type="dxa"/>
            <w:vAlign w:val="bottom"/>
            <w:tcBorders>
              <w:top w:val="single" w:sz="8" w:color="0077C0"/>
              <w:bottom w:val="single" w:sz="8" w:color="0077C0"/>
            </w:tcBorders>
            <w:shd w:val="clear" w:color="auto" w:fill="E8EFF9"/>
          </w:tcPr>
          <w:p>
            <w:pPr>
              <w:ind w:left="400"/>
              <w:spacing w:after="0"/>
              <w:rPr>
                <w:sz w:val="20"/>
                <w:szCs w:val="20"/>
                <w:color w:val="auto"/>
              </w:rPr>
            </w:pPr>
            <w:r>
              <w:rPr>
                <w:rFonts w:ascii="Times New Roman" w:cs="Times New Roman" w:eastAsia="Times New Roman" w:hAnsi="Times New Roman"/>
                <w:sz w:val="16"/>
                <w:szCs w:val="16"/>
                <w:color w:val="auto"/>
                <w:w w:val="99"/>
              </w:rPr>
              <w:t>2023</w:t>
            </w:r>
          </w:p>
        </w:tc>
        <w:tc>
          <w:tcPr>
            <w:tcW w:w="560" w:type="dxa"/>
            <w:vAlign w:val="bottom"/>
            <w:tcBorders>
              <w:top w:val="single" w:sz="8" w:color="0077C0"/>
              <w:bottom w:val="single" w:sz="8" w:color="0077C0"/>
            </w:tcBorders>
            <w:shd w:val="clear" w:color="auto" w:fill="E8EFF9"/>
          </w:tcPr>
          <w:p>
            <w:pPr>
              <w:spacing w:after="0"/>
              <w:rPr>
                <w:sz w:val="18"/>
                <w:szCs w:val="18"/>
                <w:color w:val="auto"/>
              </w:rPr>
            </w:pPr>
          </w:p>
        </w:tc>
        <w:tc>
          <w:tcPr>
            <w:tcW w:w="760" w:type="dxa"/>
            <w:vAlign w:val="bottom"/>
            <w:tcBorders>
              <w:top w:val="single" w:sz="8" w:color="0077C0"/>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240" w:type="dxa"/>
            <w:vAlign w:val="bottom"/>
            <w:tcBorders>
              <w:top w:val="single" w:sz="8" w:color="E8EFF9"/>
              <w:bottom w:val="single" w:sz="8" w:color="E8EFF9"/>
            </w:tcBorders>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7100" w:type="dxa"/>
            <w:vAlign w:val="bottom"/>
            <w:tcBorders>
              <w:bottom w:val="single" w:sz="8" w:color="0077C0"/>
            </w:tcBorders>
            <w:shd w:val="clear" w:color="auto" w:fill="E8EFF9"/>
          </w:tcPr>
          <w:p>
            <w:pPr>
              <w:ind w:left="20"/>
              <w:spacing w:after="0"/>
              <w:rPr>
                <w:sz w:val="20"/>
                <w:szCs w:val="20"/>
                <w:color w:val="auto"/>
              </w:rPr>
            </w:pPr>
            <w:r>
              <w:rPr>
                <w:rFonts w:ascii="Times New Roman" w:cs="Times New Roman" w:eastAsia="Times New Roman" w:hAnsi="Times New Roman"/>
                <w:sz w:val="16"/>
                <w:szCs w:val="16"/>
                <w:b w:val="1"/>
                <w:bCs w:val="1"/>
                <w:color w:val="0077C0"/>
              </w:rPr>
              <w:t>Net Income (Loss)</w:t>
            </w:r>
          </w:p>
        </w:tc>
        <w:tc>
          <w:tcPr>
            <w:tcW w:w="320" w:type="dxa"/>
            <w:vAlign w:val="bottom"/>
            <w:tcBorders>
              <w:bottom w:val="single" w:sz="8" w:color="0077C0"/>
            </w:tcBorders>
            <w:shd w:val="clear" w:color="auto" w:fill="E8EFF9"/>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bottom w:val="single" w:sz="8" w:color="0077C0"/>
              <w:right w:val="single" w:sz="8" w:color="E8EFF9"/>
            </w:tcBorders>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17,749</w:t>
            </w:r>
          </w:p>
        </w:tc>
        <w:tc>
          <w:tcPr>
            <w:tcW w:w="120" w:type="dxa"/>
            <w:vAlign w:val="bottom"/>
            <w:tcBorders>
              <w:bottom w:val="single" w:sz="8" w:color="0077C0"/>
              <w:right w:val="single" w:sz="8" w:color="0077C0"/>
            </w:tcBorders>
            <w:shd w:val="clear" w:color="auto" w:fill="E8EFF9"/>
          </w:tcPr>
          <w:p>
            <w:pPr>
              <w:spacing w:after="0"/>
              <w:rPr>
                <w:sz w:val="18"/>
                <w:szCs w:val="18"/>
                <w:color w:val="auto"/>
              </w:rPr>
            </w:pPr>
          </w:p>
        </w:tc>
        <w:tc>
          <w:tcPr>
            <w:tcW w:w="420" w:type="dxa"/>
            <w:vAlign w:val="bottom"/>
            <w:tcBorders>
              <w:bottom w:val="single" w:sz="8" w:color="0077C0"/>
            </w:tcBorders>
            <w:gridSpan w:val="2"/>
            <w:shd w:val="clear" w:color="auto" w:fill="E8EFF9"/>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21,411</w:t>
            </w:r>
          </w:p>
        </w:tc>
        <w:tc>
          <w:tcPr>
            <w:tcW w:w="560" w:type="dxa"/>
            <w:vAlign w:val="bottom"/>
            <w:tcBorders>
              <w:bottom w:val="single" w:sz="8" w:color="0077C0"/>
            </w:tcBorders>
            <w:shd w:val="clear" w:color="auto" w:fill="E8EFF9"/>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35,608</w:t>
            </w:r>
          </w:p>
        </w:tc>
        <w:tc>
          <w:tcPr>
            <w:tcW w:w="240" w:type="dxa"/>
            <w:vAlign w:val="bottom"/>
            <w:tcBorders>
              <w:bottom w:val="single" w:sz="8" w:color="E8EFF9"/>
            </w:tcBorders>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7100" w:type="dxa"/>
            <w:vAlign w:val="bottom"/>
            <w:shd w:val="clear" w:color="auto" w:fill="E8EFF9"/>
          </w:tcPr>
          <w:p>
            <w:pPr>
              <w:ind w:left="20"/>
              <w:spacing w:after="0"/>
              <w:rPr>
                <w:sz w:val="20"/>
                <w:szCs w:val="20"/>
                <w:color w:val="auto"/>
              </w:rPr>
            </w:pPr>
            <w:r>
              <w:rPr>
                <w:rFonts w:ascii="Times New Roman" w:cs="Times New Roman" w:eastAsia="Times New Roman" w:hAnsi="Times New Roman"/>
                <w:sz w:val="16"/>
                <w:szCs w:val="16"/>
                <w:color w:val="auto"/>
              </w:rPr>
              <w:t>Currency translation adjustment</w:t>
            </w:r>
          </w:p>
        </w:tc>
        <w:tc>
          <w:tcPr>
            <w:tcW w:w="320" w:type="dxa"/>
            <w:vAlign w:val="bottom"/>
            <w:shd w:val="clear" w:color="auto" w:fill="E8EFF9"/>
          </w:tcPr>
          <w:p>
            <w:pPr>
              <w:spacing w:after="0"/>
              <w:rPr>
                <w:sz w:val="18"/>
                <w:szCs w:val="18"/>
                <w:color w:val="auto"/>
              </w:rPr>
            </w:pPr>
          </w:p>
        </w:tc>
        <w:tc>
          <w:tcPr>
            <w:tcW w:w="760" w:type="dxa"/>
            <w:vAlign w:val="bottom"/>
            <w:tcBorders>
              <w:right w:val="single" w:sz="8" w:color="E8EFF9"/>
            </w:tcBorders>
            <w:shd w:val="clear" w:color="auto" w:fill="E8EFF9"/>
          </w:tcPr>
          <w:p>
            <w:pPr>
              <w:spacing w:after="0"/>
              <w:rPr>
                <w:sz w:val="18"/>
                <w:szCs w:val="18"/>
                <w:color w:val="auto"/>
              </w:rPr>
            </w:pPr>
          </w:p>
        </w:tc>
        <w:tc>
          <w:tcPr>
            <w:tcW w:w="120" w:type="dxa"/>
            <w:vAlign w:val="bottom"/>
            <w:tcBorders>
              <w:right w:val="single" w:sz="8" w:color="0077C0"/>
            </w:tcBorders>
            <w:shd w:val="clear" w:color="auto" w:fill="E8EFF9"/>
          </w:tcPr>
          <w:p>
            <w:pPr>
              <w:spacing w:after="0"/>
              <w:rPr>
                <w:sz w:val="18"/>
                <w:szCs w:val="18"/>
                <w:color w:val="auto"/>
              </w:rPr>
            </w:pPr>
          </w:p>
        </w:tc>
        <w:tc>
          <w:tcPr>
            <w:tcW w:w="80" w:type="dxa"/>
            <w:vAlign w:val="bottom"/>
            <w:shd w:val="clear" w:color="auto" w:fill="E8EFF9"/>
          </w:tcPr>
          <w:p>
            <w:pPr>
              <w:spacing w:after="0"/>
              <w:rPr>
                <w:sz w:val="18"/>
                <w:szCs w:val="18"/>
                <w:color w:val="auto"/>
              </w:rPr>
            </w:pPr>
          </w:p>
        </w:tc>
        <w:tc>
          <w:tcPr>
            <w:tcW w:w="340" w:type="dxa"/>
            <w:vAlign w:val="bottom"/>
            <w:shd w:val="clear" w:color="auto" w:fill="E8EFF9"/>
          </w:tcPr>
          <w:p>
            <w:pPr>
              <w:spacing w:after="0"/>
              <w:rPr>
                <w:sz w:val="18"/>
                <w:szCs w:val="18"/>
                <w:color w:val="auto"/>
              </w:rPr>
            </w:pPr>
          </w:p>
        </w:tc>
        <w:tc>
          <w:tcPr>
            <w:tcW w:w="740" w:type="dxa"/>
            <w:vAlign w:val="bottom"/>
            <w:shd w:val="clear" w:color="auto" w:fill="E8EFF9"/>
          </w:tcPr>
          <w:p>
            <w:pPr>
              <w:spacing w:after="0"/>
              <w:rPr>
                <w:sz w:val="18"/>
                <w:szCs w:val="18"/>
                <w:color w:val="auto"/>
              </w:rPr>
            </w:pPr>
          </w:p>
        </w:tc>
        <w:tc>
          <w:tcPr>
            <w:tcW w:w="560" w:type="dxa"/>
            <w:vAlign w:val="bottom"/>
            <w:shd w:val="clear" w:color="auto" w:fill="E8EFF9"/>
          </w:tcPr>
          <w:p>
            <w:pPr>
              <w:spacing w:after="0"/>
              <w:rPr>
                <w:sz w:val="18"/>
                <w:szCs w:val="18"/>
                <w:color w:val="auto"/>
              </w:rPr>
            </w:pPr>
          </w:p>
        </w:tc>
        <w:tc>
          <w:tcPr>
            <w:tcW w:w="760" w:type="dxa"/>
            <w:vAlign w:val="bottom"/>
            <w:shd w:val="clear" w:color="auto" w:fill="E8EFF9"/>
          </w:tcPr>
          <w:p>
            <w:pPr>
              <w:spacing w:after="0"/>
              <w:rPr>
                <w:sz w:val="18"/>
                <w:szCs w:val="18"/>
                <w:color w:val="auto"/>
              </w:rPr>
            </w:pPr>
          </w:p>
        </w:tc>
        <w:tc>
          <w:tcPr>
            <w:tcW w:w="240" w:type="dxa"/>
            <w:vAlign w:val="bottom"/>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0" w:type="dxa"/>
            <w:vAlign w:val="bottom"/>
          </w:tcPr>
          <w:p>
            <w:pPr>
              <w:spacing w:after="0"/>
              <w:rPr>
                <w:sz w:val="18"/>
                <w:szCs w:val="18"/>
                <w:color w:val="auto"/>
              </w:rPr>
            </w:pPr>
          </w:p>
        </w:tc>
        <w:tc>
          <w:tcPr>
            <w:tcW w:w="7100" w:type="dxa"/>
            <w:vAlign w:val="bottom"/>
            <w:tcBorders>
              <w:bottom w:val="single" w:sz="8" w:color="0077C0"/>
            </w:tcBorders>
            <w:shd w:val="clear" w:color="auto" w:fill="E8EFF9"/>
          </w:tcPr>
          <w:p>
            <w:pPr>
              <w:ind w:left="140"/>
              <w:spacing w:after="0"/>
              <w:rPr>
                <w:sz w:val="20"/>
                <w:szCs w:val="20"/>
                <w:color w:val="auto"/>
              </w:rPr>
            </w:pPr>
            <w:r>
              <w:rPr>
                <w:rFonts w:ascii="Times New Roman" w:cs="Times New Roman" w:eastAsia="Times New Roman" w:hAnsi="Times New Roman"/>
                <w:sz w:val="16"/>
                <w:szCs w:val="16"/>
                <w:color w:val="auto"/>
              </w:rPr>
              <w:t>Unrealized net change arising during period</w:t>
            </w:r>
          </w:p>
        </w:tc>
        <w:tc>
          <w:tcPr>
            <w:tcW w:w="320" w:type="dxa"/>
            <w:vAlign w:val="bottom"/>
            <w:tcBorders>
              <w:bottom w:val="single" w:sz="8" w:color="0077C0"/>
            </w:tcBorders>
            <w:shd w:val="clear" w:color="auto" w:fill="E8EFF9"/>
          </w:tcPr>
          <w:p>
            <w:pPr>
              <w:spacing w:after="0"/>
              <w:rPr>
                <w:sz w:val="18"/>
                <w:szCs w:val="18"/>
                <w:color w:val="auto"/>
              </w:rPr>
            </w:pPr>
          </w:p>
        </w:tc>
        <w:tc>
          <w:tcPr>
            <w:tcW w:w="760" w:type="dxa"/>
            <w:vAlign w:val="bottom"/>
            <w:tcBorders>
              <w:bottom w:val="single" w:sz="8" w:color="0077C0"/>
              <w:right w:val="single" w:sz="8" w:color="E8EFF9"/>
            </w:tcBorders>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(67)</w:t>
            </w:r>
          </w:p>
        </w:tc>
        <w:tc>
          <w:tcPr>
            <w:tcW w:w="120" w:type="dxa"/>
            <w:vAlign w:val="bottom"/>
            <w:tcBorders>
              <w:bottom w:val="single" w:sz="8" w:color="0077C0"/>
              <w:right w:val="single" w:sz="8" w:color="0077C0"/>
            </w:tcBorders>
          </w:tcPr>
          <w:p>
            <w:pPr>
              <w:spacing w:after="0"/>
              <w:rPr>
                <w:sz w:val="18"/>
                <w:szCs w:val="18"/>
                <w:color w:val="auto"/>
              </w:rPr>
            </w:pPr>
          </w:p>
        </w:tc>
        <w:tc>
          <w:tcPr>
            <w:tcW w:w="80" w:type="dxa"/>
            <w:vAlign w:val="bottom"/>
            <w:tcBorders>
              <w:bottom w:val="single" w:sz="8" w:color="0077C0"/>
            </w:tcBorders>
            <w:shd w:val="clear" w:color="auto" w:fill="E8EFF9"/>
          </w:tcPr>
          <w:p>
            <w:pPr>
              <w:spacing w:after="0"/>
              <w:rPr>
                <w:sz w:val="18"/>
                <w:szCs w:val="18"/>
                <w:color w:val="auto"/>
              </w:rPr>
            </w:pPr>
          </w:p>
        </w:tc>
        <w:tc>
          <w:tcPr>
            <w:tcW w:w="340" w:type="dxa"/>
            <w:vAlign w:val="bottom"/>
            <w:tcBorders>
              <w:bottom w:val="single" w:sz="8" w:color="0077C0"/>
            </w:tcBorders>
            <w:shd w:val="clear" w:color="auto" w:fill="E8EFF9"/>
          </w:tcPr>
          <w:p>
            <w:pPr>
              <w:spacing w:after="0"/>
              <w:rPr>
                <w:sz w:val="18"/>
                <w:szCs w:val="18"/>
                <w:color w:val="auto"/>
              </w:rPr>
            </w:pPr>
          </w:p>
        </w:tc>
        <w:tc>
          <w:tcPr>
            <w:tcW w:w="74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560" w:type="dxa"/>
            <w:vAlign w:val="bottom"/>
            <w:tcBorders>
              <w:bottom w:val="single" w:sz="8" w:color="0077C0"/>
            </w:tcBorders>
            <w:shd w:val="clear" w:color="auto" w:fill="E8EFF9"/>
          </w:tcPr>
          <w:p>
            <w:pPr>
              <w:spacing w:after="0"/>
              <w:rPr>
                <w:sz w:val="18"/>
                <w:szCs w:val="18"/>
                <w:color w:val="auto"/>
              </w:rPr>
            </w:pPr>
          </w:p>
        </w:tc>
        <w:tc>
          <w:tcPr>
            <w:tcW w:w="76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40" w:type="dxa"/>
            <w:vAlign w:val="bottom"/>
            <w:tcBorders>
              <w:bottom w:val="single" w:sz="8" w:color="E8EFF9"/>
            </w:tcBorders>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7100" w:type="dxa"/>
            <w:vAlign w:val="bottom"/>
            <w:shd w:val="clear" w:color="auto" w:fill="E8EFF9"/>
          </w:tcPr>
          <w:p>
            <w:pPr>
              <w:ind w:left="20"/>
              <w:spacing w:after="0"/>
              <w:rPr>
                <w:sz w:val="20"/>
                <w:szCs w:val="20"/>
                <w:color w:val="auto"/>
              </w:rPr>
            </w:pPr>
            <w:r>
              <w:rPr>
                <w:rFonts w:ascii="Times New Roman" w:cs="Times New Roman" w:eastAsia="Times New Roman" w:hAnsi="Times New Roman"/>
                <w:sz w:val="16"/>
                <w:szCs w:val="16"/>
                <w:color w:val="auto"/>
              </w:rPr>
              <w:t>Unrealized holding gain (loss) on securities</w:t>
            </w:r>
          </w:p>
        </w:tc>
        <w:tc>
          <w:tcPr>
            <w:tcW w:w="320" w:type="dxa"/>
            <w:vAlign w:val="bottom"/>
            <w:shd w:val="clear" w:color="auto" w:fill="E8EFF9"/>
          </w:tcPr>
          <w:p>
            <w:pPr>
              <w:spacing w:after="0"/>
              <w:rPr>
                <w:sz w:val="17"/>
                <w:szCs w:val="17"/>
                <w:color w:val="auto"/>
              </w:rPr>
            </w:pPr>
          </w:p>
        </w:tc>
        <w:tc>
          <w:tcPr>
            <w:tcW w:w="760" w:type="dxa"/>
            <w:vAlign w:val="bottom"/>
            <w:tcBorders>
              <w:right w:val="single" w:sz="8" w:color="E8EFF9"/>
            </w:tcBorders>
            <w:shd w:val="clear" w:color="auto" w:fill="E8EFF9"/>
          </w:tcPr>
          <w:p>
            <w:pPr>
              <w:spacing w:after="0"/>
              <w:rPr>
                <w:sz w:val="17"/>
                <w:szCs w:val="17"/>
                <w:color w:val="auto"/>
              </w:rPr>
            </w:pPr>
          </w:p>
        </w:tc>
        <w:tc>
          <w:tcPr>
            <w:tcW w:w="120" w:type="dxa"/>
            <w:vAlign w:val="bottom"/>
            <w:tcBorders>
              <w:right w:val="single" w:sz="8" w:color="0077C0"/>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shd w:val="clear" w:color="auto" w:fill="E8EFF9"/>
          </w:tcPr>
          <w:p>
            <w:pPr>
              <w:spacing w:after="0"/>
              <w:rPr>
                <w:sz w:val="17"/>
                <w:szCs w:val="17"/>
                <w:color w:val="auto"/>
              </w:rPr>
            </w:pPr>
          </w:p>
        </w:tc>
        <w:tc>
          <w:tcPr>
            <w:tcW w:w="740" w:type="dxa"/>
            <w:vAlign w:val="bottom"/>
            <w:shd w:val="clear" w:color="auto" w:fill="E8EFF9"/>
          </w:tcPr>
          <w:p>
            <w:pPr>
              <w:spacing w:after="0"/>
              <w:rPr>
                <w:sz w:val="17"/>
                <w:szCs w:val="17"/>
                <w:color w:val="auto"/>
              </w:rPr>
            </w:pPr>
          </w:p>
        </w:tc>
        <w:tc>
          <w:tcPr>
            <w:tcW w:w="560" w:type="dxa"/>
            <w:vAlign w:val="bottom"/>
            <w:shd w:val="clear" w:color="auto" w:fill="E8EFF9"/>
          </w:tcPr>
          <w:p>
            <w:pPr>
              <w:spacing w:after="0"/>
              <w:rPr>
                <w:sz w:val="17"/>
                <w:szCs w:val="17"/>
                <w:color w:val="auto"/>
              </w:rPr>
            </w:pPr>
          </w:p>
        </w:tc>
        <w:tc>
          <w:tcPr>
            <w:tcW w:w="760" w:type="dxa"/>
            <w:vAlign w:val="bottom"/>
            <w:shd w:val="clear" w:color="auto" w:fill="E8EFF9"/>
          </w:tcPr>
          <w:p>
            <w:pPr>
              <w:spacing w:after="0"/>
              <w:rPr>
                <w:sz w:val="17"/>
                <w:szCs w:val="17"/>
                <w:color w:val="auto"/>
              </w:rPr>
            </w:pPr>
          </w:p>
        </w:tc>
        <w:tc>
          <w:tcPr>
            <w:tcW w:w="240" w:type="dxa"/>
            <w:vAlign w:val="bottom"/>
            <w:shd w:val="clear" w:color="auto" w:fill="E8EFF9"/>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20" w:type="dxa"/>
            <w:vAlign w:val="bottom"/>
          </w:tcPr>
          <w:p>
            <w:pPr>
              <w:spacing w:after="0"/>
              <w:rPr>
                <w:sz w:val="19"/>
                <w:szCs w:val="19"/>
                <w:color w:val="auto"/>
              </w:rPr>
            </w:pPr>
          </w:p>
        </w:tc>
        <w:tc>
          <w:tcPr>
            <w:tcW w:w="7100" w:type="dxa"/>
            <w:vAlign w:val="bottom"/>
            <w:tcBorders>
              <w:bottom w:val="single" w:sz="8" w:color="0077C0"/>
            </w:tcBorders>
            <w:shd w:val="clear" w:color="auto" w:fill="E8EFF9"/>
          </w:tcPr>
          <w:p>
            <w:pPr>
              <w:ind w:left="140"/>
              <w:spacing w:after="0"/>
              <w:rPr>
                <w:sz w:val="20"/>
                <w:szCs w:val="20"/>
                <w:color w:val="auto"/>
              </w:rPr>
            </w:pPr>
            <w:r>
              <w:rPr>
                <w:rFonts w:ascii="Times New Roman" w:cs="Times New Roman" w:eastAsia="Times New Roman" w:hAnsi="Times New Roman"/>
                <w:sz w:val="16"/>
                <w:szCs w:val="16"/>
                <w:color w:val="auto"/>
              </w:rPr>
              <w:t>Net gain (loss) arising during period</w:t>
            </w:r>
          </w:p>
        </w:tc>
        <w:tc>
          <w:tcPr>
            <w:tcW w:w="320" w:type="dxa"/>
            <w:vAlign w:val="bottom"/>
            <w:tcBorders>
              <w:bottom w:val="single" w:sz="8" w:color="0077C0"/>
            </w:tcBorders>
            <w:shd w:val="clear" w:color="auto" w:fill="E8EFF9"/>
          </w:tcPr>
          <w:p>
            <w:pPr>
              <w:spacing w:after="0"/>
              <w:rPr>
                <w:sz w:val="19"/>
                <w:szCs w:val="19"/>
                <w:color w:val="auto"/>
              </w:rPr>
            </w:pPr>
          </w:p>
        </w:tc>
        <w:tc>
          <w:tcPr>
            <w:tcW w:w="760" w:type="dxa"/>
            <w:vAlign w:val="bottom"/>
            <w:tcBorders>
              <w:bottom w:val="single" w:sz="8" w:color="0077C0"/>
              <w:right w:val="single" w:sz="8" w:color="E8EFF9"/>
            </w:tcBorders>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120" w:type="dxa"/>
            <w:vAlign w:val="bottom"/>
            <w:tcBorders>
              <w:bottom w:val="single" w:sz="8" w:color="0077C0"/>
              <w:right w:val="single" w:sz="8" w:color="0077C0"/>
            </w:tcBorders>
          </w:tcPr>
          <w:p>
            <w:pPr>
              <w:spacing w:after="0"/>
              <w:rPr>
                <w:sz w:val="19"/>
                <w:szCs w:val="19"/>
                <w:color w:val="auto"/>
              </w:rPr>
            </w:pPr>
          </w:p>
        </w:tc>
        <w:tc>
          <w:tcPr>
            <w:tcW w:w="80" w:type="dxa"/>
            <w:vAlign w:val="bottom"/>
            <w:tcBorders>
              <w:bottom w:val="single" w:sz="8" w:color="0077C0"/>
            </w:tcBorders>
          </w:tcPr>
          <w:p>
            <w:pPr>
              <w:spacing w:after="0"/>
              <w:rPr>
                <w:sz w:val="19"/>
                <w:szCs w:val="19"/>
                <w:color w:val="auto"/>
              </w:rPr>
            </w:pPr>
          </w:p>
        </w:tc>
        <w:tc>
          <w:tcPr>
            <w:tcW w:w="340" w:type="dxa"/>
            <w:vAlign w:val="bottom"/>
            <w:tcBorders>
              <w:bottom w:val="single" w:sz="8" w:color="0077C0"/>
            </w:tcBorders>
            <w:shd w:val="clear" w:color="auto" w:fill="E8EFF9"/>
          </w:tcPr>
          <w:p>
            <w:pPr>
              <w:spacing w:after="0"/>
              <w:rPr>
                <w:sz w:val="19"/>
                <w:szCs w:val="19"/>
                <w:color w:val="auto"/>
              </w:rPr>
            </w:pPr>
          </w:p>
        </w:tc>
        <w:tc>
          <w:tcPr>
            <w:tcW w:w="74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560" w:type="dxa"/>
            <w:vAlign w:val="bottom"/>
            <w:tcBorders>
              <w:bottom w:val="single" w:sz="8" w:color="0077C0"/>
            </w:tcBorders>
            <w:shd w:val="clear" w:color="auto" w:fill="E8EFF9"/>
          </w:tcPr>
          <w:p>
            <w:pPr>
              <w:spacing w:after="0"/>
              <w:rPr>
                <w:sz w:val="19"/>
                <w:szCs w:val="19"/>
                <w:color w:val="auto"/>
              </w:rPr>
            </w:pPr>
          </w:p>
        </w:tc>
        <w:tc>
          <w:tcPr>
            <w:tcW w:w="76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Borders>
              <w:bottom w:val="single" w:sz="8" w:color="E8EFF9"/>
            </w:tcBorders>
            <w:shd w:val="clear" w:color="auto" w:fill="E8EFF9"/>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7100" w:type="dxa"/>
            <w:vAlign w:val="bottom"/>
            <w:shd w:val="clear" w:color="auto" w:fill="E8EFF9"/>
          </w:tcPr>
          <w:p>
            <w:pPr>
              <w:ind w:left="20"/>
              <w:spacing w:after="0"/>
              <w:rPr>
                <w:sz w:val="20"/>
                <w:szCs w:val="20"/>
                <w:color w:val="auto"/>
              </w:rPr>
            </w:pPr>
            <w:r>
              <w:rPr>
                <w:rFonts w:ascii="Times New Roman" w:cs="Times New Roman" w:eastAsia="Times New Roman" w:hAnsi="Times New Roman"/>
                <w:sz w:val="16"/>
                <w:szCs w:val="16"/>
                <w:color w:val="auto"/>
              </w:rPr>
              <w:t>Derivatives</w:t>
            </w:r>
          </w:p>
        </w:tc>
        <w:tc>
          <w:tcPr>
            <w:tcW w:w="320" w:type="dxa"/>
            <w:vAlign w:val="bottom"/>
            <w:shd w:val="clear" w:color="auto" w:fill="E8EFF9"/>
          </w:tcPr>
          <w:p>
            <w:pPr>
              <w:spacing w:after="0"/>
              <w:rPr>
                <w:sz w:val="17"/>
                <w:szCs w:val="17"/>
                <w:color w:val="auto"/>
              </w:rPr>
            </w:pPr>
          </w:p>
        </w:tc>
        <w:tc>
          <w:tcPr>
            <w:tcW w:w="760" w:type="dxa"/>
            <w:vAlign w:val="bottom"/>
            <w:tcBorders>
              <w:right w:val="single" w:sz="8" w:color="E8EFF9"/>
            </w:tcBorders>
            <w:shd w:val="clear" w:color="auto" w:fill="E8EFF9"/>
          </w:tcPr>
          <w:p>
            <w:pPr>
              <w:spacing w:after="0"/>
              <w:rPr>
                <w:sz w:val="17"/>
                <w:szCs w:val="17"/>
                <w:color w:val="auto"/>
              </w:rPr>
            </w:pPr>
          </w:p>
        </w:tc>
        <w:tc>
          <w:tcPr>
            <w:tcW w:w="120" w:type="dxa"/>
            <w:vAlign w:val="bottom"/>
            <w:tcBorders>
              <w:right w:val="single" w:sz="8" w:color="0077C0"/>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shd w:val="clear" w:color="auto" w:fill="E8EFF9"/>
          </w:tcPr>
          <w:p>
            <w:pPr>
              <w:spacing w:after="0"/>
              <w:rPr>
                <w:sz w:val="17"/>
                <w:szCs w:val="17"/>
                <w:color w:val="auto"/>
              </w:rPr>
            </w:pPr>
          </w:p>
        </w:tc>
        <w:tc>
          <w:tcPr>
            <w:tcW w:w="740" w:type="dxa"/>
            <w:vAlign w:val="bottom"/>
            <w:shd w:val="clear" w:color="auto" w:fill="E8EFF9"/>
          </w:tcPr>
          <w:p>
            <w:pPr>
              <w:spacing w:after="0"/>
              <w:rPr>
                <w:sz w:val="17"/>
                <w:szCs w:val="17"/>
                <w:color w:val="auto"/>
              </w:rPr>
            </w:pPr>
          </w:p>
        </w:tc>
        <w:tc>
          <w:tcPr>
            <w:tcW w:w="560" w:type="dxa"/>
            <w:vAlign w:val="bottom"/>
            <w:shd w:val="clear" w:color="auto" w:fill="E8EFF9"/>
          </w:tcPr>
          <w:p>
            <w:pPr>
              <w:spacing w:after="0"/>
              <w:rPr>
                <w:sz w:val="17"/>
                <w:szCs w:val="17"/>
                <w:color w:val="auto"/>
              </w:rPr>
            </w:pPr>
          </w:p>
        </w:tc>
        <w:tc>
          <w:tcPr>
            <w:tcW w:w="760" w:type="dxa"/>
            <w:vAlign w:val="bottom"/>
            <w:shd w:val="clear" w:color="auto" w:fill="E8EFF9"/>
          </w:tcPr>
          <w:p>
            <w:pPr>
              <w:spacing w:after="0"/>
              <w:rPr>
                <w:sz w:val="17"/>
                <w:szCs w:val="17"/>
                <w:color w:val="auto"/>
              </w:rPr>
            </w:pPr>
          </w:p>
        </w:tc>
        <w:tc>
          <w:tcPr>
            <w:tcW w:w="240" w:type="dxa"/>
            <w:vAlign w:val="bottom"/>
            <w:shd w:val="clear" w:color="auto" w:fill="E8EFF9"/>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100" w:type="dxa"/>
            <w:vAlign w:val="bottom"/>
            <w:shd w:val="clear" w:color="auto" w:fill="E8EFF9"/>
          </w:tcPr>
          <w:p>
            <w:pPr>
              <w:ind w:left="140"/>
              <w:spacing w:after="0"/>
              <w:rPr>
                <w:sz w:val="20"/>
                <w:szCs w:val="20"/>
                <w:color w:val="auto"/>
              </w:rPr>
            </w:pPr>
            <w:r>
              <w:rPr>
                <w:rFonts w:ascii="Times New Roman" w:cs="Times New Roman" w:eastAsia="Times New Roman" w:hAnsi="Times New Roman"/>
                <w:sz w:val="16"/>
                <w:szCs w:val="16"/>
                <w:color w:val="auto"/>
              </w:rPr>
              <w:t>Net derivatives gain (loss) on hedge transactions</w:t>
            </w:r>
          </w:p>
        </w:tc>
        <w:tc>
          <w:tcPr>
            <w:tcW w:w="320" w:type="dxa"/>
            <w:vAlign w:val="bottom"/>
            <w:shd w:val="clear" w:color="auto" w:fill="E8EFF9"/>
          </w:tcPr>
          <w:p>
            <w:pPr>
              <w:spacing w:after="0"/>
              <w:rPr>
                <w:sz w:val="18"/>
                <w:szCs w:val="18"/>
                <w:color w:val="auto"/>
              </w:rPr>
            </w:pPr>
          </w:p>
        </w:tc>
        <w:tc>
          <w:tcPr>
            <w:tcW w:w="760" w:type="dxa"/>
            <w:vAlign w:val="bottom"/>
            <w:tcBorders>
              <w:right w:val="single" w:sz="8" w:color="E8EFF9"/>
            </w:tcBorders>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(50)</w:t>
            </w:r>
          </w:p>
        </w:tc>
        <w:tc>
          <w:tcPr>
            <w:tcW w:w="120" w:type="dxa"/>
            <w:vAlign w:val="bottom"/>
            <w:tcBorders>
              <w:right w:val="single" w:sz="8" w:color="0077C0"/>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shd w:val="clear" w:color="auto" w:fill="E8EFF9"/>
          </w:tcPr>
          <w:p>
            <w:pPr>
              <w:spacing w:after="0"/>
              <w:rPr>
                <w:sz w:val="18"/>
                <w:szCs w:val="18"/>
                <w:color w:val="auto"/>
              </w:rPr>
            </w:pPr>
          </w:p>
        </w:tc>
        <w:tc>
          <w:tcPr>
            <w:tcW w:w="7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560" w:type="dxa"/>
            <w:vAlign w:val="bottom"/>
            <w:shd w:val="clear" w:color="auto" w:fill="E8EFF9"/>
          </w:tcPr>
          <w:p>
            <w:pPr>
              <w:spacing w:after="0"/>
              <w:rPr>
                <w:sz w:val="18"/>
                <w:szCs w:val="18"/>
                <w:color w:val="auto"/>
              </w:rPr>
            </w:pPr>
          </w:p>
        </w:tc>
        <w:tc>
          <w:tcPr>
            <w:tcW w:w="7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40" w:type="dxa"/>
            <w:vAlign w:val="bottom"/>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100" w:type="dxa"/>
            <w:vAlign w:val="bottom"/>
            <w:shd w:val="clear" w:color="auto" w:fill="E8EFF9"/>
          </w:tcPr>
          <w:p>
            <w:pPr>
              <w:ind w:left="140"/>
              <w:spacing w:after="0"/>
              <w:rPr>
                <w:sz w:val="20"/>
                <w:szCs w:val="20"/>
                <w:color w:val="auto"/>
              </w:rPr>
            </w:pPr>
            <w:r>
              <w:rPr>
                <w:rFonts w:ascii="Times New Roman" w:cs="Times New Roman" w:eastAsia="Times New Roman" w:hAnsi="Times New Roman"/>
                <w:sz w:val="16"/>
                <w:szCs w:val="16"/>
                <w:color w:val="auto"/>
              </w:rPr>
              <w:t>Reclassification to net income</w:t>
            </w:r>
          </w:p>
        </w:tc>
        <w:tc>
          <w:tcPr>
            <w:tcW w:w="320" w:type="dxa"/>
            <w:vAlign w:val="bottom"/>
            <w:shd w:val="clear" w:color="auto" w:fill="E8EFF9"/>
          </w:tcPr>
          <w:p>
            <w:pPr>
              <w:spacing w:after="0"/>
              <w:rPr>
                <w:sz w:val="18"/>
                <w:szCs w:val="18"/>
                <w:color w:val="auto"/>
              </w:rPr>
            </w:pPr>
          </w:p>
        </w:tc>
        <w:tc>
          <w:tcPr>
            <w:tcW w:w="760" w:type="dxa"/>
            <w:vAlign w:val="bottom"/>
            <w:tcBorders>
              <w:right w:val="single" w:sz="8" w:color="E8EFF9"/>
            </w:tcBorders>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25</w:t>
            </w:r>
          </w:p>
        </w:tc>
        <w:tc>
          <w:tcPr>
            <w:tcW w:w="120" w:type="dxa"/>
            <w:vAlign w:val="bottom"/>
            <w:tcBorders>
              <w:right w:val="single" w:sz="8" w:color="0077C0"/>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shd w:val="clear" w:color="auto" w:fill="E8EFF9"/>
          </w:tcPr>
          <w:p>
            <w:pPr>
              <w:spacing w:after="0"/>
              <w:rPr>
                <w:sz w:val="18"/>
                <w:szCs w:val="18"/>
                <w:color w:val="auto"/>
              </w:rPr>
            </w:pPr>
          </w:p>
        </w:tc>
        <w:tc>
          <w:tcPr>
            <w:tcW w:w="7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560" w:type="dxa"/>
            <w:vAlign w:val="bottom"/>
            <w:shd w:val="clear" w:color="auto" w:fill="E8EFF9"/>
          </w:tcPr>
          <w:p>
            <w:pPr>
              <w:spacing w:after="0"/>
              <w:rPr>
                <w:sz w:val="18"/>
                <w:szCs w:val="18"/>
                <w:color w:val="auto"/>
              </w:rPr>
            </w:pPr>
          </w:p>
        </w:tc>
        <w:tc>
          <w:tcPr>
            <w:tcW w:w="7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40" w:type="dxa"/>
            <w:vAlign w:val="bottom"/>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0" w:type="dxa"/>
            <w:vAlign w:val="bottom"/>
          </w:tcPr>
          <w:p>
            <w:pPr>
              <w:spacing w:after="0"/>
              <w:rPr>
                <w:sz w:val="19"/>
                <w:szCs w:val="19"/>
                <w:color w:val="auto"/>
              </w:rPr>
            </w:pPr>
          </w:p>
        </w:tc>
        <w:tc>
          <w:tcPr>
            <w:tcW w:w="7100" w:type="dxa"/>
            <w:vAlign w:val="bottom"/>
            <w:tcBorders>
              <w:bottom w:val="single" w:sz="8" w:color="0077C0"/>
            </w:tcBorders>
            <w:shd w:val="clear" w:color="auto" w:fill="E8EFF9"/>
          </w:tcPr>
          <w:p>
            <w:pPr>
              <w:ind w:left="140"/>
              <w:spacing w:after="0"/>
              <w:rPr>
                <w:sz w:val="20"/>
                <w:szCs w:val="20"/>
                <w:color w:val="auto"/>
              </w:rPr>
            </w:pPr>
            <w:r>
              <w:rPr>
                <w:rFonts w:ascii="Times New Roman" w:cs="Times New Roman" w:eastAsia="Times New Roman" w:hAnsi="Times New Roman"/>
                <w:sz w:val="16"/>
                <w:szCs w:val="16"/>
                <w:color w:val="auto"/>
              </w:rPr>
              <w:t>Income tax benefit (cost) on derivatives transactions</w:t>
            </w:r>
          </w:p>
        </w:tc>
        <w:tc>
          <w:tcPr>
            <w:tcW w:w="320" w:type="dxa"/>
            <w:vAlign w:val="bottom"/>
            <w:tcBorders>
              <w:bottom w:val="single" w:sz="8" w:color="0077C0"/>
            </w:tcBorders>
            <w:shd w:val="clear" w:color="auto" w:fill="E8EFF9"/>
          </w:tcPr>
          <w:p>
            <w:pPr>
              <w:spacing w:after="0"/>
              <w:rPr>
                <w:sz w:val="19"/>
                <w:szCs w:val="19"/>
                <w:color w:val="auto"/>
              </w:rPr>
            </w:pPr>
          </w:p>
        </w:tc>
        <w:tc>
          <w:tcPr>
            <w:tcW w:w="760" w:type="dxa"/>
            <w:vAlign w:val="bottom"/>
            <w:tcBorders>
              <w:bottom w:val="single" w:sz="8" w:color="0077C0"/>
              <w:right w:val="single" w:sz="8" w:color="E8EFF9"/>
            </w:tcBorders>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120" w:type="dxa"/>
            <w:vAlign w:val="bottom"/>
            <w:tcBorders>
              <w:bottom w:val="single" w:sz="8" w:color="0077C0"/>
              <w:right w:val="single" w:sz="8" w:color="0077C0"/>
            </w:tcBorders>
          </w:tcPr>
          <w:p>
            <w:pPr>
              <w:spacing w:after="0"/>
              <w:rPr>
                <w:sz w:val="19"/>
                <w:szCs w:val="19"/>
                <w:color w:val="auto"/>
              </w:rPr>
            </w:pPr>
          </w:p>
        </w:tc>
        <w:tc>
          <w:tcPr>
            <w:tcW w:w="80" w:type="dxa"/>
            <w:vAlign w:val="bottom"/>
            <w:tcBorders>
              <w:bottom w:val="single" w:sz="8" w:color="0077C0"/>
            </w:tcBorders>
          </w:tcPr>
          <w:p>
            <w:pPr>
              <w:spacing w:after="0"/>
              <w:rPr>
                <w:sz w:val="19"/>
                <w:szCs w:val="19"/>
                <w:color w:val="auto"/>
              </w:rPr>
            </w:pPr>
          </w:p>
        </w:tc>
        <w:tc>
          <w:tcPr>
            <w:tcW w:w="340" w:type="dxa"/>
            <w:vAlign w:val="bottom"/>
            <w:tcBorders>
              <w:bottom w:val="single" w:sz="8" w:color="0077C0"/>
            </w:tcBorders>
            <w:shd w:val="clear" w:color="auto" w:fill="E8EFF9"/>
          </w:tcPr>
          <w:p>
            <w:pPr>
              <w:spacing w:after="0"/>
              <w:rPr>
                <w:sz w:val="19"/>
                <w:szCs w:val="19"/>
                <w:color w:val="auto"/>
              </w:rPr>
            </w:pPr>
          </w:p>
        </w:tc>
        <w:tc>
          <w:tcPr>
            <w:tcW w:w="74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560" w:type="dxa"/>
            <w:vAlign w:val="bottom"/>
            <w:tcBorders>
              <w:bottom w:val="single" w:sz="8" w:color="0077C0"/>
            </w:tcBorders>
            <w:shd w:val="clear" w:color="auto" w:fill="E8EFF9"/>
          </w:tcPr>
          <w:p>
            <w:pPr>
              <w:spacing w:after="0"/>
              <w:rPr>
                <w:sz w:val="19"/>
                <w:szCs w:val="19"/>
                <w:color w:val="auto"/>
              </w:rPr>
            </w:pPr>
          </w:p>
        </w:tc>
        <w:tc>
          <w:tcPr>
            <w:tcW w:w="76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shd w:val="clear" w:color="auto" w:fill="E8EFF9"/>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7100" w:type="dxa"/>
            <w:vAlign w:val="bottom"/>
            <w:tcBorders>
              <w:bottom w:val="single" w:sz="8" w:color="0077C0"/>
            </w:tcBorders>
            <w:shd w:val="clear" w:color="auto" w:fill="E8EFF9"/>
          </w:tcPr>
          <w:p>
            <w:pPr>
              <w:ind w:left="140"/>
              <w:spacing w:after="0"/>
              <w:rPr>
                <w:sz w:val="20"/>
                <w:szCs w:val="20"/>
                <w:color w:val="auto"/>
              </w:rPr>
            </w:pPr>
            <w:r>
              <w:rPr>
                <w:rFonts w:ascii="Times New Roman" w:cs="Times New Roman" w:eastAsia="Times New Roman" w:hAnsi="Times New Roman"/>
                <w:sz w:val="16"/>
                <w:szCs w:val="16"/>
                <w:b w:val="1"/>
                <w:bCs w:val="1"/>
                <w:color w:val="0077C0"/>
              </w:rPr>
              <w:t>Total</w:t>
            </w:r>
          </w:p>
        </w:tc>
        <w:tc>
          <w:tcPr>
            <w:tcW w:w="320" w:type="dxa"/>
            <w:vAlign w:val="bottom"/>
            <w:tcBorders>
              <w:bottom w:val="single" w:sz="8" w:color="0077C0"/>
            </w:tcBorders>
            <w:shd w:val="clear" w:color="auto" w:fill="E8EFF9"/>
          </w:tcPr>
          <w:p>
            <w:pPr>
              <w:spacing w:after="0"/>
              <w:rPr>
                <w:sz w:val="18"/>
                <w:szCs w:val="18"/>
                <w:color w:val="auto"/>
              </w:rPr>
            </w:pPr>
          </w:p>
        </w:tc>
        <w:tc>
          <w:tcPr>
            <w:tcW w:w="760" w:type="dxa"/>
            <w:vAlign w:val="bottom"/>
            <w:tcBorders>
              <w:bottom w:val="single" w:sz="8" w:color="0077C0"/>
              <w:right w:val="single" w:sz="8" w:color="E8EFF9"/>
            </w:tcBorders>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(19)</w:t>
            </w:r>
          </w:p>
        </w:tc>
        <w:tc>
          <w:tcPr>
            <w:tcW w:w="120" w:type="dxa"/>
            <w:vAlign w:val="bottom"/>
            <w:tcBorders>
              <w:bottom w:val="single" w:sz="8" w:color="0077C0"/>
              <w:right w:val="single" w:sz="8" w:color="0077C0"/>
            </w:tcBorders>
          </w:tcPr>
          <w:p>
            <w:pPr>
              <w:spacing w:after="0"/>
              <w:rPr>
                <w:sz w:val="18"/>
                <w:szCs w:val="18"/>
                <w:color w:val="auto"/>
              </w:rPr>
            </w:pPr>
          </w:p>
        </w:tc>
        <w:tc>
          <w:tcPr>
            <w:tcW w:w="80" w:type="dxa"/>
            <w:vAlign w:val="bottom"/>
            <w:tcBorders>
              <w:bottom w:val="single" w:sz="8" w:color="0077C0"/>
            </w:tcBorders>
          </w:tcPr>
          <w:p>
            <w:pPr>
              <w:spacing w:after="0"/>
              <w:rPr>
                <w:sz w:val="18"/>
                <w:szCs w:val="18"/>
                <w:color w:val="auto"/>
              </w:rPr>
            </w:pPr>
          </w:p>
        </w:tc>
        <w:tc>
          <w:tcPr>
            <w:tcW w:w="340" w:type="dxa"/>
            <w:vAlign w:val="bottom"/>
            <w:tcBorders>
              <w:bottom w:val="single" w:sz="8" w:color="0077C0"/>
            </w:tcBorders>
            <w:shd w:val="clear" w:color="auto" w:fill="E8EFF9"/>
          </w:tcPr>
          <w:p>
            <w:pPr>
              <w:spacing w:after="0"/>
              <w:rPr>
                <w:sz w:val="18"/>
                <w:szCs w:val="18"/>
                <w:color w:val="auto"/>
              </w:rPr>
            </w:pPr>
          </w:p>
        </w:tc>
        <w:tc>
          <w:tcPr>
            <w:tcW w:w="74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560" w:type="dxa"/>
            <w:vAlign w:val="bottom"/>
            <w:tcBorders>
              <w:bottom w:val="single" w:sz="8" w:color="0077C0"/>
            </w:tcBorders>
            <w:shd w:val="clear" w:color="auto" w:fill="E8EFF9"/>
          </w:tcPr>
          <w:p>
            <w:pPr>
              <w:spacing w:after="0"/>
              <w:rPr>
                <w:sz w:val="18"/>
                <w:szCs w:val="18"/>
                <w:color w:val="auto"/>
              </w:rPr>
            </w:pPr>
          </w:p>
        </w:tc>
        <w:tc>
          <w:tcPr>
            <w:tcW w:w="76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20" w:type="dxa"/>
            <w:vAlign w:val="bottom"/>
          </w:tcPr>
          <w:p>
            <w:pPr>
              <w:spacing w:after="0"/>
              <w:rPr>
                <w:sz w:val="17"/>
                <w:szCs w:val="17"/>
                <w:color w:val="auto"/>
              </w:rPr>
            </w:pPr>
          </w:p>
        </w:tc>
        <w:tc>
          <w:tcPr>
            <w:tcW w:w="7100" w:type="dxa"/>
            <w:vAlign w:val="bottom"/>
            <w:shd w:val="clear" w:color="auto" w:fill="E8EFF9"/>
          </w:tcPr>
          <w:p>
            <w:pPr>
              <w:ind w:left="20"/>
              <w:spacing w:after="0"/>
              <w:rPr>
                <w:sz w:val="20"/>
                <w:szCs w:val="20"/>
                <w:color w:val="auto"/>
              </w:rPr>
            </w:pPr>
            <w:r>
              <w:rPr>
                <w:rFonts w:ascii="Times New Roman" w:cs="Times New Roman" w:eastAsia="Times New Roman" w:hAnsi="Times New Roman"/>
                <w:sz w:val="16"/>
                <w:szCs w:val="16"/>
                <w:color w:val="auto"/>
              </w:rPr>
              <w:t>Defined benefit plans</w:t>
            </w:r>
          </w:p>
        </w:tc>
        <w:tc>
          <w:tcPr>
            <w:tcW w:w="320" w:type="dxa"/>
            <w:vAlign w:val="bottom"/>
            <w:shd w:val="clear" w:color="auto" w:fill="E8EFF9"/>
          </w:tcPr>
          <w:p>
            <w:pPr>
              <w:spacing w:after="0"/>
              <w:rPr>
                <w:sz w:val="17"/>
                <w:szCs w:val="17"/>
                <w:color w:val="auto"/>
              </w:rPr>
            </w:pPr>
          </w:p>
        </w:tc>
        <w:tc>
          <w:tcPr>
            <w:tcW w:w="760" w:type="dxa"/>
            <w:vAlign w:val="bottom"/>
            <w:tcBorders>
              <w:right w:val="single" w:sz="8" w:color="E8EFF9"/>
            </w:tcBorders>
            <w:shd w:val="clear" w:color="auto" w:fill="E8EFF9"/>
          </w:tcPr>
          <w:p>
            <w:pPr>
              <w:spacing w:after="0"/>
              <w:rPr>
                <w:sz w:val="17"/>
                <w:szCs w:val="17"/>
                <w:color w:val="auto"/>
              </w:rPr>
            </w:pPr>
          </w:p>
        </w:tc>
        <w:tc>
          <w:tcPr>
            <w:tcW w:w="120" w:type="dxa"/>
            <w:vAlign w:val="bottom"/>
            <w:tcBorders>
              <w:right w:val="single" w:sz="8" w:color="0077C0"/>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shd w:val="clear" w:color="auto" w:fill="E8EFF9"/>
          </w:tcPr>
          <w:p>
            <w:pPr>
              <w:spacing w:after="0"/>
              <w:rPr>
                <w:sz w:val="17"/>
                <w:szCs w:val="17"/>
                <w:color w:val="auto"/>
              </w:rPr>
            </w:pPr>
          </w:p>
        </w:tc>
        <w:tc>
          <w:tcPr>
            <w:tcW w:w="740" w:type="dxa"/>
            <w:vAlign w:val="bottom"/>
            <w:shd w:val="clear" w:color="auto" w:fill="E8EFF9"/>
          </w:tcPr>
          <w:p>
            <w:pPr>
              <w:spacing w:after="0"/>
              <w:rPr>
                <w:sz w:val="17"/>
                <w:szCs w:val="17"/>
                <w:color w:val="auto"/>
              </w:rPr>
            </w:pPr>
          </w:p>
        </w:tc>
        <w:tc>
          <w:tcPr>
            <w:tcW w:w="560" w:type="dxa"/>
            <w:vAlign w:val="bottom"/>
            <w:shd w:val="clear" w:color="auto" w:fill="E8EFF9"/>
          </w:tcPr>
          <w:p>
            <w:pPr>
              <w:spacing w:after="0"/>
              <w:rPr>
                <w:sz w:val="17"/>
                <w:szCs w:val="17"/>
                <w:color w:val="auto"/>
              </w:rPr>
            </w:pPr>
          </w:p>
        </w:tc>
        <w:tc>
          <w:tcPr>
            <w:tcW w:w="760" w:type="dxa"/>
            <w:vAlign w:val="bottom"/>
            <w:shd w:val="clear" w:color="auto" w:fill="E8EFF9"/>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100" w:type="dxa"/>
            <w:vAlign w:val="bottom"/>
            <w:shd w:val="clear" w:color="auto" w:fill="E8EFF9"/>
          </w:tcPr>
          <w:p>
            <w:pPr>
              <w:ind w:left="140"/>
              <w:spacing w:after="0"/>
              <w:rPr>
                <w:sz w:val="20"/>
                <w:szCs w:val="20"/>
                <w:color w:val="auto"/>
              </w:rPr>
            </w:pPr>
            <w:r>
              <w:rPr>
                <w:rFonts w:ascii="Times New Roman" w:cs="Times New Roman" w:eastAsia="Times New Roman" w:hAnsi="Times New Roman"/>
                <w:sz w:val="16"/>
                <w:szCs w:val="16"/>
                <w:color w:val="auto"/>
              </w:rPr>
              <w:t>Actuarial gain (loss)</w:t>
            </w:r>
          </w:p>
        </w:tc>
        <w:tc>
          <w:tcPr>
            <w:tcW w:w="320" w:type="dxa"/>
            <w:vAlign w:val="bottom"/>
            <w:shd w:val="clear" w:color="auto" w:fill="E8EFF9"/>
          </w:tcPr>
          <w:p>
            <w:pPr>
              <w:spacing w:after="0"/>
              <w:rPr>
                <w:sz w:val="18"/>
                <w:szCs w:val="18"/>
                <w:color w:val="auto"/>
              </w:rPr>
            </w:pPr>
          </w:p>
        </w:tc>
        <w:tc>
          <w:tcPr>
            <w:tcW w:w="760" w:type="dxa"/>
            <w:vAlign w:val="bottom"/>
            <w:tcBorders>
              <w:right w:val="single" w:sz="8" w:color="E8EFF9"/>
            </w:tcBorders>
            <w:shd w:val="clear" w:color="auto" w:fill="E8EFF9"/>
          </w:tcPr>
          <w:p>
            <w:pPr>
              <w:spacing w:after="0"/>
              <w:rPr>
                <w:sz w:val="18"/>
                <w:szCs w:val="18"/>
                <w:color w:val="auto"/>
              </w:rPr>
            </w:pPr>
          </w:p>
        </w:tc>
        <w:tc>
          <w:tcPr>
            <w:tcW w:w="120" w:type="dxa"/>
            <w:vAlign w:val="bottom"/>
            <w:tcBorders>
              <w:right w:val="single" w:sz="8" w:color="0077C0"/>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shd w:val="clear" w:color="auto" w:fill="E8EFF9"/>
          </w:tcPr>
          <w:p>
            <w:pPr>
              <w:spacing w:after="0"/>
              <w:rPr>
                <w:sz w:val="18"/>
                <w:szCs w:val="18"/>
                <w:color w:val="auto"/>
              </w:rPr>
            </w:pPr>
          </w:p>
        </w:tc>
        <w:tc>
          <w:tcPr>
            <w:tcW w:w="740" w:type="dxa"/>
            <w:vAlign w:val="bottom"/>
            <w:shd w:val="clear" w:color="auto" w:fill="E8EFF9"/>
          </w:tcPr>
          <w:p>
            <w:pPr>
              <w:spacing w:after="0"/>
              <w:rPr>
                <w:sz w:val="18"/>
                <w:szCs w:val="18"/>
                <w:color w:val="auto"/>
              </w:rPr>
            </w:pPr>
          </w:p>
        </w:tc>
        <w:tc>
          <w:tcPr>
            <w:tcW w:w="560" w:type="dxa"/>
            <w:vAlign w:val="bottom"/>
            <w:shd w:val="clear" w:color="auto" w:fill="E8EFF9"/>
          </w:tcPr>
          <w:p>
            <w:pPr>
              <w:spacing w:after="0"/>
              <w:rPr>
                <w:sz w:val="18"/>
                <w:szCs w:val="18"/>
                <w:color w:val="auto"/>
              </w:rPr>
            </w:pPr>
          </w:p>
        </w:tc>
        <w:tc>
          <w:tcPr>
            <w:tcW w:w="760" w:type="dxa"/>
            <w:vAlign w:val="bottom"/>
            <w:shd w:val="clear" w:color="auto" w:fill="E8EFF9"/>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100" w:type="dxa"/>
            <w:vAlign w:val="bottom"/>
            <w:shd w:val="clear" w:color="auto" w:fill="E8EFF9"/>
          </w:tcPr>
          <w:p>
            <w:pPr>
              <w:ind w:left="220"/>
              <w:spacing w:after="0"/>
              <w:rPr>
                <w:sz w:val="20"/>
                <w:szCs w:val="20"/>
                <w:color w:val="auto"/>
              </w:rPr>
            </w:pPr>
            <w:r>
              <w:rPr>
                <w:rFonts w:ascii="Times New Roman" w:cs="Times New Roman" w:eastAsia="Times New Roman" w:hAnsi="Times New Roman"/>
                <w:sz w:val="16"/>
                <w:szCs w:val="16"/>
                <w:color w:val="auto"/>
              </w:rPr>
              <w:t>Amortization to net income of net actuarial loss and settlements</w:t>
            </w:r>
          </w:p>
        </w:tc>
        <w:tc>
          <w:tcPr>
            <w:tcW w:w="320" w:type="dxa"/>
            <w:vAlign w:val="bottom"/>
            <w:shd w:val="clear" w:color="auto" w:fill="E8EFF9"/>
          </w:tcPr>
          <w:p>
            <w:pPr>
              <w:spacing w:after="0"/>
              <w:rPr>
                <w:sz w:val="18"/>
                <w:szCs w:val="18"/>
                <w:color w:val="auto"/>
              </w:rPr>
            </w:pPr>
          </w:p>
        </w:tc>
        <w:tc>
          <w:tcPr>
            <w:tcW w:w="760" w:type="dxa"/>
            <w:vAlign w:val="bottom"/>
            <w:tcBorders>
              <w:right w:val="single" w:sz="8" w:color="E8EFF9"/>
            </w:tcBorders>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247</w:t>
            </w:r>
          </w:p>
        </w:tc>
        <w:tc>
          <w:tcPr>
            <w:tcW w:w="120" w:type="dxa"/>
            <w:vAlign w:val="bottom"/>
            <w:tcBorders>
              <w:right w:val="single" w:sz="8" w:color="0077C0"/>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shd w:val="clear" w:color="auto" w:fill="E8EFF9"/>
          </w:tcPr>
          <w:p>
            <w:pPr>
              <w:spacing w:after="0"/>
              <w:rPr>
                <w:sz w:val="18"/>
                <w:szCs w:val="18"/>
                <w:color w:val="auto"/>
              </w:rPr>
            </w:pPr>
          </w:p>
        </w:tc>
        <w:tc>
          <w:tcPr>
            <w:tcW w:w="7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560" w:type="dxa"/>
            <w:vAlign w:val="bottom"/>
            <w:shd w:val="clear" w:color="auto" w:fill="E8EFF9"/>
          </w:tcPr>
          <w:p>
            <w:pPr>
              <w:spacing w:after="0"/>
              <w:rPr>
                <w:sz w:val="18"/>
                <w:szCs w:val="18"/>
                <w:color w:val="auto"/>
              </w:rPr>
            </w:pPr>
          </w:p>
        </w:tc>
        <w:tc>
          <w:tcPr>
            <w:tcW w:w="7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100" w:type="dxa"/>
            <w:vAlign w:val="bottom"/>
            <w:shd w:val="clear" w:color="auto" w:fill="E8EFF9"/>
          </w:tcPr>
          <w:p>
            <w:pPr>
              <w:ind w:left="220"/>
              <w:spacing w:after="0"/>
              <w:rPr>
                <w:sz w:val="20"/>
                <w:szCs w:val="20"/>
                <w:color w:val="auto"/>
              </w:rPr>
            </w:pPr>
            <w:r>
              <w:rPr>
                <w:rFonts w:ascii="Times New Roman" w:cs="Times New Roman" w:eastAsia="Times New Roman" w:hAnsi="Times New Roman"/>
                <w:sz w:val="16"/>
                <w:szCs w:val="16"/>
                <w:color w:val="auto"/>
              </w:rPr>
              <w:t>Actuarial gain (loss) arising during period</w:t>
            </w:r>
          </w:p>
        </w:tc>
        <w:tc>
          <w:tcPr>
            <w:tcW w:w="320" w:type="dxa"/>
            <w:vAlign w:val="bottom"/>
            <w:shd w:val="clear" w:color="auto" w:fill="E8EFF9"/>
          </w:tcPr>
          <w:p>
            <w:pPr>
              <w:spacing w:after="0"/>
              <w:rPr>
                <w:sz w:val="18"/>
                <w:szCs w:val="18"/>
                <w:color w:val="auto"/>
              </w:rPr>
            </w:pPr>
          </w:p>
        </w:tc>
        <w:tc>
          <w:tcPr>
            <w:tcW w:w="760" w:type="dxa"/>
            <w:vAlign w:val="bottom"/>
            <w:tcBorders>
              <w:right w:val="single" w:sz="8" w:color="E8EFF9"/>
            </w:tcBorders>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228</w:t>
            </w:r>
          </w:p>
        </w:tc>
        <w:tc>
          <w:tcPr>
            <w:tcW w:w="120" w:type="dxa"/>
            <w:vAlign w:val="bottom"/>
            <w:tcBorders>
              <w:right w:val="single" w:sz="8" w:color="0077C0"/>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shd w:val="clear" w:color="auto" w:fill="E8EFF9"/>
          </w:tcPr>
          <w:p>
            <w:pPr>
              <w:spacing w:after="0"/>
              <w:rPr>
                <w:sz w:val="18"/>
                <w:szCs w:val="18"/>
                <w:color w:val="auto"/>
              </w:rPr>
            </w:pPr>
          </w:p>
        </w:tc>
        <w:tc>
          <w:tcPr>
            <w:tcW w:w="7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560" w:type="dxa"/>
            <w:vAlign w:val="bottom"/>
            <w:shd w:val="clear" w:color="auto" w:fill="E8EFF9"/>
          </w:tcPr>
          <w:p>
            <w:pPr>
              <w:spacing w:after="0"/>
              <w:rPr>
                <w:sz w:val="18"/>
                <w:szCs w:val="18"/>
                <w:color w:val="auto"/>
              </w:rPr>
            </w:pPr>
          </w:p>
        </w:tc>
        <w:tc>
          <w:tcPr>
            <w:tcW w:w="7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100" w:type="dxa"/>
            <w:vAlign w:val="bottom"/>
            <w:shd w:val="clear" w:color="auto" w:fill="E8EFF9"/>
          </w:tcPr>
          <w:p>
            <w:pPr>
              <w:ind w:left="140"/>
              <w:spacing w:after="0"/>
              <w:rPr>
                <w:sz w:val="20"/>
                <w:szCs w:val="20"/>
                <w:color w:val="auto"/>
              </w:rPr>
            </w:pPr>
            <w:r>
              <w:rPr>
                <w:rFonts w:ascii="Times New Roman" w:cs="Times New Roman" w:eastAsia="Times New Roman" w:hAnsi="Times New Roman"/>
                <w:sz w:val="16"/>
                <w:szCs w:val="16"/>
                <w:color w:val="auto"/>
              </w:rPr>
              <w:t>Prior service credits (cost)</w:t>
            </w:r>
          </w:p>
        </w:tc>
        <w:tc>
          <w:tcPr>
            <w:tcW w:w="320" w:type="dxa"/>
            <w:vAlign w:val="bottom"/>
            <w:shd w:val="clear" w:color="auto" w:fill="E8EFF9"/>
          </w:tcPr>
          <w:p>
            <w:pPr>
              <w:spacing w:after="0"/>
              <w:rPr>
                <w:sz w:val="18"/>
                <w:szCs w:val="18"/>
                <w:color w:val="auto"/>
              </w:rPr>
            </w:pPr>
          </w:p>
        </w:tc>
        <w:tc>
          <w:tcPr>
            <w:tcW w:w="760" w:type="dxa"/>
            <w:vAlign w:val="bottom"/>
            <w:tcBorders>
              <w:right w:val="single" w:sz="8" w:color="E8EFF9"/>
            </w:tcBorders>
            <w:vMerge w:val="restart"/>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c>
          <w:tcPr>
            <w:tcW w:w="120" w:type="dxa"/>
            <w:vAlign w:val="bottom"/>
            <w:tcBorders>
              <w:right w:val="single" w:sz="8" w:color="0077C0"/>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shd w:val="clear" w:color="auto" w:fill="E8EFF9"/>
          </w:tcPr>
          <w:p>
            <w:pPr>
              <w:spacing w:after="0"/>
              <w:rPr>
                <w:sz w:val="18"/>
                <w:szCs w:val="18"/>
                <w:color w:val="auto"/>
              </w:rPr>
            </w:pPr>
          </w:p>
        </w:tc>
        <w:tc>
          <w:tcPr>
            <w:tcW w:w="740" w:type="dxa"/>
            <w:vAlign w:val="bottom"/>
            <w:shd w:val="clear" w:color="auto" w:fill="E8EFF9"/>
          </w:tcPr>
          <w:p>
            <w:pPr>
              <w:spacing w:after="0"/>
              <w:rPr>
                <w:sz w:val="18"/>
                <w:szCs w:val="18"/>
                <w:color w:val="auto"/>
              </w:rPr>
            </w:pPr>
          </w:p>
        </w:tc>
        <w:tc>
          <w:tcPr>
            <w:tcW w:w="560" w:type="dxa"/>
            <w:vAlign w:val="bottom"/>
            <w:shd w:val="clear" w:color="auto" w:fill="E8EFF9"/>
          </w:tcPr>
          <w:p>
            <w:pPr>
              <w:spacing w:after="0"/>
              <w:rPr>
                <w:sz w:val="18"/>
                <w:szCs w:val="18"/>
                <w:color w:val="auto"/>
              </w:rPr>
            </w:pPr>
          </w:p>
        </w:tc>
        <w:tc>
          <w:tcPr>
            <w:tcW w:w="760" w:type="dxa"/>
            <w:vAlign w:val="bottom"/>
            <w:shd w:val="clear" w:color="auto" w:fill="E8EFF9"/>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100" w:type="dxa"/>
            <w:vAlign w:val="bottom"/>
            <w:shd w:val="clear" w:color="auto" w:fill="E8EFF9"/>
          </w:tcPr>
          <w:p>
            <w:pPr>
              <w:ind w:left="220"/>
              <w:spacing w:after="0"/>
              <w:rPr>
                <w:sz w:val="20"/>
                <w:szCs w:val="20"/>
                <w:color w:val="auto"/>
              </w:rPr>
            </w:pPr>
            <w:r>
              <w:rPr>
                <w:rFonts w:ascii="Times New Roman" w:cs="Times New Roman" w:eastAsia="Times New Roman" w:hAnsi="Times New Roman"/>
                <w:sz w:val="16"/>
                <w:szCs w:val="16"/>
                <w:color w:val="auto"/>
              </w:rPr>
              <w:t>Amortization to net income of net prior service costs and curtailments</w:t>
            </w:r>
          </w:p>
        </w:tc>
        <w:tc>
          <w:tcPr>
            <w:tcW w:w="320" w:type="dxa"/>
            <w:vAlign w:val="bottom"/>
            <w:shd w:val="clear" w:color="auto" w:fill="E8EFF9"/>
          </w:tcPr>
          <w:p>
            <w:pPr>
              <w:spacing w:after="0"/>
              <w:rPr>
                <w:sz w:val="18"/>
                <w:szCs w:val="18"/>
                <w:color w:val="auto"/>
              </w:rPr>
            </w:pPr>
          </w:p>
        </w:tc>
        <w:tc>
          <w:tcPr>
            <w:tcW w:w="760" w:type="dxa"/>
            <w:vAlign w:val="bottom"/>
            <w:tcBorders>
              <w:right w:val="single" w:sz="8" w:color="E8EFF9"/>
            </w:tcBorders>
            <w:vMerge w:val="continue"/>
            <w:shd w:val="clear" w:color="auto" w:fill="E8EFF9"/>
          </w:tcPr>
          <w:p>
            <w:pPr>
              <w:spacing w:after="0"/>
              <w:rPr>
                <w:sz w:val="18"/>
                <w:szCs w:val="18"/>
                <w:color w:val="auto"/>
              </w:rPr>
            </w:pPr>
          </w:p>
        </w:tc>
        <w:tc>
          <w:tcPr>
            <w:tcW w:w="120" w:type="dxa"/>
            <w:vAlign w:val="bottom"/>
            <w:tcBorders>
              <w:right w:val="single" w:sz="8" w:color="0077C0"/>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shd w:val="clear" w:color="auto" w:fill="E8EFF9"/>
          </w:tcPr>
          <w:p>
            <w:pPr>
              <w:spacing w:after="0"/>
              <w:rPr>
                <w:sz w:val="18"/>
                <w:szCs w:val="18"/>
                <w:color w:val="auto"/>
              </w:rPr>
            </w:pPr>
          </w:p>
        </w:tc>
        <w:tc>
          <w:tcPr>
            <w:tcW w:w="7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560" w:type="dxa"/>
            <w:vAlign w:val="bottom"/>
            <w:shd w:val="clear" w:color="auto" w:fill="E8EFF9"/>
          </w:tcPr>
          <w:p>
            <w:pPr>
              <w:spacing w:after="0"/>
              <w:rPr>
                <w:sz w:val="18"/>
                <w:szCs w:val="18"/>
                <w:color w:val="auto"/>
              </w:rPr>
            </w:pPr>
          </w:p>
        </w:tc>
        <w:tc>
          <w:tcPr>
            <w:tcW w:w="7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100" w:type="dxa"/>
            <w:vAlign w:val="bottom"/>
            <w:shd w:val="clear" w:color="auto" w:fill="E8EFF9"/>
          </w:tcPr>
          <w:p>
            <w:pPr>
              <w:ind w:left="220"/>
              <w:spacing w:after="0"/>
              <w:rPr>
                <w:sz w:val="20"/>
                <w:szCs w:val="20"/>
                <w:color w:val="auto"/>
              </w:rPr>
            </w:pPr>
            <w:r>
              <w:rPr>
                <w:rFonts w:ascii="Times New Roman" w:cs="Times New Roman" w:eastAsia="Times New Roman" w:hAnsi="Times New Roman"/>
                <w:sz w:val="16"/>
                <w:szCs w:val="16"/>
                <w:color w:val="auto"/>
              </w:rPr>
              <w:t>Prior service (costs) credits arising during period</w:t>
            </w:r>
          </w:p>
        </w:tc>
        <w:tc>
          <w:tcPr>
            <w:tcW w:w="320" w:type="dxa"/>
            <w:vAlign w:val="bottom"/>
            <w:shd w:val="clear" w:color="auto" w:fill="E8EFF9"/>
          </w:tcPr>
          <w:p>
            <w:pPr>
              <w:spacing w:after="0"/>
              <w:rPr>
                <w:sz w:val="18"/>
                <w:szCs w:val="18"/>
                <w:color w:val="auto"/>
              </w:rPr>
            </w:pPr>
          </w:p>
        </w:tc>
        <w:tc>
          <w:tcPr>
            <w:tcW w:w="760" w:type="dxa"/>
            <w:vAlign w:val="bottom"/>
            <w:tcBorders>
              <w:right w:val="single" w:sz="8" w:color="E8EFF9"/>
            </w:tcBorders>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(48)</w:t>
            </w:r>
          </w:p>
        </w:tc>
        <w:tc>
          <w:tcPr>
            <w:tcW w:w="120" w:type="dxa"/>
            <w:vAlign w:val="bottom"/>
            <w:tcBorders>
              <w:right w:val="single" w:sz="8" w:color="0077C0"/>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shd w:val="clear" w:color="auto" w:fill="E8EFF9"/>
          </w:tcPr>
          <w:p>
            <w:pPr>
              <w:spacing w:after="0"/>
              <w:rPr>
                <w:sz w:val="18"/>
                <w:szCs w:val="18"/>
                <w:color w:val="auto"/>
              </w:rPr>
            </w:pPr>
          </w:p>
        </w:tc>
        <w:tc>
          <w:tcPr>
            <w:tcW w:w="7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560" w:type="dxa"/>
            <w:vAlign w:val="bottom"/>
            <w:shd w:val="clear" w:color="auto" w:fill="E8EFF9"/>
          </w:tcPr>
          <w:p>
            <w:pPr>
              <w:spacing w:after="0"/>
              <w:rPr>
                <w:sz w:val="18"/>
                <w:szCs w:val="18"/>
                <w:color w:val="auto"/>
              </w:rPr>
            </w:pPr>
          </w:p>
        </w:tc>
        <w:tc>
          <w:tcPr>
            <w:tcW w:w="7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100" w:type="dxa"/>
            <w:vAlign w:val="bottom"/>
            <w:shd w:val="clear" w:color="auto" w:fill="E8EFF9"/>
          </w:tcPr>
          <w:p>
            <w:pPr>
              <w:ind w:left="140"/>
              <w:spacing w:after="0"/>
              <w:rPr>
                <w:sz w:val="20"/>
                <w:szCs w:val="20"/>
                <w:color w:val="auto"/>
              </w:rPr>
            </w:pPr>
            <w:r>
              <w:rPr>
                <w:rFonts w:ascii="Times New Roman" w:cs="Times New Roman" w:eastAsia="Times New Roman" w:hAnsi="Times New Roman"/>
                <w:sz w:val="16"/>
                <w:szCs w:val="16"/>
                <w:color w:val="auto"/>
              </w:rPr>
              <w:t>Defined benefit plans sponsored by equity affiliates - benefit (cost)</w:t>
            </w:r>
          </w:p>
        </w:tc>
        <w:tc>
          <w:tcPr>
            <w:tcW w:w="320" w:type="dxa"/>
            <w:vAlign w:val="bottom"/>
            <w:shd w:val="clear" w:color="auto" w:fill="E8EFF9"/>
          </w:tcPr>
          <w:p>
            <w:pPr>
              <w:spacing w:after="0"/>
              <w:rPr>
                <w:sz w:val="18"/>
                <w:szCs w:val="18"/>
                <w:color w:val="auto"/>
              </w:rPr>
            </w:pPr>
          </w:p>
        </w:tc>
        <w:tc>
          <w:tcPr>
            <w:tcW w:w="760" w:type="dxa"/>
            <w:vAlign w:val="bottom"/>
            <w:tcBorders>
              <w:right w:val="single" w:sz="8" w:color="E8EFF9"/>
            </w:tcBorders>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(19)</w:t>
            </w:r>
          </w:p>
        </w:tc>
        <w:tc>
          <w:tcPr>
            <w:tcW w:w="120" w:type="dxa"/>
            <w:vAlign w:val="bottom"/>
            <w:tcBorders>
              <w:right w:val="single" w:sz="8" w:color="0077C0"/>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shd w:val="clear" w:color="auto" w:fill="E8EFF9"/>
          </w:tcPr>
          <w:p>
            <w:pPr>
              <w:spacing w:after="0"/>
              <w:rPr>
                <w:sz w:val="18"/>
                <w:szCs w:val="18"/>
                <w:color w:val="auto"/>
              </w:rPr>
            </w:pPr>
          </w:p>
        </w:tc>
        <w:tc>
          <w:tcPr>
            <w:tcW w:w="7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560" w:type="dxa"/>
            <w:vAlign w:val="bottom"/>
            <w:shd w:val="clear" w:color="auto" w:fill="E8EFF9"/>
          </w:tcPr>
          <w:p>
            <w:pPr>
              <w:spacing w:after="0"/>
              <w:rPr>
                <w:sz w:val="18"/>
                <w:szCs w:val="18"/>
                <w:color w:val="auto"/>
              </w:rPr>
            </w:pPr>
          </w:p>
        </w:tc>
        <w:tc>
          <w:tcPr>
            <w:tcW w:w="7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0" w:type="dxa"/>
            <w:vAlign w:val="bottom"/>
          </w:tcPr>
          <w:p>
            <w:pPr>
              <w:spacing w:after="0"/>
              <w:rPr>
                <w:sz w:val="19"/>
                <w:szCs w:val="19"/>
                <w:color w:val="auto"/>
              </w:rPr>
            </w:pPr>
          </w:p>
        </w:tc>
        <w:tc>
          <w:tcPr>
            <w:tcW w:w="7100" w:type="dxa"/>
            <w:vAlign w:val="bottom"/>
            <w:tcBorders>
              <w:bottom w:val="single" w:sz="8" w:color="0077C0"/>
            </w:tcBorders>
            <w:shd w:val="clear" w:color="auto" w:fill="E8EFF9"/>
          </w:tcPr>
          <w:p>
            <w:pPr>
              <w:ind w:left="140"/>
              <w:spacing w:after="0"/>
              <w:rPr>
                <w:sz w:val="20"/>
                <w:szCs w:val="20"/>
                <w:color w:val="auto"/>
              </w:rPr>
            </w:pPr>
            <w:r>
              <w:rPr>
                <w:rFonts w:ascii="Times New Roman" w:cs="Times New Roman" w:eastAsia="Times New Roman" w:hAnsi="Times New Roman"/>
                <w:sz w:val="16"/>
                <w:szCs w:val="16"/>
                <w:color w:val="auto"/>
              </w:rPr>
              <w:t>Income tax benefit (cost) on defined benefit plans</w:t>
            </w:r>
          </w:p>
        </w:tc>
        <w:tc>
          <w:tcPr>
            <w:tcW w:w="320" w:type="dxa"/>
            <w:vAlign w:val="bottom"/>
            <w:tcBorders>
              <w:bottom w:val="single" w:sz="8" w:color="0077C0"/>
            </w:tcBorders>
            <w:shd w:val="clear" w:color="auto" w:fill="E8EFF9"/>
          </w:tcPr>
          <w:p>
            <w:pPr>
              <w:spacing w:after="0"/>
              <w:rPr>
                <w:sz w:val="19"/>
                <w:szCs w:val="19"/>
                <w:color w:val="auto"/>
              </w:rPr>
            </w:pPr>
          </w:p>
        </w:tc>
        <w:tc>
          <w:tcPr>
            <w:tcW w:w="760" w:type="dxa"/>
            <w:vAlign w:val="bottom"/>
            <w:tcBorders>
              <w:bottom w:val="single" w:sz="8" w:color="0077C0"/>
              <w:right w:val="single" w:sz="8" w:color="E8EFF9"/>
            </w:tcBorders>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(104)</w:t>
            </w:r>
          </w:p>
        </w:tc>
        <w:tc>
          <w:tcPr>
            <w:tcW w:w="120" w:type="dxa"/>
            <w:vAlign w:val="bottom"/>
            <w:tcBorders>
              <w:bottom w:val="single" w:sz="8" w:color="0077C0"/>
              <w:right w:val="single" w:sz="8" w:color="0077C0"/>
            </w:tcBorders>
          </w:tcPr>
          <w:p>
            <w:pPr>
              <w:spacing w:after="0"/>
              <w:rPr>
                <w:sz w:val="19"/>
                <w:szCs w:val="19"/>
                <w:color w:val="auto"/>
              </w:rPr>
            </w:pPr>
          </w:p>
        </w:tc>
        <w:tc>
          <w:tcPr>
            <w:tcW w:w="80" w:type="dxa"/>
            <w:vAlign w:val="bottom"/>
            <w:tcBorders>
              <w:bottom w:val="single" w:sz="8" w:color="0077C0"/>
            </w:tcBorders>
          </w:tcPr>
          <w:p>
            <w:pPr>
              <w:spacing w:after="0"/>
              <w:rPr>
                <w:sz w:val="19"/>
                <w:szCs w:val="19"/>
                <w:color w:val="auto"/>
              </w:rPr>
            </w:pPr>
          </w:p>
        </w:tc>
        <w:tc>
          <w:tcPr>
            <w:tcW w:w="340" w:type="dxa"/>
            <w:vAlign w:val="bottom"/>
            <w:tcBorders>
              <w:bottom w:val="single" w:sz="8" w:color="0077C0"/>
            </w:tcBorders>
            <w:shd w:val="clear" w:color="auto" w:fill="E8EFF9"/>
          </w:tcPr>
          <w:p>
            <w:pPr>
              <w:spacing w:after="0"/>
              <w:rPr>
                <w:sz w:val="19"/>
                <w:szCs w:val="19"/>
                <w:color w:val="auto"/>
              </w:rPr>
            </w:pPr>
          </w:p>
        </w:tc>
        <w:tc>
          <w:tcPr>
            <w:tcW w:w="74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560" w:type="dxa"/>
            <w:vAlign w:val="bottom"/>
            <w:tcBorders>
              <w:bottom w:val="single" w:sz="8" w:color="0077C0"/>
            </w:tcBorders>
            <w:shd w:val="clear" w:color="auto" w:fill="E8EFF9"/>
          </w:tcPr>
          <w:p>
            <w:pPr>
              <w:spacing w:after="0"/>
              <w:rPr>
                <w:sz w:val="19"/>
                <w:szCs w:val="19"/>
                <w:color w:val="auto"/>
              </w:rPr>
            </w:pPr>
          </w:p>
        </w:tc>
        <w:tc>
          <w:tcPr>
            <w:tcW w:w="76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7100" w:type="dxa"/>
            <w:vAlign w:val="bottom"/>
            <w:tcBorders>
              <w:bottom w:val="single" w:sz="8" w:color="0077C0"/>
            </w:tcBorders>
            <w:shd w:val="clear" w:color="auto" w:fill="E8EFF9"/>
          </w:tcPr>
          <w:p>
            <w:pPr>
              <w:ind w:left="140"/>
              <w:spacing w:after="0"/>
              <w:rPr>
                <w:sz w:val="20"/>
                <w:szCs w:val="20"/>
                <w:color w:val="auto"/>
              </w:rPr>
            </w:pPr>
            <w:r>
              <w:rPr>
                <w:rFonts w:ascii="Times New Roman" w:cs="Times New Roman" w:eastAsia="Times New Roman" w:hAnsi="Times New Roman"/>
                <w:sz w:val="16"/>
                <w:szCs w:val="16"/>
                <w:b w:val="1"/>
                <w:bCs w:val="1"/>
                <w:color w:val="0077C0"/>
              </w:rPr>
              <w:t>Total</w:t>
            </w:r>
          </w:p>
        </w:tc>
        <w:tc>
          <w:tcPr>
            <w:tcW w:w="320" w:type="dxa"/>
            <w:vAlign w:val="bottom"/>
            <w:tcBorders>
              <w:bottom w:val="single" w:sz="8" w:color="0077C0"/>
            </w:tcBorders>
            <w:shd w:val="clear" w:color="auto" w:fill="E8EFF9"/>
          </w:tcPr>
          <w:p>
            <w:pPr>
              <w:spacing w:after="0"/>
              <w:rPr>
                <w:sz w:val="18"/>
                <w:szCs w:val="18"/>
                <w:color w:val="auto"/>
              </w:rPr>
            </w:pPr>
          </w:p>
        </w:tc>
        <w:tc>
          <w:tcPr>
            <w:tcW w:w="760" w:type="dxa"/>
            <w:vAlign w:val="bottom"/>
            <w:tcBorders>
              <w:bottom w:val="single" w:sz="8" w:color="0077C0"/>
              <w:right w:val="single" w:sz="8" w:color="E8EFF9"/>
            </w:tcBorders>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294</w:t>
            </w:r>
          </w:p>
        </w:tc>
        <w:tc>
          <w:tcPr>
            <w:tcW w:w="120" w:type="dxa"/>
            <w:vAlign w:val="bottom"/>
            <w:tcBorders>
              <w:bottom w:val="single" w:sz="8" w:color="0077C0"/>
              <w:right w:val="single" w:sz="8" w:color="0077C0"/>
            </w:tcBorders>
          </w:tcPr>
          <w:p>
            <w:pPr>
              <w:spacing w:after="0"/>
              <w:rPr>
                <w:sz w:val="18"/>
                <w:szCs w:val="18"/>
                <w:color w:val="auto"/>
              </w:rPr>
            </w:pPr>
          </w:p>
        </w:tc>
        <w:tc>
          <w:tcPr>
            <w:tcW w:w="80" w:type="dxa"/>
            <w:vAlign w:val="bottom"/>
            <w:tcBorders>
              <w:bottom w:val="single" w:sz="8" w:color="0077C0"/>
            </w:tcBorders>
          </w:tcPr>
          <w:p>
            <w:pPr>
              <w:spacing w:after="0"/>
              <w:rPr>
                <w:sz w:val="18"/>
                <w:szCs w:val="18"/>
                <w:color w:val="auto"/>
              </w:rPr>
            </w:pPr>
          </w:p>
        </w:tc>
        <w:tc>
          <w:tcPr>
            <w:tcW w:w="340" w:type="dxa"/>
            <w:vAlign w:val="bottom"/>
            <w:tcBorders>
              <w:bottom w:val="single" w:sz="8" w:color="0077C0"/>
            </w:tcBorders>
            <w:shd w:val="clear" w:color="auto" w:fill="E8EFF9"/>
          </w:tcPr>
          <w:p>
            <w:pPr>
              <w:spacing w:after="0"/>
              <w:rPr>
                <w:sz w:val="18"/>
                <w:szCs w:val="18"/>
                <w:color w:val="auto"/>
              </w:rPr>
            </w:pPr>
          </w:p>
        </w:tc>
        <w:tc>
          <w:tcPr>
            <w:tcW w:w="74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560" w:type="dxa"/>
            <w:vAlign w:val="bottom"/>
            <w:tcBorders>
              <w:bottom w:val="single" w:sz="8" w:color="0077C0"/>
            </w:tcBorders>
            <w:shd w:val="clear" w:color="auto" w:fill="E8EFF9"/>
          </w:tcPr>
          <w:p>
            <w:pPr>
              <w:spacing w:after="0"/>
              <w:rPr>
                <w:sz w:val="18"/>
                <w:szCs w:val="18"/>
                <w:color w:val="auto"/>
              </w:rPr>
            </w:pPr>
          </w:p>
        </w:tc>
        <w:tc>
          <w:tcPr>
            <w:tcW w:w="76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1,145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7100" w:type="dxa"/>
            <w:vAlign w:val="bottom"/>
            <w:tcBorders>
              <w:bottom w:val="single" w:sz="8" w:color="0077C0"/>
            </w:tcBorders>
            <w:shd w:val="clear" w:color="auto" w:fill="E8EFF9"/>
          </w:tcPr>
          <w:p>
            <w:pPr>
              <w:ind w:left="20"/>
              <w:spacing w:after="0"/>
              <w:rPr>
                <w:sz w:val="20"/>
                <w:szCs w:val="20"/>
                <w:color w:val="auto"/>
              </w:rPr>
            </w:pPr>
            <w:r>
              <w:rPr>
                <w:rFonts w:ascii="Times New Roman" w:cs="Times New Roman" w:eastAsia="Times New Roman" w:hAnsi="Times New Roman"/>
                <w:sz w:val="16"/>
                <w:szCs w:val="16"/>
                <w:b w:val="1"/>
                <w:bCs w:val="1"/>
                <w:color w:val="0077C0"/>
              </w:rPr>
              <w:t>Other Comprehensive Gain (Loss), Net of Tax</w:t>
            </w:r>
          </w:p>
        </w:tc>
        <w:tc>
          <w:tcPr>
            <w:tcW w:w="320" w:type="dxa"/>
            <w:vAlign w:val="bottom"/>
            <w:tcBorders>
              <w:bottom w:val="single" w:sz="8" w:color="0077C0"/>
            </w:tcBorders>
            <w:shd w:val="clear" w:color="auto" w:fill="E8EFF9"/>
          </w:tcPr>
          <w:p>
            <w:pPr>
              <w:spacing w:after="0"/>
              <w:rPr>
                <w:sz w:val="18"/>
                <w:szCs w:val="18"/>
                <w:color w:val="auto"/>
              </w:rPr>
            </w:pPr>
          </w:p>
        </w:tc>
        <w:tc>
          <w:tcPr>
            <w:tcW w:w="760" w:type="dxa"/>
            <w:vAlign w:val="bottom"/>
            <w:tcBorders>
              <w:bottom w:val="single" w:sz="8" w:color="0077C0"/>
              <w:right w:val="single" w:sz="8" w:color="E8EFF9"/>
            </w:tcBorders>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200</w:t>
            </w:r>
          </w:p>
        </w:tc>
        <w:tc>
          <w:tcPr>
            <w:tcW w:w="120" w:type="dxa"/>
            <w:vAlign w:val="bottom"/>
            <w:tcBorders>
              <w:bottom w:val="single" w:sz="8" w:color="0077C0"/>
              <w:right w:val="single" w:sz="8" w:color="0077C0"/>
            </w:tcBorders>
          </w:tcPr>
          <w:p>
            <w:pPr>
              <w:spacing w:after="0"/>
              <w:rPr>
                <w:sz w:val="18"/>
                <w:szCs w:val="18"/>
                <w:color w:val="auto"/>
              </w:rPr>
            </w:pPr>
          </w:p>
        </w:tc>
        <w:tc>
          <w:tcPr>
            <w:tcW w:w="80" w:type="dxa"/>
            <w:vAlign w:val="bottom"/>
            <w:tcBorders>
              <w:bottom w:val="single" w:sz="8" w:color="0077C0"/>
            </w:tcBorders>
          </w:tcPr>
          <w:p>
            <w:pPr>
              <w:spacing w:after="0"/>
              <w:rPr>
                <w:sz w:val="18"/>
                <w:szCs w:val="18"/>
                <w:color w:val="auto"/>
              </w:rPr>
            </w:pPr>
          </w:p>
        </w:tc>
        <w:tc>
          <w:tcPr>
            <w:tcW w:w="340" w:type="dxa"/>
            <w:vAlign w:val="bottom"/>
            <w:tcBorders>
              <w:bottom w:val="single" w:sz="8" w:color="0077C0"/>
            </w:tcBorders>
            <w:shd w:val="clear" w:color="auto" w:fill="E8EFF9"/>
          </w:tcPr>
          <w:p>
            <w:pPr>
              <w:spacing w:after="0"/>
              <w:rPr>
                <w:sz w:val="18"/>
                <w:szCs w:val="18"/>
                <w:color w:val="auto"/>
              </w:rPr>
            </w:pPr>
          </w:p>
        </w:tc>
        <w:tc>
          <w:tcPr>
            <w:tcW w:w="74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560" w:type="dxa"/>
            <w:vAlign w:val="bottom"/>
            <w:tcBorders>
              <w:bottom w:val="single" w:sz="8" w:color="0077C0"/>
            </w:tcBorders>
            <w:shd w:val="clear" w:color="auto" w:fill="E8EFF9"/>
          </w:tcPr>
          <w:p>
            <w:pPr>
              <w:spacing w:after="0"/>
              <w:rPr>
                <w:sz w:val="18"/>
                <w:szCs w:val="18"/>
                <w:color w:val="auto"/>
              </w:rPr>
            </w:pPr>
          </w:p>
        </w:tc>
        <w:tc>
          <w:tcPr>
            <w:tcW w:w="76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7100" w:type="dxa"/>
            <w:vAlign w:val="bottom"/>
            <w:tcBorders>
              <w:bottom w:val="single" w:sz="8" w:color="0077C0"/>
            </w:tcBorders>
            <w:shd w:val="clear" w:color="auto" w:fill="E8EFF9"/>
          </w:tcPr>
          <w:p>
            <w:pPr>
              <w:ind w:left="20"/>
              <w:spacing w:after="0"/>
              <w:rPr>
                <w:sz w:val="20"/>
                <w:szCs w:val="20"/>
                <w:color w:val="auto"/>
              </w:rPr>
            </w:pPr>
            <w:r>
              <w:rPr>
                <w:rFonts w:ascii="Times New Roman" w:cs="Times New Roman" w:eastAsia="Times New Roman" w:hAnsi="Times New Roman"/>
                <w:sz w:val="16"/>
                <w:szCs w:val="16"/>
                <w:b w:val="1"/>
                <w:bCs w:val="1"/>
                <w:color w:val="0077C0"/>
              </w:rPr>
              <w:t>Comprehensive Income (Loss)</w:t>
            </w:r>
          </w:p>
        </w:tc>
        <w:tc>
          <w:tcPr>
            <w:tcW w:w="320" w:type="dxa"/>
            <w:vAlign w:val="bottom"/>
            <w:tcBorders>
              <w:bottom w:val="single" w:sz="8" w:color="0077C0"/>
            </w:tcBorders>
            <w:shd w:val="clear" w:color="auto" w:fill="E8EFF9"/>
          </w:tcPr>
          <w:p>
            <w:pPr>
              <w:spacing w:after="0"/>
              <w:rPr>
                <w:sz w:val="18"/>
                <w:szCs w:val="18"/>
                <w:color w:val="auto"/>
              </w:rPr>
            </w:pPr>
          </w:p>
        </w:tc>
        <w:tc>
          <w:tcPr>
            <w:tcW w:w="760" w:type="dxa"/>
            <w:vAlign w:val="bottom"/>
            <w:tcBorders>
              <w:bottom w:val="single" w:sz="8" w:color="0077C0"/>
              <w:right w:val="single" w:sz="8" w:color="E8EFF9"/>
            </w:tcBorders>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17,949</w:t>
            </w:r>
          </w:p>
        </w:tc>
        <w:tc>
          <w:tcPr>
            <w:tcW w:w="120" w:type="dxa"/>
            <w:vAlign w:val="bottom"/>
            <w:tcBorders>
              <w:bottom w:val="single" w:sz="8" w:color="0077C0"/>
              <w:right w:val="single" w:sz="8" w:color="0077C0"/>
            </w:tcBorders>
          </w:tcPr>
          <w:p>
            <w:pPr>
              <w:spacing w:after="0"/>
              <w:rPr>
                <w:sz w:val="18"/>
                <w:szCs w:val="18"/>
                <w:color w:val="auto"/>
              </w:rPr>
            </w:pPr>
          </w:p>
        </w:tc>
        <w:tc>
          <w:tcPr>
            <w:tcW w:w="80" w:type="dxa"/>
            <w:vAlign w:val="bottom"/>
            <w:tcBorders>
              <w:bottom w:val="single" w:sz="8" w:color="0077C0"/>
            </w:tcBorders>
          </w:tcPr>
          <w:p>
            <w:pPr>
              <w:spacing w:after="0"/>
              <w:rPr>
                <w:sz w:val="18"/>
                <w:szCs w:val="18"/>
                <w:color w:val="auto"/>
              </w:rPr>
            </w:pPr>
          </w:p>
        </w:tc>
        <w:tc>
          <w:tcPr>
            <w:tcW w:w="340" w:type="dxa"/>
            <w:vAlign w:val="bottom"/>
            <w:tcBorders>
              <w:bottom w:val="single" w:sz="8" w:color="0077C0"/>
            </w:tcBorders>
            <w:shd w:val="clear" w:color="auto" w:fill="E8EFF9"/>
          </w:tcPr>
          <w:p>
            <w:pPr>
              <w:spacing w:after="0"/>
              <w:rPr>
                <w:sz w:val="18"/>
                <w:szCs w:val="18"/>
                <w:color w:val="auto"/>
              </w:rPr>
            </w:pPr>
          </w:p>
        </w:tc>
        <w:tc>
          <w:tcPr>
            <w:tcW w:w="74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21,249</w:t>
            </w:r>
          </w:p>
        </w:tc>
        <w:tc>
          <w:tcPr>
            <w:tcW w:w="560" w:type="dxa"/>
            <w:vAlign w:val="bottom"/>
            <w:tcBorders>
              <w:bottom w:val="single" w:sz="8" w:color="0077C0"/>
            </w:tcBorders>
            <w:shd w:val="clear" w:color="auto" w:fill="E8EFF9"/>
          </w:tcPr>
          <w:p>
            <w:pPr>
              <w:spacing w:after="0"/>
              <w:rPr>
                <w:sz w:val="18"/>
                <w:szCs w:val="18"/>
                <w:color w:val="auto"/>
              </w:rPr>
            </w:pPr>
          </w:p>
        </w:tc>
        <w:tc>
          <w:tcPr>
            <w:tcW w:w="76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36,699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7100" w:type="dxa"/>
            <w:vAlign w:val="bottom"/>
            <w:tcBorders>
              <w:bottom w:val="single" w:sz="8" w:color="0077C0"/>
            </w:tcBorders>
            <w:shd w:val="clear" w:color="auto" w:fill="E8EFF9"/>
          </w:tcPr>
          <w:p>
            <w:pPr>
              <w:ind w:left="20"/>
              <w:spacing w:after="0"/>
              <w:rPr>
                <w:sz w:val="20"/>
                <w:szCs w:val="20"/>
                <w:color w:val="auto"/>
              </w:rPr>
            </w:pPr>
            <w:r>
              <w:rPr>
                <w:rFonts w:ascii="Times New Roman" w:cs="Times New Roman" w:eastAsia="Times New Roman" w:hAnsi="Times New Roman"/>
                <w:sz w:val="16"/>
                <w:szCs w:val="16"/>
                <w:color w:val="auto"/>
              </w:rPr>
              <w:t>Comprehensive loss (income) attributable to noncontrolling interests</w:t>
            </w:r>
          </w:p>
        </w:tc>
        <w:tc>
          <w:tcPr>
            <w:tcW w:w="320" w:type="dxa"/>
            <w:vAlign w:val="bottom"/>
            <w:tcBorders>
              <w:bottom w:val="single" w:sz="8" w:color="0077C0"/>
            </w:tcBorders>
            <w:shd w:val="clear" w:color="auto" w:fill="E8EFF9"/>
          </w:tcPr>
          <w:p>
            <w:pPr>
              <w:spacing w:after="0"/>
              <w:rPr>
                <w:sz w:val="18"/>
                <w:szCs w:val="18"/>
                <w:color w:val="auto"/>
              </w:rPr>
            </w:pPr>
          </w:p>
        </w:tc>
        <w:tc>
          <w:tcPr>
            <w:tcW w:w="760" w:type="dxa"/>
            <w:vAlign w:val="bottom"/>
            <w:tcBorders>
              <w:bottom w:val="single" w:sz="8" w:color="0077C0"/>
              <w:right w:val="single" w:sz="8" w:color="E8EFF9"/>
            </w:tcBorders>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(88)</w:t>
            </w:r>
          </w:p>
        </w:tc>
        <w:tc>
          <w:tcPr>
            <w:tcW w:w="120" w:type="dxa"/>
            <w:vAlign w:val="bottom"/>
            <w:tcBorders>
              <w:bottom w:val="single" w:sz="8" w:color="0077C0"/>
              <w:right w:val="single" w:sz="8" w:color="0077C0"/>
            </w:tcBorders>
          </w:tcPr>
          <w:p>
            <w:pPr>
              <w:spacing w:after="0"/>
              <w:rPr>
                <w:sz w:val="18"/>
                <w:szCs w:val="18"/>
                <w:color w:val="auto"/>
              </w:rPr>
            </w:pPr>
          </w:p>
        </w:tc>
        <w:tc>
          <w:tcPr>
            <w:tcW w:w="80" w:type="dxa"/>
            <w:vAlign w:val="bottom"/>
            <w:tcBorders>
              <w:bottom w:val="single" w:sz="8" w:color="0077C0"/>
            </w:tcBorders>
          </w:tcPr>
          <w:p>
            <w:pPr>
              <w:spacing w:after="0"/>
              <w:rPr>
                <w:sz w:val="18"/>
                <w:szCs w:val="18"/>
                <w:color w:val="auto"/>
              </w:rPr>
            </w:pPr>
          </w:p>
        </w:tc>
        <w:tc>
          <w:tcPr>
            <w:tcW w:w="340" w:type="dxa"/>
            <w:vAlign w:val="bottom"/>
            <w:tcBorders>
              <w:bottom w:val="single" w:sz="8" w:color="0077C0"/>
            </w:tcBorders>
            <w:shd w:val="clear" w:color="auto" w:fill="E8EFF9"/>
          </w:tcPr>
          <w:p>
            <w:pPr>
              <w:spacing w:after="0"/>
              <w:rPr>
                <w:sz w:val="18"/>
                <w:szCs w:val="18"/>
                <w:color w:val="auto"/>
              </w:rPr>
            </w:pPr>
          </w:p>
        </w:tc>
        <w:tc>
          <w:tcPr>
            <w:tcW w:w="74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560" w:type="dxa"/>
            <w:vAlign w:val="bottom"/>
            <w:tcBorders>
              <w:bottom w:val="single" w:sz="8" w:color="0077C0"/>
            </w:tcBorders>
            <w:shd w:val="clear" w:color="auto" w:fill="E8EFF9"/>
          </w:tcPr>
          <w:p>
            <w:pPr>
              <w:spacing w:after="0"/>
              <w:rPr>
                <w:sz w:val="18"/>
                <w:szCs w:val="18"/>
                <w:color w:val="auto"/>
              </w:rPr>
            </w:pPr>
          </w:p>
        </w:tc>
        <w:tc>
          <w:tcPr>
            <w:tcW w:w="76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7100" w:type="dxa"/>
            <w:vAlign w:val="bottom"/>
            <w:tcBorders>
              <w:bottom w:val="single" w:sz="8" w:color="0077C0"/>
            </w:tcBorders>
            <w:shd w:val="clear" w:color="auto" w:fill="E8EFF9"/>
          </w:tcPr>
          <w:p>
            <w:pPr>
              <w:ind w:left="20"/>
              <w:spacing w:after="0"/>
              <w:rPr>
                <w:sz w:val="20"/>
                <w:szCs w:val="20"/>
                <w:color w:val="auto"/>
              </w:rPr>
            </w:pPr>
            <w:r>
              <w:rPr>
                <w:rFonts w:ascii="Times New Roman" w:cs="Times New Roman" w:eastAsia="Times New Roman" w:hAnsi="Times New Roman"/>
                <w:sz w:val="16"/>
                <w:szCs w:val="16"/>
                <w:b w:val="1"/>
                <w:bCs w:val="1"/>
                <w:color w:val="0077C0"/>
              </w:rPr>
              <w:t>Comprehensive Income (Loss) Attributable to Chevron Corporation</w:t>
            </w:r>
          </w:p>
        </w:tc>
        <w:tc>
          <w:tcPr>
            <w:tcW w:w="320" w:type="dxa"/>
            <w:vAlign w:val="bottom"/>
            <w:tcBorders>
              <w:bottom w:val="single" w:sz="8" w:color="0077C0"/>
            </w:tcBorders>
            <w:shd w:val="clear" w:color="auto" w:fill="E8EFF9"/>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bottom w:val="single" w:sz="8" w:color="0077C0"/>
              <w:right w:val="single" w:sz="8" w:color="E8EFF9"/>
            </w:tcBorders>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17,861</w:t>
            </w:r>
          </w:p>
        </w:tc>
        <w:tc>
          <w:tcPr>
            <w:tcW w:w="120" w:type="dxa"/>
            <w:vAlign w:val="bottom"/>
            <w:tcBorders>
              <w:bottom w:val="single" w:sz="8" w:color="0077C0"/>
              <w:right w:val="single" w:sz="8" w:color="0077C0"/>
            </w:tcBorders>
          </w:tcPr>
          <w:p>
            <w:pPr>
              <w:spacing w:after="0"/>
              <w:rPr>
                <w:sz w:val="18"/>
                <w:szCs w:val="18"/>
                <w:color w:val="auto"/>
              </w:rPr>
            </w:pPr>
          </w:p>
        </w:tc>
        <w:tc>
          <w:tcPr>
            <w:tcW w:w="80" w:type="dxa"/>
            <w:vAlign w:val="bottom"/>
            <w:tcBorders>
              <w:bottom w:val="single" w:sz="8" w:color="0077C0"/>
            </w:tcBorders>
          </w:tcPr>
          <w:p>
            <w:pPr>
              <w:spacing w:after="0"/>
              <w:rPr>
                <w:sz w:val="18"/>
                <w:szCs w:val="18"/>
                <w:color w:val="auto"/>
              </w:rPr>
            </w:pPr>
          </w:p>
        </w:tc>
        <w:tc>
          <w:tcPr>
            <w:tcW w:w="340" w:type="dxa"/>
            <w:vAlign w:val="bottom"/>
            <w:tcBorders>
              <w:bottom w:val="single" w:sz="8" w:color="0077C0"/>
            </w:tcBorders>
            <w:shd w:val="clear" w:color="auto" w:fill="E8EFF9"/>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21,207</w:t>
            </w:r>
          </w:p>
        </w:tc>
        <w:tc>
          <w:tcPr>
            <w:tcW w:w="560" w:type="dxa"/>
            <w:vAlign w:val="bottom"/>
            <w:tcBorders>
              <w:bottom w:val="single" w:sz="8" w:color="0077C0"/>
            </w:tcBorders>
            <w:shd w:val="clear" w:color="auto" w:fill="E8EFF9"/>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36,556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-3676650</wp:posOffset>
            </wp:positionV>
            <wp:extent cx="7132320" cy="75438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7543800"/>
                    </a:xfrm>
                    <a:prstGeom prst="rect">
                      <a:avLst/>
                    </a:prstGeom>
                    <a:noFill/>
                  </pic:spPr>
                </pic:pic>
              </a:graphicData>
            </a:graphic>
          </wp:anchor>
        </w:drawing>
      </w:r>
    </w:p>
    <w:p>
      <w:pPr>
        <w:ind w:left="240"/>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66" w:name="page67"/>
    <w:bookmarkEnd w:id="66"/>
    <w:tbl>
      <w:tblPr>
        <w:tblLayout w:type="fixed"/>
        <w:tblInd w:w="0" w:type="dxa"/>
        <w:tblCellMar>
          <w:top w:w="0" w:type="dxa"/>
          <w:left w:w="0" w:type="dxa"/>
          <w:bottom w:w="0" w:type="dxa"/>
          <w:right w:w="0" w:type="dxa"/>
        </w:tblCellMar>
      </w:tblPr>
      <w:tr>
        <w:trPr>
          <w:trHeight w:val="239"/>
        </w:trPr>
        <w:tc>
          <w:tcPr>
            <w:tcW w:w="8680" w:type="dxa"/>
            <w:vAlign w:val="bottom"/>
            <w:gridSpan w:val="4"/>
          </w:tcPr>
          <w:p>
            <w:pPr>
              <w:ind w:left="20"/>
              <w:spacing w:after="0"/>
              <w:rPr>
                <w:sz w:val="20"/>
                <w:szCs w:val="20"/>
                <w:color w:val="auto"/>
              </w:rPr>
            </w:pPr>
            <w:r>
              <w:rPr>
                <w:rFonts w:ascii="Arial" w:cs="Arial" w:eastAsia="Arial" w:hAnsi="Arial"/>
                <w:sz w:val="18"/>
                <w:szCs w:val="18"/>
                <w:color w:val="0077C0"/>
              </w:rPr>
              <w:t>Consolidated Balance Sheet</w:t>
            </w:r>
          </w:p>
        </w:tc>
        <w:tc>
          <w:tcPr>
            <w:tcW w:w="300" w:type="dxa"/>
            <w:vAlign w:val="bottom"/>
          </w:tcPr>
          <w:p>
            <w:pPr>
              <w:spacing w:after="0"/>
              <w:rPr>
                <w:sz w:val="20"/>
                <w:szCs w:val="20"/>
                <w:color w:val="auto"/>
              </w:rPr>
            </w:pPr>
          </w:p>
        </w:tc>
        <w:tc>
          <w:tcPr>
            <w:tcW w:w="2260" w:type="dxa"/>
            <w:vAlign w:val="bottom"/>
            <w:gridSpan w:val="6"/>
          </w:tcPr>
          <w:p>
            <w:pPr>
              <w:ind w:left="400"/>
              <w:spacing w:after="0"/>
              <w:rPr>
                <w:sz w:val="20"/>
                <w:szCs w:val="20"/>
                <w:color w:val="auto"/>
              </w:rPr>
            </w:pPr>
            <w:r>
              <w:rPr>
                <w:rFonts w:ascii="Arial" w:cs="Arial" w:eastAsia="Arial" w:hAnsi="Arial"/>
                <w:sz w:val="14"/>
                <w:szCs w:val="14"/>
                <w:color w:val="0077C0"/>
              </w:rPr>
              <w:t>Financial Table of Contents</w:t>
            </w:r>
          </w:p>
        </w:tc>
        <w:tc>
          <w:tcPr>
            <w:tcW w:w="0" w:type="dxa"/>
            <w:vAlign w:val="bottom"/>
          </w:tcPr>
          <w:p>
            <w:pPr>
              <w:spacing w:after="0"/>
              <w:rPr>
                <w:sz w:val="1"/>
                <w:szCs w:val="1"/>
                <w:color w:val="auto"/>
              </w:rPr>
            </w:pPr>
          </w:p>
        </w:tc>
      </w:tr>
      <w:tr>
        <w:trPr>
          <w:trHeight w:val="190"/>
        </w:trPr>
        <w:tc>
          <w:tcPr>
            <w:tcW w:w="8680" w:type="dxa"/>
            <w:vAlign w:val="bottom"/>
            <w:gridSpan w:val="4"/>
          </w:tcPr>
          <w:p>
            <w:pPr>
              <w:ind w:left="20"/>
              <w:spacing w:after="0"/>
              <w:rPr>
                <w:sz w:val="20"/>
                <w:szCs w:val="20"/>
                <w:color w:val="auto"/>
              </w:rPr>
            </w:pPr>
            <w:r>
              <w:rPr>
                <w:rFonts w:ascii="Arial" w:cs="Arial" w:eastAsia="Arial" w:hAnsi="Arial"/>
                <w:sz w:val="14"/>
                <w:szCs w:val="14"/>
                <w:color w:val="0077C0"/>
              </w:rPr>
              <w:t>Millions of dollars, except per-share amounts</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8"/>
        </w:trPr>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20" w:type="dxa"/>
            <w:vAlign w:val="bottom"/>
            <w:shd w:val="clear" w:color="auto" w:fill="E8EFF9"/>
          </w:tcPr>
          <w:p>
            <w:pPr>
              <w:spacing w:after="0"/>
              <w:rPr>
                <w:sz w:val="18"/>
                <w:szCs w:val="18"/>
                <w:color w:val="auto"/>
              </w:rPr>
            </w:pPr>
          </w:p>
        </w:tc>
        <w:tc>
          <w:tcPr>
            <w:tcW w:w="600" w:type="dxa"/>
            <w:vAlign w:val="bottom"/>
            <w:shd w:val="clear" w:color="auto" w:fill="E8EFF9"/>
          </w:tcPr>
          <w:p>
            <w:pPr>
              <w:spacing w:after="0"/>
              <w:rPr>
                <w:sz w:val="18"/>
                <w:szCs w:val="18"/>
                <w:color w:val="auto"/>
              </w:rPr>
            </w:pPr>
          </w:p>
        </w:tc>
        <w:tc>
          <w:tcPr>
            <w:tcW w:w="2780" w:type="dxa"/>
            <w:vAlign w:val="bottom"/>
            <w:shd w:val="clear" w:color="auto" w:fill="E8EFF9"/>
          </w:tcPr>
          <w:p>
            <w:pPr>
              <w:spacing w:after="0"/>
              <w:rPr>
                <w:sz w:val="18"/>
                <w:szCs w:val="18"/>
                <w:color w:val="auto"/>
              </w:rPr>
            </w:pPr>
          </w:p>
        </w:tc>
        <w:tc>
          <w:tcPr>
            <w:tcW w:w="5080" w:type="dxa"/>
            <w:vAlign w:val="bottom"/>
            <w:shd w:val="clear" w:color="auto" w:fill="E8EFF9"/>
          </w:tcPr>
          <w:p>
            <w:pPr>
              <w:spacing w:after="0"/>
              <w:rPr>
                <w:sz w:val="18"/>
                <w:szCs w:val="18"/>
                <w:color w:val="auto"/>
              </w:rPr>
            </w:pPr>
          </w:p>
        </w:tc>
        <w:tc>
          <w:tcPr>
            <w:tcW w:w="300" w:type="dxa"/>
            <w:vAlign w:val="bottom"/>
            <w:shd w:val="clear" w:color="auto" w:fill="E8EFF9"/>
          </w:tcPr>
          <w:p>
            <w:pPr>
              <w:spacing w:after="0"/>
              <w:rPr>
                <w:sz w:val="18"/>
                <w:szCs w:val="18"/>
                <w:color w:val="auto"/>
              </w:rPr>
            </w:pPr>
          </w:p>
        </w:tc>
        <w:tc>
          <w:tcPr>
            <w:tcW w:w="800" w:type="dxa"/>
            <w:vAlign w:val="bottom"/>
            <w:shd w:val="clear" w:color="auto" w:fill="E8EFF9"/>
          </w:tcPr>
          <w:p>
            <w:pPr>
              <w:spacing w:after="0"/>
              <w:rPr>
                <w:sz w:val="18"/>
                <w:szCs w:val="18"/>
                <w:color w:val="auto"/>
              </w:rPr>
            </w:pPr>
          </w:p>
        </w:tc>
        <w:tc>
          <w:tcPr>
            <w:tcW w:w="120" w:type="dxa"/>
            <w:vAlign w:val="bottom"/>
            <w:tcBorders>
              <w:right w:val="single" w:sz="8" w:color="E8EFF9"/>
            </w:tcBorders>
            <w:shd w:val="clear" w:color="auto" w:fill="E8EFF9"/>
          </w:tcPr>
          <w:p>
            <w:pPr>
              <w:spacing w:after="0"/>
              <w:rPr>
                <w:sz w:val="18"/>
                <w:szCs w:val="18"/>
                <w:color w:val="auto"/>
              </w:rPr>
            </w:pPr>
          </w:p>
        </w:tc>
        <w:tc>
          <w:tcPr>
            <w:tcW w:w="1340" w:type="dxa"/>
            <w:vAlign w:val="bottom"/>
            <w:gridSpan w:val="4"/>
            <w:shd w:val="clear" w:color="auto" w:fill="E8EFF9"/>
          </w:tcPr>
          <w:p>
            <w:pPr>
              <w:spacing w:after="0"/>
              <w:rPr>
                <w:sz w:val="20"/>
                <w:szCs w:val="20"/>
                <w:color w:val="auto"/>
              </w:rPr>
            </w:pPr>
            <w:r>
              <w:rPr>
                <w:rFonts w:ascii="Times New Roman" w:cs="Times New Roman" w:eastAsia="Times New Roman" w:hAnsi="Times New Roman"/>
                <w:sz w:val="16"/>
                <w:szCs w:val="16"/>
                <w:color w:val="auto"/>
              </w:rPr>
              <w:t>At December 31</w:t>
            </w:r>
          </w:p>
        </w:tc>
        <w:tc>
          <w:tcPr>
            <w:tcW w:w="0" w:type="dxa"/>
            <w:vAlign w:val="bottom"/>
          </w:tcPr>
          <w:p>
            <w:pPr>
              <w:spacing w:after="0"/>
              <w:rPr>
                <w:sz w:val="1"/>
                <w:szCs w:val="1"/>
                <w:color w:val="auto"/>
              </w:rPr>
            </w:pPr>
          </w:p>
        </w:tc>
      </w:tr>
      <w:tr>
        <w:trPr>
          <w:trHeight w:val="210"/>
        </w:trPr>
        <w:tc>
          <w:tcPr>
            <w:tcW w:w="220" w:type="dxa"/>
            <w:vAlign w:val="bottom"/>
            <w:tcBorders>
              <w:top w:val="single" w:sz="8" w:color="E8EFF9"/>
              <w:bottom w:val="single" w:sz="8" w:color="E8EFF9"/>
            </w:tcBorders>
            <w:shd w:val="clear" w:color="auto" w:fill="E8EFF9"/>
          </w:tcPr>
          <w:p>
            <w:pPr>
              <w:spacing w:after="0"/>
              <w:rPr>
                <w:sz w:val="18"/>
                <w:szCs w:val="18"/>
                <w:color w:val="auto"/>
              </w:rPr>
            </w:pPr>
          </w:p>
        </w:tc>
        <w:tc>
          <w:tcPr>
            <w:tcW w:w="600" w:type="dxa"/>
            <w:vAlign w:val="bottom"/>
            <w:tcBorders>
              <w:top w:val="single" w:sz="8" w:color="E8EFF9"/>
              <w:bottom w:val="single" w:sz="8" w:color="0077C0"/>
            </w:tcBorders>
            <w:shd w:val="clear" w:color="auto" w:fill="E8EFF9"/>
          </w:tcPr>
          <w:p>
            <w:pPr>
              <w:spacing w:after="0"/>
              <w:rPr>
                <w:sz w:val="18"/>
                <w:szCs w:val="18"/>
                <w:color w:val="auto"/>
              </w:rPr>
            </w:pPr>
          </w:p>
        </w:tc>
        <w:tc>
          <w:tcPr>
            <w:tcW w:w="2780" w:type="dxa"/>
            <w:vAlign w:val="bottom"/>
            <w:tcBorders>
              <w:top w:val="single" w:sz="8" w:color="E8EFF9"/>
              <w:bottom w:val="single" w:sz="8" w:color="0077C0"/>
            </w:tcBorders>
            <w:shd w:val="clear" w:color="auto" w:fill="E8EFF9"/>
          </w:tcPr>
          <w:p>
            <w:pPr>
              <w:spacing w:after="0"/>
              <w:rPr>
                <w:sz w:val="18"/>
                <w:szCs w:val="18"/>
                <w:color w:val="auto"/>
              </w:rPr>
            </w:pPr>
          </w:p>
        </w:tc>
        <w:tc>
          <w:tcPr>
            <w:tcW w:w="5080" w:type="dxa"/>
            <w:vAlign w:val="bottom"/>
            <w:tcBorders>
              <w:top w:val="single" w:sz="8" w:color="E8EFF9"/>
              <w:bottom w:val="single" w:sz="8" w:color="0077C0"/>
            </w:tcBorders>
            <w:shd w:val="clear" w:color="auto" w:fill="E8EFF9"/>
          </w:tcPr>
          <w:p>
            <w:pPr>
              <w:spacing w:after="0"/>
              <w:rPr>
                <w:sz w:val="18"/>
                <w:szCs w:val="18"/>
                <w:color w:val="auto"/>
              </w:rPr>
            </w:pPr>
          </w:p>
        </w:tc>
        <w:tc>
          <w:tcPr>
            <w:tcW w:w="300" w:type="dxa"/>
            <w:vAlign w:val="bottom"/>
            <w:tcBorders>
              <w:top w:val="single" w:sz="8" w:color="0077C0"/>
              <w:bottom w:val="single" w:sz="8" w:color="0077C0"/>
            </w:tcBorders>
            <w:shd w:val="clear" w:color="auto" w:fill="E8EFF9"/>
          </w:tcPr>
          <w:p>
            <w:pPr>
              <w:spacing w:after="0"/>
              <w:rPr>
                <w:sz w:val="18"/>
                <w:szCs w:val="18"/>
                <w:color w:val="auto"/>
              </w:rPr>
            </w:pPr>
          </w:p>
        </w:tc>
        <w:tc>
          <w:tcPr>
            <w:tcW w:w="800" w:type="dxa"/>
            <w:vAlign w:val="bottom"/>
            <w:tcBorders>
              <w:top w:val="single" w:sz="8" w:color="0077C0"/>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0077C0"/>
              <w:bottom w:val="single" w:sz="8" w:color="0077C0"/>
              <w:right w:val="single" w:sz="8" w:color="E8EFF9"/>
            </w:tcBorders>
            <w:shd w:val="clear" w:color="auto" w:fill="E8EFF9"/>
          </w:tcPr>
          <w:p>
            <w:pPr>
              <w:spacing w:after="0"/>
              <w:rPr>
                <w:sz w:val="18"/>
                <w:szCs w:val="18"/>
                <w:color w:val="auto"/>
              </w:rPr>
            </w:pPr>
          </w:p>
        </w:tc>
        <w:tc>
          <w:tcPr>
            <w:tcW w:w="300" w:type="dxa"/>
            <w:vAlign w:val="bottom"/>
            <w:tcBorders>
              <w:top w:val="single" w:sz="8" w:color="0077C0"/>
              <w:bottom w:val="single" w:sz="8" w:color="0077C0"/>
            </w:tcBorders>
            <w:shd w:val="clear" w:color="auto" w:fill="E8EFF9"/>
          </w:tcPr>
          <w:p>
            <w:pPr>
              <w:spacing w:after="0"/>
              <w:rPr>
                <w:sz w:val="18"/>
                <w:szCs w:val="18"/>
                <w:color w:val="auto"/>
              </w:rPr>
            </w:pPr>
          </w:p>
        </w:tc>
        <w:tc>
          <w:tcPr>
            <w:tcW w:w="800" w:type="dxa"/>
            <w:vAlign w:val="bottom"/>
            <w:tcBorders>
              <w:top w:val="single" w:sz="8" w:color="0077C0"/>
              <w:bottom w:val="single" w:sz="8" w:color="0077C0"/>
            </w:tcBorders>
            <w:gridSpan w:val="2"/>
            <w:shd w:val="clear" w:color="auto" w:fill="E8EFF9"/>
          </w:tcPr>
          <w:p>
            <w:pPr>
              <w:jc w:val="right"/>
              <w:ind w:right="20"/>
              <w:spacing w:after="0"/>
              <w:rPr>
                <w:sz w:val="20"/>
                <w:szCs w:val="20"/>
                <w:color w:val="auto"/>
              </w:rPr>
            </w:pPr>
            <w:r>
              <w:rPr>
                <w:rFonts w:ascii="Times New Roman" w:cs="Times New Roman" w:eastAsia="Times New Roman" w:hAnsi="Times New Roman"/>
                <w:sz w:val="16"/>
                <w:szCs w:val="16"/>
                <w:color w:val="auto"/>
              </w:rPr>
              <w:t>2023</w:t>
            </w:r>
          </w:p>
        </w:tc>
        <w:tc>
          <w:tcPr>
            <w:tcW w:w="240" w:type="dxa"/>
            <w:vAlign w:val="bottom"/>
            <w:tcBorders>
              <w:top w:val="single" w:sz="8" w:color="E8EFF9"/>
              <w:bottom w:val="single" w:sz="8" w:color="E8EFF9"/>
            </w:tcBorders>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20" w:type="dxa"/>
            <w:vAlign w:val="bottom"/>
            <w:shd w:val="clear" w:color="auto" w:fill="E8EFF9"/>
          </w:tcPr>
          <w:p>
            <w:pPr>
              <w:spacing w:after="0"/>
              <w:rPr>
                <w:sz w:val="18"/>
                <w:szCs w:val="18"/>
                <w:color w:val="auto"/>
              </w:rPr>
            </w:pPr>
          </w:p>
        </w:tc>
        <w:tc>
          <w:tcPr>
            <w:tcW w:w="8460" w:type="dxa"/>
            <w:vAlign w:val="bottom"/>
            <w:gridSpan w:val="3"/>
            <w:shd w:val="clear" w:color="auto" w:fill="E8EFF9"/>
          </w:tcPr>
          <w:p>
            <w:pPr>
              <w:ind w:left="20"/>
              <w:spacing w:after="0"/>
              <w:rPr>
                <w:sz w:val="20"/>
                <w:szCs w:val="20"/>
                <w:color w:val="auto"/>
              </w:rPr>
            </w:pPr>
            <w:r>
              <w:rPr>
                <w:rFonts w:ascii="Times New Roman" w:cs="Times New Roman" w:eastAsia="Times New Roman" w:hAnsi="Times New Roman"/>
                <w:sz w:val="16"/>
                <w:szCs w:val="16"/>
                <w:b w:val="1"/>
                <w:bCs w:val="1"/>
                <w:color w:val="0077C0"/>
              </w:rPr>
              <w:t>Assets</w:t>
            </w:r>
          </w:p>
        </w:tc>
        <w:tc>
          <w:tcPr>
            <w:tcW w:w="300" w:type="dxa"/>
            <w:vAlign w:val="bottom"/>
            <w:shd w:val="clear" w:color="auto" w:fill="E8EFF9"/>
          </w:tcPr>
          <w:p>
            <w:pPr>
              <w:spacing w:after="0"/>
              <w:rPr>
                <w:sz w:val="18"/>
                <w:szCs w:val="18"/>
                <w:color w:val="auto"/>
              </w:rPr>
            </w:pPr>
          </w:p>
        </w:tc>
        <w:tc>
          <w:tcPr>
            <w:tcW w:w="800" w:type="dxa"/>
            <w:vAlign w:val="bottom"/>
            <w:shd w:val="clear" w:color="auto" w:fill="E8EFF9"/>
          </w:tcPr>
          <w:p>
            <w:pPr>
              <w:spacing w:after="0"/>
              <w:rPr>
                <w:sz w:val="18"/>
                <w:szCs w:val="18"/>
                <w:color w:val="auto"/>
              </w:rPr>
            </w:pPr>
          </w:p>
        </w:tc>
        <w:tc>
          <w:tcPr>
            <w:tcW w:w="120" w:type="dxa"/>
            <w:vAlign w:val="bottom"/>
            <w:tcBorders>
              <w:right w:val="single" w:sz="8" w:color="0077C0"/>
            </w:tcBorders>
            <w:shd w:val="clear" w:color="auto" w:fill="E8EFF9"/>
          </w:tcPr>
          <w:p>
            <w:pPr>
              <w:spacing w:after="0"/>
              <w:rPr>
                <w:sz w:val="18"/>
                <w:szCs w:val="18"/>
                <w:color w:val="auto"/>
              </w:rPr>
            </w:pPr>
          </w:p>
        </w:tc>
        <w:tc>
          <w:tcPr>
            <w:tcW w:w="300" w:type="dxa"/>
            <w:vAlign w:val="bottom"/>
            <w:shd w:val="clear" w:color="auto" w:fill="E8EFF9"/>
          </w:tcPr>
          <w:p>
            <w:pPr>
              <w:spacing w:after="0"/>
              <w:rPr>
                <w:sz w:val="18"/>
                <w:szCs w:val="18"/>
                <w:color w:val="auto"/>
              </w:rPr>
            </w:pPr>
          </w:p>
        </w:tc>
        <w:tc>
          <w:tcPr>
            <w:tcW w:w="760" w:type="dxa"/>
            <w:vAlign w:val="bottom"/>
            <w:shd w:val="clear" w:color="auto" w:fill="E8EFF9"/>
          </w:tcPr>
          <w:p>
            <w:pPr>
              <w:spacing w:after="0"/>
              <w:rPr>
                <w:sz w:val="18"/>
                <w:szCs w:val="18"/>
                <w:color w:val="auto"/>
              </w:rPr>
            </w:pPr>
          </w:p>
        </w:tc>
        <w:tc>
          <w:tcPr>
            <w:tcW w:w="40" w:type="dxa"/>
            <w:vAlign w:val="bottom"/>
            <w:shd w:val="clear" w:color="auto" w:fill="E8EFF9"/>
          </w:tcPr>
          <w:p>
            <w:pPr>
              <w:spacing w:after="0"/>
              <w:rPr>
                <w:sz w:val="18"/>
                <w:szCs w:val="18"/>
                <w:color w:val="auto"/>
              </w:rPr>
            </w:pPr>
          </w:p>
        </w:tc>
        <w:tc>
          <w:tcPr>
            <w:tcW w:w="240" w:type="dxa"/>
            <w:vAlign w:val="bottom"/>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0" w:type="dxa"/>
            <w:vAlign w:val="bottom"/>
            <w:shd w:val="clear" w:color="auto" w:fill="E8EFF9"/>
          </w:tcPr>
          <w:p>
            <w:pPr>
              <w:spacing w:after="0"/>
              <w:rPr>
                <w:sz w:val="18"/>
                <w:szCs w:val="18"/>
                <w:color w:val="auto"/>
              </w:rPr>
            </w:pPr>
          </w:p>
        </w:tc>
        <w:tc>
          <w:tcPr>
            <w:tcW w:w="8460" w:type="dxa"/>
            <w:vAlign w:val="bottom"/>
            <w:gridSpan w:val="3"/>
            <w:shd w:val="clear" w:color="auto" w:fill="E8EFF9"/>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E8EFF9"/>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6,781</w:t>
            </w:r>
          </w:p>
        </w:tc>
        <w:tc>
          <w:tcPr>
            <w:tcW w:w="120" w:type="dxa"/>
            <w:vAlign w:val="bottom"/>
            <w:tcBorders>
              <w:right w:val="single" w:sz="8" w:color="0077C0"/>
            </w:tcBorders>
            <w:shd w:val="clear" w:color="auto" w:fill="E8EFF9"/>
          </w:tcPr>
          <w:p>
            <w:pPr>
              <w:spacing w:after="0"/>
              <w:rPr>
                <w:sz w:val="18"/>
                <w:szCs w:val="18"/>
                <w:color w:val="auto"/>
              </w:rPr>
            </w:pPr>
          </w:p>
        </w:tc>
        <w:tc>
          <w:tcPr>
            <w:tcW w:w="300" w:type="dxa"/>
            <w:vAlign w:val="bottom"/>
            <w:shd w:val="clear" w:color="auto" w:fill="E8EFF9"/>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8,178</w:t>
            </w:r>
          </w:p>
        </w:tc>
        <w:tc>
          <w:tcPr>
            <w:tcW w:w="40" w:type="dxa"/>
            <w:vAlign w:val="bottom"/>
            <w:shd w:val="clear" w:color="auto" w:fill="E8EFF9"/>
          </w:tcPr>
          <w:p>
            <w:pPr>
              <w:spacing w:after="0"/>
              <w:rPr>
                <w:sz w:val="18"/>
                <w:szCs w:val="18"/>
                <w:color w:val="auto"/>
              </w:rPr>
            </w:pPr>
          </w:p>
        </w:tc>
        <w:tc>
          <w:tcPr>
            <w:tcW w:w="240" w:type="dxa"/>
            <w:vAlign w:val="bottom"/>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shd w:val="clear" w:color="auto" w:fill="E8EFF9"/>
          </w:tcPr>
          <w:p>
            <w:pPr>
              <w:spacing w:after="0"/>
              <w:rPr>
                <w:sz w:val="18"/>
                <w:szCs w:val="18"/>
                <w:color w:val="auto"/>
              </w:rPr>
            </w:pPr>
          </w:p>
        </w:tc>
        <w:tc>
          <w:tcPr>
            <w:tcW w:w="8460" w:type="dxa"/>
            <w:vAlign w:val="bottom"/>
            <w:gridSpan w:val="3"/>
            <w:shd w:val="clear" w:color="auto" w:fill="E8EFF9"/>
          </w:tcPr>
          <w:p>
            <w:pPr>
              <w:ind w:left="140"/>
              <w:spacing w:after="0"/>
              <w:rPr>
                <w:sz w:val="20"/>
                <w:szCs w:val="20"/>
                <w:color w:val="auto"/>
              </w:rPr>
            </w:pPr>
            <w:r>
              <w:rPr>
                <w:rFonts w:ascii="Times New Roman" w:cs="Times New Roman" w:eastAsia="Times New Roman" w:hAnsi="Times New Roman"/>
                <w:sz w:val="16"/>
                <w:szCs w:val="16"/>
                <w:color w:val="auto"/>
              </w:rPr>
              <w:t>Time deposits</w:t>
            </w:r>
          </w:p>
        </w:tc>
        <w:tc>
          <w:tcPr>
            <w:tcW w:w="300" w:type="dxa"/>
            <w:vAlign w:val="bottom"/>
            <w:shd w:val="clear" w:color="auto" w:fill="E8EFF9"/>
          </w:tcPr>
          <w:p>
            <w:pPr>
              <w:spacing w:after="0"/>
              <w:rPr>
                <w:sz w:val="18"/>
                <w:szCs w:val="18"/>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120" w:type="dxa"/>
            <w:vAlign w:val="bottom"/>
            <w:tcBorders>
              <w:right w:val="single" w:sz="8" w:color="0077C0"/>
            </w:tcBorders>
            <w:shd w:val="clear" w:color="auto" w:fill="E8EFF9"/>
          </w:tcPr>
          <w:p>
            <w:pPr>
              <w:spacing w:after="0"/>
              <w:rPr>
                <w:sz w:val="18"/>
                <w:szCs w:val="18"/>
                <w:color w:val="auto"/>
              </w:rPr>
            </w:pPr>
          </w:p>
        </w:tc>
        <w:tc>
          <w:tcPr>
            <w:tcW w:w="300" w:type="dxa"/>
            <w:vAlign w:val="bottom"/>
            <w:shd w:val="clear" w:color="auto" w:fill="E8EFF9"/>
          </w:tcPr>
          <w:p>
            <w:pPr>
              <w:spacing w:after="0"/>
              <w:rPr>
                <w:sz w:val="18"/>
                <w:szCs w:val="18"/>
                <w:color w:val="auto"/>
              </w:rPr>
            </w:pPr>
          </w:p>
        </w:tc>
        <w:tc>
          <w:tcPr>
            <w:tcW w:w="1040" w:type="dxa"/>
            <w:vAlign w:val="bottom"/>
            <w:gridSpan w:val="3"/>
            <w:shd w:val="clear" w:color="auto" w:fill="E8EFF9"/>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20" w:type="dxa"/>
            <w:vAlign w:val="bottom"/>
            <w:shd w:val="clear" w:color="auto" w:fill="E8EFF9"/>
          </w:tcPr>
          <w:p>
            <w:pPr>
              <w:spacing w:after="0"/>
              <w:rPr>
                <w:sz w:val="18"/>
                <w:szCs w:val="18"/>
                <w:color w:val="auto"/>
              </w:rPr>
            </w:pPr>
          </w:p>
        </w:tc>
        <w:tc>
          <w:tcPr>
            <w:tcW w:w="8460" w:type="dxa"/>
            <w:vAlign w:val="bottom"/>
            <w:gridSpan w:val="3"/>
            <w:shd w:val="clear" w:color="auto" w:fill="E8EFF9"/>
          </w:tcPr>
          <w:p>
            <w:pPr>
              <w:ind w:left="140"/>
              <w:spacing w:after="0"/>
              <w:rPr>
                <w:sz w:val="20"/>
                <w:szCs w:val="20"/>
                <w:color w:val="auto"/>
              </w:rPr>
            </w:pPr>
            <w:r>
              <w:rPr>
                <w:rFonts w:ascii="Times New Roman" w:cs="Times New Roman" w:eastAsia="Times New Roman" w:hAnsi="Times New Roman"/>
                <w:sz w:val="16"/>
                <w:szCs w:val="16"/>
                <w:color w:val="auto"/>
              </w:rPr>
              <w:t>Marketable securities</w:t>
            </w:r>
          </w:p>
        </w:tc>
        <w:tc>
          <w:tcPr>
            <w:tcW w:w="300" w:type="dxa"/>
            <w:vAlign w:val="bottom"/>
            <w:shd w:val="clear" w:color="auto" w:fill="E8EFF9"/>
          </w:tcPr>
          <w:p>
            <w:pPr>
              <w:spacing w:after="0"/>
              <w:rPr>
                <w:sz w:val="18"/>
                <w:szCs w:val="18"/>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right w:val="single" w:sz="8" w:color="0077C0"/>
            </w:tcBorders>
            <w:shd w:val="clear" w:color="auto" w:fill="E8EFF9"/>
          </w:tcPr>
          <w:p>
            <w:pPr>
              <w:spacing w:after="0"/>
              <w:rPr>
                <w:sz w:val="18"/>
                <w:szCs w:val="18"/>
                <w:color w:val="auto"/>
              </w:rPr>
            </w:pPr>
          </w:p>
        </w:tc>
        <w:tc>
          <w:tcPr>
            <w:tcW w:w="300" w:type="dxa"/>
            <w:vAlign w:val="bottom"/>
            <w:shd w:val="clear" w:color="auto" w:fill="E8EFF9"/>
          </w:tcPr>
          <w:p>
            <w:pPr>
              <w:spacing w:after="0"/>
              <w:rPr>
                <w:sz w:val="18"/>
                <w:szCs w:val="18"/>
                <w:color w:val="auto"/>
              </w:rPr>
            </w:pPr>
          </w:p>
        </w:tc>
        <w:tc>
          <w:tcPr>
            <w:tcW w:w="7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40" w:type="dxa"/>
            <w:vAlign w:val="bottom"/>
            <w:shd w:val="clear" w:color="auto" w:fill="E8EFF9"/>
          </w:tcPr>
          <w:p>
            <w:pPr>
              <w:spacing w:after="0"/>
              <w:rPr>
                <w:sz w:val="18"/>
                <w:szCs w:val="18"/>
                <w:color w:val="auto"/>
              </w:rPr>
            </w:pPr>
          </w:p>
        </w:tc>
        <w:tc>
          <w:tcPr>
            <w:tcW w:w="240" w:type="dxa"/>
            <w:vAlign w:val="bottom"/>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shd w:val="clear" w:color="auto" w:fill="E8EFF9"/>
          </w:tcPr>
          <w:p>
            <w:pPr>
              <w:spacing w:after="0"/>
              <w:rPr>
                <w:sz w:val="18"/>
                <w:szCs w:val="18"/>
                <w:color w:val="auto"/>
              </w:rPr>
            </w:pPr>
          </w:p>
        </w:tc>
        <w:tc>
          <w:tcPr>
            <w:tcW w:w="8460" w:type="dxa"/>
            <w:vAlign w:val="bottom"/>
            <w:gridSpan w:val="3"/>
            <w:shd w:val="clear" w:color="auto" w:fill="E8EFF9"/>
          </w:tcPr>
          <w:p>
            <w:pPr>
              <w:ind w:left="140"/>
              <w:spacing w:after="0"/>
              <w:rPr>
                <w:sz w:val="20"/>
                <w:szCs w:val="20"/>
                <w:color w:val="auto"/>
              </w:rPr>
            </w:pPr>
            <w:r>
              <w:rPr>
                <w:rFonts w:ascii="Times New Roman" w:cs="Times New Roman" w:eastAsia="Times New Roman" w:hAnsi="Times New Roman"/>
                <w:sz w:val="16"/>
                <w:szCs w:val="16"/>
                <w:color w:val="auto"/>
              </w:rPr>
              <w:t>Accounts and notes receivable (less allowance: 2024 - $259; 2023 - $301)</w:t>
            </w:r>
          </w:p>
        </w:tc>
        <w:tc>
          <w:tcPr>
            <w:tcW w:w="300" w:type="dxa"/>
            <w:vAlign w:val="bottom"/>
            <w:shd w:val="clear" w:color="auto" w:fill="E8EFF9"/>
          </w:tcPr>
          <w:p>
            <w:pPr>
              <w:spacing w:after="0"/>
              <w:rPr>
                <w:sz w:val="18"/>
                <w:szCs w:val="18"/>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20,684</w:t>
            </w:r>
          </w:p>
        </w:tc>
        <w:tc>
          <w:tcPr>
            <w:tcW w:w="120" w:type="dxa"/>
            <w:vAlign w:val="bottom"/>
            <w:tcBorders>
              <w:right w:val="single" w:sz="8" w:color="0077C0"/>
            </w:tcBorders>
            <w:shd w:val="clear" w:color="auto" w:fill="E8EFF9"/>
          </w:tcPr>
          <w:p>
            <w:pPr>
              <w:spacing w:after="0"/>
              <w:rPr>
                <w:sz w:val="18"/>
                <w:szCs w:val="18"/>
                <w:color w:val="auto"/>
              </w:rPr>
            </w:pPr>
          </w:p>
        </w:tc>
        <w:tc>
          <w:tcPr>
            <w:tcW w:w="300" w:type="dxa"/>
            <w:vAlign w:val="bottom"/>
            <w:shd w:val="clear" w:color="auto" w:fill="E8EFF9"/>
          </w:tcPr>
          <w:p>
            <w:pPr>
              <w:spacing w:after="0"/>
              <w:rPr>
                <w:sz w:val="18"/>
                <w:szCs w:val="18"/>
                <w:color w:val="auto"/>
              </w:rPr>
            </w:pPr>
          </w:p>
        </w:tc>
        <w:tc>
          <w:tcPr>
            <w:tcW w:w="7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19,921</w:t>
            </w:r>
          </w:p>
        </w:tc>
        <w:tc>
          <w:tcPr>
            <w:tcW w:w="40" w:type="dxa"/>
            <w:vAlign w:val="bottom"/>
            <w:shd w:val="clear" w:color="auto" w:fill="E8EFF9"/>
          </w:tcPr>
          <w:p>
            <w:pPr>
              <w:spacing w:after="0"/>
              <w:rPr>
                <w:sz w:val="18"/>
                <w:szCs w:val="18"/>
                <w:color w:val="auto"/>
              </w:rPr>
            </w:pPr>
          </w:p>
        </w:tc>
        <w:tc>
          <w:tcPr>
            <w:tcW w:w="240" w:type="dxa"/>
            <w:vAlign w:val="bottom"/>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shd w:val="clear" w:color="auto" w:fill="E8EFF9"/>
          </w:tcPr>
          <w:p>
            <w:pPr>
              <w:spacing w:after="0"/>
              <w:rPr>
                <w:sz w:val="18"/>
                <w:szCs w:val="18"/>
                <w:color w:val="auto"/>
              </w:rPr>
            </w:pPr>
          </w:p>
        </w:tc>
        <w:tc>
          <w:tcPr>
            <w:tcW w:w="8460" w:type="dxa"/>
            <w:vAlign w:val="bottom"/>
            <w:gridSpan w:val="3"/>
            <w:shd w:val="clear" w:color="auto" w:fill="E8EFF9"/>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shd w:val="clear" w:color="auto" w:fill="E8EFF9"/>
          </w:tcPr>
          <w:p>
            <w:pPr>
              <w:spacing w:after="0"/>
              <w:rPr>
                <w:sz w:val="18"/>
                <w:szCs w:val="18"/>
                <w:color w:val="auto"/>
              </w:rPr>
            </w:pPr>
          </w:p>
        </w:tc>
        <w:tc>
          <w:tcPr>
            <w:tcW w:w="800" w:type="dxa"/>
            <w:vAlign w:val="bottom"/>
            <w:vMerge w:val="restart"/>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6,490</w:t>
            </w:r>
          </w:p>
        </w:tc>
        <w:tc>
          <w:tcPr>
            <w:tcW w:w="120" w:type="dxa"/>
            <w:vAlign w:val="bottom"/>
            <w:tcBorders>
              <w:right w:val="single" w:sz="8" w:color="0077C0"/>
            </w:tcBorders>
            <w:shd w:val="clear" w:color="auto" w:fill="E8EFF9"/>
          </w:tcPr>
          <w:p>
            <w:pPr>
              <w:spacing w:after="0"/>
              <w:rPr>
                <w:sz w:val="18"/>
                <w:szCs w:val="18"/>
                <w:color w:val="auto"/>
              </w:rPr>
            </w:pPr>
          </w:p>
        </w:tc>
        <w:tc>
          <w:tcPr>
            <w:tcW w:w="300" w:type="dxa"/>
            <w:vAlign w:val="bottom"/>
            <w:shd w:val="clear" w:color="auto" w:fill="E8EFF9"/>
          </w:tcPr>
          <w:p>
            <w:pPr>
              <w:spacing w:after="0"/>
              <w:rPr>
                <w:sz w:val="18"/>
                <w:szCs w:val="18"/>
                <w:color w:val="auto"/>
              </w:rPr>
            </w:pPr>
          </w:p>
        </w:tc>
        <w:tc>
          <w:tcPr>
            <w:tcW w:w="760" w:type="dxa"/>
            <w:vAlign w:val="bottom"/>
            <w:shd w:val="clear" w:color="auto" w:fill="E8EFF9"/>
          </w:tcPr>
          <w:p>
            <w:pPr>
              <w:spacing w:after="0"/>
              <w:rPr>
                <w:sz w:val="18"/>
                <w:szCs w:val="18"/>
                <w:color w:val="auto"/>
              </w:rPr>
            </w:pPr>
          </w:p>
        </w:tc>
        <w:tc>
          <w:tcPr>
            <w:tcW w:w="40" w:type="dxa"/>
            <w:vAlign w:val="bottom"/>
            <w:shd w:val="clear" w:color="auto" w:fill="E8EFF9"/>
          </w:tcPr>
          <w:p>
            <w:pPr>
              <w:spacing w:after="0"/>
              <w:rPr>
                <w:sz w:val="18"/>
                <w:szCs w:val="18"/>
                <w:color w:val="auto"/>
              </w:rPr>
            </w:pPr>
          </w:p>
        </w:tc>
        <w:tc>
          <w:tcPr>
            <w:tcW w:w="240" w:type="dxa"/>
            <w:vAlign w:val="bottom"/>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shd w:val="clear" w:color="auto" w:fill="E8EFF9"/>
          </w:tcPr>
          <w:p>
            <w:pPr>
              <w:spacing w:after="0"/>
              <w:rPr>
                <w:sz w:val="18"/>
                <w:szCs w:val="18"/>
                <w:color w:val="auto"/>
              </w:rPr>
            </w:pPr>
          </w:p>
        </w:tc>
        <w:tc>
          <w:tcPr>
            <w:tcW w:w="8460" w:type="dxa"/>
            <w:vAlign w:val="bottom"/>
            <w:gridSpan w:val="3"/>
            <w:shd w:val="clear" w:color="auto" w:fill="E8EFF9"/>
          </w:tcPr>
          <w:p>
            <w:pPr>
              <w:ind w:left="220"/>
              <w:spacing w:after="0"/>
              <w:rPr>
                <w:sz w:val="20"/>
                <w:szCs w:val="20"/>
                <w:color w:val="auto"/>
              </w:rPr>
            </w:pPr>
            <w:r>
              <w:rPr>
                <w:rFonts w:ascii="Times New Roman" w:cs="Times New Roman" w:eastAsia="Times New Roman" w:hAnsi="Times New Roman"/>
                <w:sz w:val="16"/>
                <w:szCs w:val="16"/>
                <w:color w:val="auto"/>
              </w:rPr>
              <w:t>Crude oil and products</w:t>
            </w:r>
          </w:p>
        </w:tc>
        <w:tc>
          <w:tcPr>
            <w:tcW w:w="300" w:type="dxa"/>
            <w:vAlign w:val="bottom"/>
            <w:shd w:val="clear" w:color="auto" w:fill="E8EFF9"/>
          </w:tcPr>
          <w:p>
            <w:pPr>
              <w:spacing w:after="0"/>
              <w:rPr>
                <w:sz w:val="18"/>
                <w:szCs w:val="18"/>
                <w:color w:val="auto"/>
              </w:rPr>
            </w:pPr>
          </w:p>
        </w:tc>
        <w:tc>
          <w:tcPr>
            <w:tcW w:w="800" w:type="dxa"/>
            <w:vAlign w:val="bottom"/>
            <w:vMerge w:val="continue"/>
            <w:shd w:val="clear" w:color="auto" w:fill="E8EFF9"/>
          </w:tcPr>
          <w:p>
            <w:pPr>
              <w:spacing w:after="0"/>
              <w:rPr>
                <w:sz w:val="18"/>
                <w:szCs w:val="18"/>
                <w:color w:val="auto"/>
              </w:rPr>
            </w:pPr>
          </w:p>
        </w:tc>
        <w:tc>
          <w:tcPr>
            <w:tcW w:w="120" w:type="dxa"/>
            <w:vAlign w:val="bottom"/>
            <w:tcBorders>
              <w:right w:val="single" w:sz="8" w:color="0077C0"/>
            </w:tcBorders>
            <w:shd w:val="clear" w:color="auto" w:fill="E8EFF9"/>
          </w:tcPr>
          <w:p>
            <w:pPr>
              <w:spacing w:after="0"/>
              <w:rPr>
                <w:sz w:val="18"/>
                <w:szCs w:val="18"/>
                <w:color w:val="auto"/>
              </w:rPr>
            </w:pPr>
          </w:p>
        </w:tc>
        <w:tc>
          <w:tcPr>
            <w:tcW w:w="300" w:type="dxa"/>
            <w:vAlign w:val="bottom"/>
            <w:shd w:val="clear" w:color="auto" w:fill="E8EFF9"/>
          </w:tcPr>
          <w:p>
            <w:pPr>
              <w:spacing w:after="0"/>
              <w:rPr>
                <w:sz w:val="18"/>
                <w:szCs w:val="18"/>
                <w:color w:val="auto"/>
              </w:rPr>
            </w:pPr>
          </w:p>
        </w:tc>
        <w:tc>
          <w:tcPr>
            <w:tcW w:w="7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6,059</w:t>
            </w:r>
          </w:p>
        </w:tc>
        <w:tc>
          <w:tcPr>
            <w:tcW w:w="40" w:type="dxa"/>
            <w:vAlign w:val="bottom"/>
            <w:shd w:val="clear" w:color="auto" w:fill="E8EFF9"/>
          </w:tcPr>
          <w:p>
            <w:pPr>
              <w:spacing w:after="0"/>
              <w:rPr>
                <w:sz w:val="18"/>
                <w:szCs w:val="18"/>
                <w:color w:val="auto"/>
              </w:rPr>
            </w:pPr>
          </w:p>
        </w:tc>
        <w:tc>
          <w:tcPr>
            <w:tcW w:w="240" w:type="dxa"/>
            <w:vAlign w:val="bottom"/>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shd w:val="clear" w:color="auto" w:fill="E8EFF9"/>
          </w:tcPr>
          <w:p>
            <w:pPr>
              <w:spacing w:after="0"/>
              <w:rPr>
                <w:sz w:val="18"/>
                <w:szCs w:val="18"/>
                <w:color w:val="auto"/>
              </w:rPr>
            </w:pPr>
          </w:p>
        </w:tc>
        <w:tc>
          <w:tcPr>
            <w:tcW w:w="8460" w:type="dxa"/>
            <w:vAlign w:val="bottom"/>
            <w:gridSpan w:val="3"/>
            <w:shd w:val="clear" w:color="auto" w:fill="E8EFF9"/>
          </w:tcPr>
          <w:p>
            <w:pPr>
              <w:ind w:left="220"/>
              <w:spacing w:after="0"/>
              <w:rPr>
                <w:sz w:val="20"/>
                <w:szCs w:val="20"/>
                <w:color w:val="auto"/>
              </w:rPr>
            </w:pPr>
            <w:r>
              <w:rPr>
                <w:rFonts w:ascii="Times New Roman" w:cs="Times New Roman" w:eastAsia="Times New Roman" w:hAnsi="Times New Roman"/>
                <w:sz w:val="16"/>
                <w:szCs w:val="16"/>
                <w:color w:val="auto"/>
              </w:rPr>
              <w:t>Chemicals</w:t>
            </w:r>
          </w:p>
        </w:tc>
        <w:tc>
          <w:tcPr>
            <w:tcW w:w="300" w:type="dxa"/>
            <w:vAlign w:val="bottom"/>
            <w:shd w:val="clear" w:color="auto" w:fill="E8EFF9"/>
          </w:tcPr>
          <w:p>
            <w:pPr>
              <w:spacing w:after="0"/>
              <w:rPr>
                <w:sz w:val="18"/>
                <w:szCs w:val="18"/>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502</w:t>
            </w:r>
          </w:p>
        </w:tc>
        <w:tc>
          <w:tcPr>
            <w:tcW w:w="120" w:type="dxa"/>
            <w:vAlign w:val="bottom"/>
            <w:tcBorders>
              <w:right w:val="single" w:sz="8" w:color="0077C0"/>
            </w:tcBorders>
            <w:shd w:val="clear" w:color="auto" w:fill="E8EFF9"/>
          </w:tcPr>
          <w:p>
            <w:pPr>
              <w:spacing w:after="0"/>
              <w:rPr>
                <w:sz w:val="18"/>
                <w:szCs w:val="18"/>
                <w:color w:val="auto"/>
              </w:rPr>
            </w:pPr>
          </w:p>
        </w:tc>
        <w:tc>
          <w:tcPr>
            <w:tcW w:w="300" w:type="dxa"/>
            <w:vAlign w:val="bottom"/>
            <w:shd w:val="clear" w:color="auto" w:fill="E8EFF9"/>
          </w:tcPr>
          <w:p>
            <w:pPr>
              <w:spacing w:after="0"/>
              <w:rPr>
                <w:sz w:val="18"/>
                <w:szCs w:val="18"/>
                <w:color w:val="auto"/>
              </w:rPr>
            </w:pPr>
          </w:p>
        </w:tc>
        <w:tc>
          <w:tcPr>
            <w:tcW w:w="7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40" w:type="dxa"/>
            <w:vAlign w:val="bottom"/>
            <w:shd w:val="clear" w:color="auto" w:fill="E8EFF9"/>
          </w:tcPr>
          <w:p>
            <w:pPr>
              <w:spacing w:after="0"/>
              <w:rPr>
                <w:sz w:val="18"/>
                <w:szCs w:val="18"/>
                <w:color w:val="auto"/>
              </w:rPr>
            </w:pPr>
          </w:p>
        </w:tc>
        <w:tc>
          <w:tcPr>
            <w:tcW w:w="240" w:type="dxa"/>
            <w:vAlign w:val="bottom"/>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Borders>
              <w:bottom w:val="single" w:sz="8" w:color="E8EFF9"/>
            </w:tcBorders>
            <w:shd w:val="clear" w:color="auto" w:fill="E8EFF9"/>
          </w:tcPr>
          <w:p>
            <w:pPr>
              <w:spacing w:after="0"/>
              <w:rPr>
                <w:sz w:val="18"/>
                <w:szCs w:val="18"/>
                <w:color w:val="auto"/>
              </w:rPr>
            </w:pPr>
          </w:p>
        </w:tc>
        <w:tc>
          <w:tcPr>
            <w:tcW w:w="8460" w:type="dxa"/>
            <w:vAlign w:val="bottom"/>
            <w:tcBorders>
              <w:bottom w:val="single" w:sz="8" w:color="E8EFF9"/>
            </w:tcBorders>
            <w:gridSpan w:val="3"/>
            <w:shd w:val="clear" w:color="auto" w:fill="E8EFF9"/>
          </w:tcPr>
          <w:p>
            <w:pPr>
              <w:ind w:left="220"/>
              <w:spacing w:after="0"/>
              <w:rPr>
                <w:sz w:val="20"/>
                <w:szCs w:val="20"/>
                <w:color w:val="auto"/>
              </w:rPr>
            </w:pPr>
            <w:r>
              <w:rPr>
                <w:rFonts w:ascii="Times New Roman" w:cs="Times New Roman" w:eastAsia="Times New Roman" w:hAnsi="Times New Roman"/>
                <w:sz w:val="16"/>
                <w:szCs w:val="16"/>
                <w:color w:val="auto"/>
              </w:rPr>
              <w:t>Materials, supplies and other</w:t>
            </w:r>
          </w:p>
        </w:tc>
        <w:tc>
          <w:tcPr>
            <w:tcW w:w="300" w:type="dxa"/>
            <w:vAlign w:val="bottom"/>
            <w:tcBorders>
              <w:bottom w:val="single" w:sz="8" w:color="0077C0"/>
            </w:tcBorders>
            <w:shd w:val="clear" w:color="auto" w:fill="E8EFF9"/>
          </w:tcPr>
          <w:p>
            <w:pPr>
              <w:spacing w:after="0"/>
              <w:rPr>
                <w:sz w:val="18"/>
                <w:szCs w:val="18"/>
                <w:color w:val="auto"/>
              </w:rPr>
            </w:pPr>
          </w:p>
        </w:tc>
        <w:tc>
          <w:tcPr>
            <w:tcW w:w="8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2,082</w:t>
            </w:r>
          </w:p>
        </w:tc>
        <w:tc>
          <w:tcPr>
            <w:tcW w:w="120" w:type="dxa"/>
            <w:vAlign w:val="bottom"/>
            <w:tcBorders>
              <w:bottom w:val="single" w:sz="8" w:color="0077C0"/>
              <w:right w:val="single" w:sz="8" w:color="0077C0"/>
            </w:tcBorders>
            <w:shd w:val="clear" w:color="auto" w:fill="E8EFF9"/>
          </w:tcPr>
          <w:p>
            <w:pPr>
              <w:spacing w:after="0"/>
              <w:rPr>
                <w:sz w:val="18"/>
                <w:szCs w:val="18"/>
                <w:color w:val="auto"/>
              </w:rPr>
            </w:pPr>
          </w:p>
        </w:tc>
        <w:tc>
          <w:tcPr>
            <w:tcW w:w="300" w:type="dxa"/>
            <w:vAlign w:val="bottom"/>
            <w:tcBorders>
              <w:bottom w:val="single" w:sz="8" w:color="0077C0"/>
            </w:tcBorders>
            <w:shd w:val="clear" w:color="auto" w:fill="E8EFF9"/>
          </w:tcPr>
          <w:p>
            <w:pPr>
              <w:spacing w:after="0"/>
              <w:rPr>
                <w:sz w:val="18"/>
                <w:szCs w:val="18"/>
                <w:color w:val="auto"/>
              </w:rPr>
            </w:pPr>
          </w:p>
        </w:tc>
        <w:tc>
          <w:tcPr>
            <w:tcW w:w="76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2,147</w:t>
            </w:r>
          </w:p>
        </w:tc>
        <w:tc>
          <w:tcPr>
            <w:tcW w:w="40" w:type="dxa"/>
            <w:vAlign w:val="bottom"/>
            <w:tcBorders>
              <w:bottom w:val="single" w:sz="8" w:color="0077C0"/>
            </w:tcBorders>
            <w:shd w:val="clear" w:color="auto" w:fill="E8EFF9"/>
          </w:tcPr>
          <w:p>
            <w:pPr>
              <w:spacing w:after="0"/>
              <w:rPr>
                <w:sz w:val="18"/>
                <w:szCs w:val="18"/>
                <w:color w:val="auto"/>
              </w:rPr>
            </w:pPr>
          </w:p>
        </w:tc>
        <w:tc>
          <w:tcPr>
            <w:tcW w:w="240" w:type="dxa"/>
            <w:vAlign w:val="bottom"/>
            <w:tcBorders>
              <w:bottom w:val="single" w:sz="8" w:color="E8EFF9"/>
            </w:tcBorders>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0" w:type="dxa"/>
            <w:vAlign w:val="bottom"/>
            <w:shd w:val="clear" w:color="auto" w:fill="E8EFF9"/>
          </w:tcPr>
          <w:p>
            <w:pPr>
              <w:spacing w:after="0"/>
              <w:rPr>
                <w:sz w:val="18"/>
                <w:szCs w:val="18"/>
                <w:color w:val="auto"/>
              </w:rPr>
            </w:pPr>
          </w:p>
        </w:tc>
        <w:tc>
          <w:tcPr>
            <w:tcW w:w="8460" w:type="dxa"/>
            <w:vAlign w:val="bottom"/>
            <w:gridSpan w:val="3"/>
            <w:shd w:val="clear" w:color="auto" w:fill="E8EFF9"/>
          </w:tcPr>
          <w:p>
            <w:pPr>
              <w:ind w:left="340"/>
              <w:spacing w:after="0"/>
              <w:rPr>
                <w:sz w:val="20"/>
                <w:szCs w:val="20"/>
                <w:color w:val="auto"/>
              </w:rPr>
            </w:pPr>
            <w:r>
              <w:rPr>
                <w:rFonts w:ascii="Times New Roman" w:cs="Times New Roman" w:eastAsia="Times New Roman" w:hAnsi="Times New Roman"/>
                <w:sz w:val="16"/>
                <w:szCs w:val="16"/>
                <w:color w:val="auto"/>
              </w:rPr>
              <w:t>Total inventories</w:t>
            </w:r>
          </w:p>
        </w:tc>
        <w:tc>
          <w:tcPr>
            <w:tcW w:w="300" w:type="dxa"/>
            <w:vAlign w:val="bottom"/>
            <w:shd w:val="clear" w:color="auto" w:fill="E8EFF9"/>
          </w:tcPr>
          <w:p>
            <w:pPr>
              <w:spacing w:after="0"/>
              <w:rPr>
                <w:sz w:val="18"/>
                <w:szCs w:val="18"/>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9,074</w:t>
            </w:r>
          </w:p>
        </w:tc>
        <w:tc>
          <w:tcPr>
            <w:tcW w:w="120" w:type="dxa"/>
            <w:vAlign w:val="bottom"/>
            <w:tcBorders>
              <w:right w:val="single" w:sz="8" w:color="0077C0"/>
            </w:tcBorders>
            <w:shd w:val="clear" w:color="auto" w:fill="E8EFF9"/>
          </w:tcPr>
          <w:p>
            <w:pPr>
              <w:spacing w:after="0"/>
              <w:rPr>
                <w:sz w:val="18"/>
                <w:szCs w:val="18"/>
                <w:color w:val="auto"/>
              </w:rPr>
            </w:pPr>
          </w:p>
        </w:tc>
        <w:tc>
          <w:tcPr>
            <w:tcW w:w="300" w:type="dxa"/>
            <w:vAlign w:val="bottom"/>
            <w:shd w:val="clear" w:color="auto" w:fill="E8EFF9"/>
          </w:tcPr>
          <w:p>
            <w:pPr>
              <w:spacing w:after="0"/>
              <w:rPr>
                <w:sz w:val="18"/>
                <w:szCs w:val="18"/>
                <w:color w:val="auto"/>
              </w:rPr>
            </w:pPr>
          </w:p>
        </w:tc>
        <w:tc>
          <w:tcPr>
            <w:tcW w:w="7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8,612</w:t>
            </w:r>
          </w:p>
        </w:tc>
        <w:tc>
          <w:tcPr>
            <w:tcW w:w="40" w:type="dxa"/>
            <w:vAlign w:val="bottom"/>
            <w:shd w:val="clear" w:color="auto" w:fill="E8EFF9"/>
          </w:tcPr>
          <w:p>
            <w:pPr>
              <w:spacing w:after="0"/>
              <w:rPr>
                <w:sz w:val="18"/>
                <w:szCs w:val="18"/>
                <w:color w:val="auto"/>
              </w:rPr>
            </w:pPr>
          </w:p>
        </w:tc>
        <w:tc>
          <w:tcPr>
            <w:tcW w:w="240" w:type="dxa"/>
            <w:vAlign w:val="bottom"/>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20" w:type="dxa"/>
            <w:vAlign w:val="bottom"/>
            <w:tcBorders>
              <w:bottom w:val="single" w:sz="8" w:color="E8EFF9"/>
            </w:tcBorders>
            <w:shd w:val="clear" w:color="auto" w:fill="E8EFF9"/>
          </w:tcPr>
          <w:p>
            <w:pPr>
              <w:spacing w:after="0"/>
              <w:rPr>
                <w:sz w:val="18"/>
                <w:szCs w:val="18"/>
                <w:color w:val="auto"/>
              </w:rPr>
            </w:pPr>
          </w:p>
        </w:tc>
        <w:tc>
          <w:tcPr>
            <w:tcW w:w="8460" w:type="dxa"/>
            <w:vAlign w:val="bottom"/>
            <w:tcBorders>
              <w:bottom w:val="single" w:sz="8" w:color="0077C0"/>
            </w:tcBorders>
            <w:gridSpan w:val="3"/>
            <w:shd w:val="clear" w:color="auto" w:fill="E8EFF9"/>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Borders>
              <w:bottom w:val="single" w:sz="8" w:color="0077C0"/>
            </w:tcBorders>
            <w:shd w:val="clear" w:color="auto" w:fill="E8EFF9"/>
          </w:tcPr>
          <w:p>
            <w:pPr>
              <w:spacing w:after="0"/>
              <w:rPr>
                <w:sz w:val="18"/>
                <w:szCs w:val="18"/>
                <w:color w:val="auto"/>
              </w:rPr>
            </w:pPr>
          </w:p>
        </w:tc>
        <w:tc>
          <w:tcPr>
            <w:tcW w:w="8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4,368</w:t>
            </w:r>
          </w:p>
        </w:tc>
        <w:tc>
          <w:tcPr>
            <w:tcW w:w="120" w:type="dxa"/>
            <w:vAlign w:val="bottom"/>
            <w:tcBorders>
              <w:bottom w:val="single" w:sz="8" w:color="0077C0"/>
              <w:right w:val="single" w:sz="8" w:color="0077C0"/>
            </w:tcBorders>
            <w:shd w:val="clear" w:color="auto" w:fill="E8EFF9"/>
          </w:tcPr>
          <w:p>
            <w:pPr>
              <w:spacing w:after="0"/>
              <w:rPr>
                <w:sz w:val="18"/>
                <w:szCs w:val="18"/>
                <w:color w:val="auto"/>
              </w:rPr>
            </w:pPr>
          </w:p>
        </w:tc>
        <w:tc>
          <w:tcPr>
            <w:tcW w:w="300" w:type="dxa"/>
            <w:vAlign w:val="bottom"/>
            <w:tcBorders>
              <w:bottom w:val="single" w:sz="8" w:color="0077C0"/>
            </w:tcBorders>
            <w:shd w:val="clear" w:color="auto" w:fill="E8EFF9"/>
          </w:tcPr>
          <w:p>
            <w:pPr>
              <w:spacing w:after="0"/>
              <w:rPr>
                <w:sz w:val="18"/>
                <w:szCs w:val="18"/>
                <w:color w:val="auto"/>
              </w:rPr>
            </w:pPr>
          </w:p>
        </w:tc>
        <w:tc>
          <w:tcPr>
            <w:tcW w:w="76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4,372</w:t>
            </w:r>
          </w:p>
        </w:tc>
        <w:tc>
          <w:tcPr>
            <w:tcW w:w="40" w:type="dxa"/>
            <w:vAlign w:val="bottom"/>
            <w:tcBorders>
              <w:bottom w:val="single" w:sz="8" w:color="0077C0"/>
            </w:tcBorders>
            <w:shd w:val="clear" w:color="auto" w:fill="E8EFF9"/>
          </w:tcPr>
          <w:p>
            <w:pPr>
              <w:spacing w:after="0"/>
              <w:rPr>
                <w:sz w:val="18"/>
                <w:szCs w:val="18"/>
                <w:color w:val="auto"/>
              </w:rPr>
            </w:pPr>
          </w:p>
        </w:tc>
        <w:tc>
          <w:tcPr>
            <w:tcW w:w="240" w:type="dxa"/>
            <w:vAlign w:val="bottom"/>
            <w:tcBorders>
              <w:bottom w:val="single" w:sz="8" w:color="E8EFF9"/>
            </w:tcBorders>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0" w:type="dxa"/>
            <w:vAlign w:val="bottom"/>
            <w:shd w:val="clear" w:color="auto" w:fill="E8EFF9"/>
          </w:tcPr>
          <w:p>
            <w:pPr>
              <w:spacing w:after="0"/>
              <w:rPr>
                <w:sz w:val="18"/>
                <w:szCs w:val="18"/>
                <w:color w:val="auto"/>
              </w:rPr>
            </w:pPr>
          </w:p>
        </w:tc>
        <w:tc>
          <w:tcPr>
            <w:tcW w:w="8460" w:type="dxa"/>
            <w:vAlign w:val="bottom"/>
            <w:gridSpan w:val="3"/>
            <w:shd w:val="clear" w:color="auto" w:fill="E8EFF9"/>
          </w:tcPr>
          <w:p>
            <w:pPr>
              <w:ind w:left="140"/>
              <w:spacing w:after="0"/>
              <w:rPr>
                <w:sz w:val="20"/>
                <w:szCs w:val="20"/>
                <w:color w:val="auto"/>
              </w:rPr>
            </w:pPr>
            <w:r>
              <w:rPr>
                <w:rFonts w:ascii="Times New Roman" w:cs="Times New Roman" w:eastAsia="Times New Roman" w:hAnsi="Times New Roman"/>
                <w:sz w:val="16"/>
                <w:szCs w:val="16"/>
                <w:b w:val="1"/>
                <w:bCs w:val="1"/>
                <w:color w:val="0077C0"/>
              </w:rPr>
              <w:t>Total Current Assets</w:t>
            </w:r>
          </w:p>
        </w:tc>
        <w:tc>
          <w:tcPr>
            <w:tcW w:w="300" w:type="dxa"/>
            <w:vAlign w:val="bottom"/>
            <w:shd w:val="clear" w:color="auto" w:fill="E8EFF9"/>
          </w:tcPr>
          <w:p>
            <w:pPr>
              <w:spacing w:after="0"/>
              <w:rPr>
                <w:sz w:val="18"/>
                <w:szCs w:val="18"/>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40,911</w:t>
            </w:r>
          </w:p>
        </w:tc>
        <w:tc>
          <w:tcPr>
            <w:tcW w:w="120" w:type="dxa"/>
            <w:vAlign w:val="bottom"/>
            <w:tcBorders>
              <w:right w:val="single" w:sz="8" w:color="0077C0"/>
            </w:tcBorders>
            <w:shd w:val="clear" w:color="auto" w:fill="E8EFF9"/>
          </w:tcPr>
          <w:p>
            <w:pPr>
              <w:spacing w:after="0"/>
              <w:rPr>
                <w:sz w:val="18"/>
                <w:szCs w:val="18"/>
                <w:color w:val="auto"/>
              </w:rPr>
            </w:pPr>
          </w:p>
        </w:tc>
        <w:tc>
          <w:tcPr>
            <w:tcW w:w="300" w:type="dxa"/>
            <w:vAlign w:val="bottom"/>
            <w:shd w:val="clear" w:color="auto" w:fill="E8EFF9"/>
          </w:tcPr>
          <w:p>
            <w:pPr>
              <w:spacing w:after="0"/>
              <w:rPr>
                <w:sz w:val="18"/>
                <w:szCs w:val="18"/>
                <w:color w:val="auto"/>
              </w:rPr>
            </w:pPr>
          </w:p>
        </w:tc>
        <w:tc>
          <w:tcPr>
            <w:tcW w:w="7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41,128</w:t>
            </w:r>
          </w:p>
        </w:tc>
        <w:tc>
          <w:tcPr>
            <w:tcW w:w="40" w:type="dxa"/>
            <w:vAlign w:val="bottom"/>
            <w:shd w:val="clear" w:color="auto" w:fill="E8EFF9"/>
          </w:tcPr>
          <w:p>
            <w:pPr>
              <w:spacing w:after="0"/>
              <w:rPr>
                <w:sz w:val="18"/>
                <w:szCs w:val="18"/>
                <w:color w:val="auto"/>
              </w:rPr>
            </w:pPr>
          </w:p>
        </w:tc>
        <w:tc>
          <w:tcPr>
            <w:tcW w:w="240" w:type="dxa"/>
            <w:vAlign w:val="bottom"/>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0" w:type="dxa"/>
            <w:vAlign w:val="bottom"/>
            <w:shd w:val="clear" w:color="auto" w:fill="E8EFF9"/>
          </w:tcPr>
          <w:p>
            <w:pPr>
              <w:spacing w:after="0"/>
              <w:rPr>
                <w:sz w:val="18"/>
                <w:szCs w:val="18"/>
                <w:color w:val="auto"/>
              </w:rPr>
            </w:pPr>
          </w:p>
        </w:tc>
        <w:tc>
          <w:tcPr>
            <w:tcW w:w="8460" w:type="dxa"/>
            <w:vAlign w:val="bottom"/>
            <w:gridSpan w:val="3"/>
            <w:shd w:val="clear" w:color="auto" w:fill="E8EFF9"/>
          </w:tcPr>
          <w:p>
            <w:pPr>
              <w:ind w:left="140"/>
              <w:spacing w:after="0"/>
              <w:rPr>
                <w:sz w:val="20"/>
                <w:szCs w:val="20"/>
                <w:color w:val="auto"/>
              </w:rPr>
            </w:pPr>
            <w:r>
              <w:rPr>
                <w:rFonts w:ascii="Times New Roman" w:cs="Times New Roman" w:eastAsia="Times New Roman" w:hAnsi="Times New Roman"/>
                <w:sz w:val="16"/>
                <w:szCs w:val="16"/>
                <w:color w:val="auto"/>
              </w:rPr>
              <w:t>Long-term receivables, net (less allowances: 2024 - $352; 2023 - $340)</w:t>
            </w:r>
          </w:p>
        </w:tc>
        <w:tc>
          <w:tcPr>
            <w:tcW w:w="300" w:type="dxa"/>
            <w:vAlign w:val="bottom"/>
            <w:shd w:val="clear" w:color="auto" w:fill="E8EFF9"/>
          </w:tcPr>
          <w:p>
            <w:pPr>
              <w:spacing w:after="0"/>
              <w:rPr>
                <w:sz w:val="18"/>
                <w:szCs w:val="18"/>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877</w:t>
            </w:r>
          </w:p>
        </w:tc>
        <w:tc>
          <w:tcPr>
            <w:tcW w:w="120" w:type="dxa"/>
            <w:vAlign w:val="bottom"/>
            <w:tcBorders>
              <w:right w:val="single" w:sz="8" w:color="0077C0"/>
            </w:tcBorders>
            <w:shd w:val="clear" w:color="auto" w:fill="E8EFF9"/>
          </w:tcPr>
          <w:p>
            <w:pPr>
              <w:spacing w:after="0"/>
              <w:rPr>
                <w:sz w:val="18"/>
                <w:szCs w:val="18"/>
                <w:color w:val="auto"/>
              </w:rPr>
            </w:pPr>
          </w:p>
        </w:tc>
        <w:tc>
          <w:tcPr>
            <w:tcW w:w="300" w:type="dxa"/>
            <w:vAlign w:val="bottom"/>
            <w:shd w:val="clear" w:color="auto" w:fill="E8EFF9"/>
          </w:tcPr>
          <w:p>
            <w:pPr>
              <w:spacing w:after="0"/>
              <w:rPr>
                <w:sz w:val="18"/>
                <w:szCs w:val="18"/>
                <w:color w:val="auto"/>
              </w:rPr>
            </w:pPr>
          </w:p>
        </w:tc>
        <w:tc>
          <w:tcPr>
            <w:tcW w:w="7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40" w:type="dxa"/>
            <w:vAlign w:val="bottom"/>
            <w:shd w:val="clear" w:color="auto" w:fill="E8EFF9"/>
          </w:tcPr>
          <w:p>
            <w:pPr>
              <w:spacing w:after="0"/>
              <w:rPr>
                <w:sz w:val="18"/>
                <w:szCs w:val="18"/>
                <w:color w:val="auto"/>
              </w:rPr>
            </w:pPr>
          </w:p>
        </w:tc>
        <w:tc>
          <w:tcPr>
            <w:tcW w:w="240" w:type="dxa"/>
            <w:vAlign w:val="bottom"/>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shd w:val="clear" w:color="auto" w:fill="E8EFF9"/>
          </w:tcPr>
          <w:p>
            <w:pPr>
              <w:spacing w:after="0"/>
              <w:rPr>
                <w:sz w:val="18"/>
                <w:szCs w:val="18"/>
                <w:color w:val="auto"/>
              </w:rPr>
            </w:pPr>
          </w:p>
        </w:tc>
        <w:tc>
          <w:tcPr>
            <w:tcW w:w="8460" w:type="dxa"/>
            <w:vAlign w:val="bottom"/>
            <w:gridSpan w:val="3"/>
            <w:shd w:val="clear" w:color="auto" w:fill="E8EFF9"/>
          </w:tcPr>
          <w:p>
            <w:pPr>
              <w:ind w:left="140"/>
              <w:spacing w:after="0"/>
              <w:rPr>
                <w:sz w:val="20"/>
                <w:szCs w:val="20"/>
                <w:color w:val="auto"/>
              </w:rPr>
            </w:pPr>
            <w:r>
              <w:rPr>
                <w:rFonts w:ascii="Times New Roman" w:cs="Times New Roman" w:eastAsia="Times New Roman" w:hAnsi="Times New Roman"/>
                <w:sz w:val="16"/>
                <w:szCs w:val="16"/>
                <w:color w:val="auto"/>
              </w:rPr>
              <w:t>Investments and advances</w:t>
            </w:r>
          </w:p>
        </w:tc>
        <w:tc>
          <w:tcPr>
            <w:tcW w:w="300" w:type="dxa"/>
            <w:vAlign w:val="bottom"/>
            <w:shd w:val="clear" w:color="auto" w:fill="E8EFF9"/>
          </w:tcPr>
          <w:p>
            <w:pPr>
              <w:spacing w:after="0"/>
              <w:rPr>
                <w:sz w:val="18"/>
                <w:szCs w:val="18"/>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47,438</w:t>
            </w:r>
          </w:p>
        </w:tc>
        <w:tc>
          <w:tcPr>
            <w:tcW w:w="120" w:type="dxa"/>
            <w:vAlign w:val="bottom"/>
            <w:tcBorders>
              <w:right w:val="single" w:sz="8" w:color="0077C0"/>
            </w:tcBorders>
            <w:shd w:val="clear" w:color="auto" w:fill="E8EFF9"/>
          </w:tcPr>
          <w:p>
            <w:pPr>
              <w:spacing w:after="0"/>
              <w:rPr>
                <w:sz w:val="18"/>
                <w:szCs w:val="18"/>
                <w:color w:val="auto"/>
              </w:rPr>
            </w:pPr>
          </w:p>
        </w:tc>
        <w:tc>
          <w:tcPr>
            <w:tcW w:w="300" w:type="dxa"/>
            <w:vAlign w:val="bottom"/>
            <w:shd w:val="clear" w:color="auto" w:fill="E8EFF9"/>
          </w:tcPr>
          <w:p>
            <w:pPr>
              <w:spacing w:after="0"/>
              <w:rPr>
                <w:sz w:val="18"/>
                <w:szCs w:val="18"/>
                <w:color w:val="auto"/>
              </w:rPr>
            </w:pPr>
          </w:p>
        </w:tc>
        <w:tc>
          <w:tcPr>
            <w:tcW w:w="7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46,812</w:t>
            </w:r>
          </w:p>
        </w:tc>
        <w:tc>
          <w:tcPr>
            <w:tcW w:w="40" w:type="dxa"/>
            <w:vAlign w:val="bottom"/>
            <w:shd w:val="clear" w:color="auto" w:fill="E8EFF9"/>
          </w:tcPr>
          <w:p>
            <w:pPr>
              <w:spacing w:after="0"/>
              <w:rPr>
                <w:sz w:val="18"/>
                <w:szCs w:val="18"/>
                <w:color w:val="auto"/>
              </w:rPr>
            </w:pPr>
          </w:p>
        </w:tc>
        <w:tc>
          <w:tcPr>
            <w:tcW w:w="240" w:type="dxa"/>
            <w:vAlign w:val="bottom"/>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shd w:val="clear" w:color="auto" w:fill="E8EFF9"/>
          </w:tcPr>
          <w:p>
            <w:pPr>
              <w:spacing w:after="0"/>
              <w:rPr>
                <w:sz w:val="18"/>
                <w:szCs w:val="18"/>
                <w:color w:val="auto"/>
              </w:rPr>
            </w:pPr>
          </w:p>
        </w:tc>
        <w:tc>
          <w:tcPr>
            <w:tcW w:w="8460" w:type="dxa"/>
            <w:vAlign w:val="bottom"/>
            <w:gridSpan w:val="3"/>
            <w:shd w:val="clear" w:color="auto" w:fill="E8EFF9"/>
          </w:tcPr>
          <w:p>
            <w:pPr>
              <w:ind w:left="140"/>
              <w:spacing w:after="0"/>
              <w:rPr>
                <w:sz w:val="20"/>
                <w:szCs w:val="20"/>
                <w:color w:val="auto"/>
              </w:rPr>
            </w:pPr>
            <w:r>
              <w:rPr>
                <w:rFonts w:ascii="Times New Roman" w:cs="Times New Roman" w:eastAsia="Times New Roman" w:hAnsi="Times New Roman"/>
                <w:sz w:val="16"/>
                <w:szCs w:val="16"/>
                <w:color w:val="auto"/>
              </w:rPr>
              <w:t>Properties, plant and equipment, at cost</w:t>
            </w:r>
          </w:p>
        </w:tc>
        <w:tc>
          <w:tcPr>
            <w:tcW w:w="300" w:type="dxa"/>
            <w:vAlign w:val="bottom"/>
            <w:shd w:val="clear" w:color="auto" w:fill="E8EFF9"/>
          </w:tcPr>
          <w:p>
            <w:pPr>
              <w:spacing w:after="0"/>
              <w:rPr>
                <w:sz w:val="18"/>
                <w:szCs w:val="18"/>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345,933</w:t>
            </w:r>
          </w:p>
        </w:tc>
        <w:tc>
          <w:tcPr>
            <w:tcW w:w="120" w:type="dxa"/>
            <w:vAlign w:val="bottom"/>
            <w:tcBorders>
              <w:right w:val="single" w:sz="8" w:color="0077C0"/>
            </w:tcBorders>
            <w:shd w:val="clear" w:color="auto" w:fill="E8EFF9"/>
          </w:tcPr>
          <w:p>
            <w:pPr>
              <w:spacing w:after="0"/>
              <w:rPr>
                <w:sz w:val="18"/>
                <w:szCs w:val="18"/>
                <w:color w:val="auto"/>
              </w:rPr>
            </w:pPr>
          </w:p>
        </w:tc>
        <w:tc>
          <w:tcPr>
            <w:tcW w:w="300" w:type="dxa"/>
            <w:vAlign w:val="bottom"/>
            <w:shd w:val="clear" w:color="auto" w:fill="E8EFF9"/>
          </w:tcPr>
          <w:p>
            <w:pPr>
              <w:spacing w:after="0"/>
              <w:rPr>
                <w:sz w:val="18"/>
                <w:szCs w:val="18"/>
                <w:color w:val="auto"/>
              </w:rPr>
            </w:pPr>
          </w:p>
        </w:tc>
        <w:tc>
          <w:tcPr>
            <w:tcW w:w="7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346,081</w:t>
            </w:r>
          </w:p>
        </w:tc>
        <w:tc>
          <w:tcPr>
            <w:tcW w:w="40" w:type="dxa"/>
            <w:vAlign w:val="bottom"/>
            <w:shd w:val="clear" w:color="auto" w:fill="E8EFF9"/>
          </w:tcPr>
          <w:p>
            <w:pPr>
              <w:spacing w:after="0"/>
              <w:rPr>
                <w:sz w:val="18"/>
                <w:szCs w:val="18"/>
                <w:color w:val="auto"/>
              </w:rPr>
            </w:pPr>
          </w:p>
        </w:tc>
        <w:tc>
          <w:tcPr>
            <w:tcW w:w="240" w:type="dxa"/>
            <w:vAlign w:val="bottom"/>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Borders>
              <w:bottom w:val="single" w:sz="8" w:color="E8EFF9"/>
            </w:tcBorders>
            <w:shd w:val="clear" w:color="auto" w:fill="E8EFF9"/>
          </w:tcPr>
          <w:p>
            <w:pPr>
              <w:spacing w:after="0"/>
              <w:rPr>
                <w:sz w:val="18"/>
                <w:szCs w:val="18"/>
                <w:color w:val="auto"/>
              </w:rPr>
            </w:pPr>
          </w:p>
        </w:tc>
        <w:tc>
          <w:tcPr>
            <w:tcW w:w="8460" w:type="dxa"/>
            <w:vAlign w:val="bottom"/>
            <w:tcBorders>
              <w:bottom w:val="single" w:sz="8" w:color="E8EFF9"/>
            </w:tcBorders>
            <w:gridSpan w:val="3"/>
            <w:shd w:val="clear" w:color="auto" w:fill="E8EFF9"/>
          </w:tcPr>
          <w:p>
            <w:pPr>
              <w:ind w:left="140"/>
              <w:spacing w:after="0"/>
              <w:rPr>
                <w:sz w:val="20"/>
                <w:szCs w:val="20"/>
                <w:color w:val="auto"/>
              </w:rPr>
            </w:pPr>
            <w:r>
              <w:rPr>
                <w:rFonts w:ascii="Times New Roman" w:cs="Times New Roman" w:eastAsia="Times New Roman" w:hAnsi="Times New Roman"/>
                <w:sz w:val="16"/>
                <w:szCs w:val="16"/>
                <w:color w:val="auto"/>
              </w:rPr>
              <w:t>Less: Accumulated depreciation, depletion and amortization</w:t>
            </w:r>
          </w:p>
        </w:tc>
        <w:tc>
          <w:tcPr>
            <w:tcW w:w="300" w:type="dxa"/>
            <w:vAlign w:val="bottom"/>
            <w:tcBorders>
              <w:bottom w:val="single" w:sz="8" w:color="0077C0"/>
            </w:tcBorders>
            <w:shd w:val="clear" w:color="auto" w:fill="E8EFF9"/>
          </w:tcPr>
          <w:p>
            <w:pPr>
              <w:spacing w:after="0"/>
              <w:rPr>
                <w:sz w:val="18"/>
                <w:szCs w:val="18"/>
                <w:color w:val="auto"/>
              </w:rPr>
            </w:pPr>
          </w:p>
        </w:tc>
        <w:tc>
          <w:tcPr>
            <w:tcW w:w="8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198,134</w:t>
            </w:r>
          </w:p>
        </w:tc>
        <w:tc>
          <w:tcPr>
            <w:tcW w:w="120" w:type="dxa"/>
            <w:vAlign w:val="bottom"/>
            <w:tcBorders>
              <w:bottom w:val="single" w:sz="8" w:color="0077C0"/>
              <w:right w:val="single" w:sz="8" w:color="0077C0"/>
            </w:tcBorders>
            <w:shd w:val="clear" w:color="auto" w:fill="E8EFF9"/>
          </w:tcPr>
          <w:p>
            <w:pPr>
              <w:spacing w:after="0"/>
              <w:rPr>
                <w:sz w:val="18"/>
                <w:szCs w:val="18"/>
                <w:color w:val="auto"/>
              </w:rPr>
            </w:pPr>
          </w:p>
        </w:tc>
        <w:tc>
          <w:tcPr>
            <w:tcW w:w="300" w:type="dxa"/>
            <w:vAlign w:val="bottom"/>
            <w:tcBorders>
              <w:bottom w:val="single" w:sz="8" w:color="0077C0"/>
            </w:tcBorders>
            <w:shd w:val="clear" w:color="auto" w:fill="E8EFF9"/>
          </w:tcPr>
          <w:p>
            <w:pPr>
              <w:spacing w:after="0"/>
              <w:rPr>
                <w:sz w:val="18"/>
                <w:szCs w:val="18"/>
                <w:color w:val="auto"/>
              </w:rPr>
            </w:pPr>
          </w:p>
        </w:tc>
        <w:tc>
          <w:tcPr>
            <w:tcW w:w="76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192,462</w:t>
            </w:r>
          </w:p>
        </w:tc>
        <w:tc>
          <w:tcPr>
            <w:tcW w:w="40" w:type="dxa"/>
            <w:vAlign w:val="bottom"/>
            <w:tcBorders>
              <w:bottom w:val="single" w:sz="8" w:color="0077C0"/>
            </w:tcBorders>
            <w:shd w:val="clear" w:color="auto" w:fill="E8EFF9"/>
          </w:tcPr>
          <w:p>
            <w:pPr>
              <w:spacing w:after="0"/>
              <w:rPr>
                <w:sz w:val="18"/>
                <w:szCs w:val="18"/>
                <w:color w:val="auto"/>
              </w:rPr>
            </w:pPr>
          </w:p>
        </w:tc>
        <w:tc>
          <w:tcPr>
            <w:tcW w:w="240" w:type="dxa"/>
            <w:vAlign w:val="bottom"/>
            <w:tcBorders>
              <w:bottom w:val="single" w:sz="8" w:color="E8EFF9"/>
            </w:tcBorders>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0" w:type="dxa"/>
            <w:vAlign w:val="bottom"/>
            <w:shd w:val="clear" w:color="auto" w:fill="E8EFF9"/>
          </w:tcPr>
          <w:p>
            <w:pPr>
              <w:spacing w:after="0"/>
              <w:rPr>
                <w:sz w:val="18"/>
                <w:szCs w:val="18"/>
                <w:color w:val="auto"/>
              </w:rPr>
            </w:pPr>
          </w:p>
        </w:tc>
        <w:tc>
          <w:tcPr>
            <w:tcW w:w="8460" w:type="dxa"/>
            <w:vAlign w:val="bottom"/>
            <w:gridSpan w:val="3"/>
            <w:shd w:val="clear" w:color="auto" w:fill="E8EFF9"/>
          </w:tcPr>
          <w:p>
            <w:pPr>
              <w:ind w:left="220"/>
              <w:spacing w:after="0"/>
              <w:rPr>
                <w:sz w:val="20"/>
                <w:szCs w:val="20"/>
                <w:color w:val="auto"/>
              </w:rPr>
            </w:pPr>
            <w:r>
              <w:rPr>
                <w:rFonts w:ascii="Times New Roman" w:cs="Times New Roman" w:eastAsia="Times New Roman" w:hAnsi="Times New Roman"/>
                <w:sz w:val="16"/>
                <w:szCs w:val="16"/>
                <w:color w:val="auto"/>
              </w:rPr>
              <w:t>Properties, plant and equipment, net</w:t>
            </w:r>
          </w:p>
        </w:tc>
        <w:tc>
          <w:tcPr>
            <w:tcW w:w="300" w:type="dxa"/>
            <w:vAlign w:val="bottom"/>
            <w:shd w:val="clear" w:color="auto" w:fill="E8EFF9"/>
          </w:tcPr>
          <w:p>
            <w:pPr>
              <w:spacing w:after="0"/>
              <w:rPr>
                <w:sz w:val="18"/>
                <w:szCs w:val="18"/>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147,799</w:t>
            </w:r>
          </w:p>
        </w:tc>
        <w:tc>
          <w:tcPr>
            <w:tcW w:w="120" w:type="dxa"/>
            <w:vAlign w:val="bottom"/>
            <w:tcBorders>
              <w:right w:val="single" w:sz="8" w:color="0077C0"/>
            </w:tcBorders>
            <w:shd w:val="clear" w:color="auto" w:fill="E8EFF9"/>
          </w:tcPr>
          <w:p>
            <w:pPr>
              <w:spacing w:after="0"/>
              <w:rPr>
                <w:sz w:val="18"/>
                <w:szCs w:val="18"/>
                <w:color w:val="auto"/>
              </w:rPr>
            </w:pPr>
          </w:p>
        </w:tc>
        <w:tc>
          <w:tcPr>
            <w:tcW w:w="300" w:type="dxa"/>
            <w:vAlign w:val="bottom"/>
            <w:shd w:val="clear" w:color="auto" w:fill="E8EFF9"/>
          </w:tcPr>
          <w:p>
            <w:pPr>
              <w:spacing w:after="0"/>
              <w:rPr>
                <w:sz w:val="18"/>
                <w:szCs w:val="18"/>
                <w:color w:val="auto"/>
              </w:rPr>
            </w:pPr>
          </w:p>
        </w:tc>
        <w:tc>
          <w:tcPr>
            <w:tcW w:w="7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153,619</w:t>
            </w:r>
          </w:p>
        </w:tc>
        <w:tc>
          <w:tcPr>
            <w:tcW w:w="40" w:type="dxa"/>
            <w:vAlign w:val="bottom"/>
            <w:shd w:val="clear" w:color="auto" w:fill="E8EFF9"/>
          </w:tcPr>
          <w:p>
            <w:pPr>
              <w:spacing w:after="0"/>
              <w:rPr>
                <w:sz w:val="18"/>
                <w:szCs w:val="18"/>
                <w:color w:val="auto"/>
              </w:rPr>
            </w:pPr>
          </w:p>
        </w:tc>
        <w:tc>
          <w:tcPr>
            <w:tcW w:w="240" w:type="dxa"/>
            <w:vAlign w:val="bottom"/>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0" w:type="dxa"/>
            <w:vAlign w:val="bottom"/>
            <w:shd w:val="clear" w:color="auto" w:fill="E8EFF9"/>
          </w:tcPr>
          <w:p>
            <w:pPr>
              <w:spacing w:after="0"/>
              <w:rPr>
                <w:sz w:val="18"/>
                <w:szCs w:val="18"/>
                <w:color w:val="auto"/>
              </w:rPr>
            </w:pPr>
          </w:p>
        </w:tc>
        <w:tc>
          <w:tcPr>
            <w:tcW w:w="8460" w:type="dxa"/>
            <w:vAlign w:val="bottom"/>
            <w:gridSpan w:val="3"/>
            <w:shd w:val="clear" w:color="auto" w:fill="E8EFF9"/>
          </w:tcPr>
          <w:p>
            <w:pPr>
              <w:ind w:left="140"/>
              <w:spacing w:after="0"/>
              <w:rPr>
                <w:sz w:val="20"/>
                <w:szCs w:val="20"/>
                <w:color w:val="auto"/>
              </w:rPr>
            </w:pPr>
            <w:r>
              <w:rPr>
                <w:rFonts w:ascii="Times New Roman" w:cs="Times New Roman" w:eastAsia="Times New Roman" w:hAnsi="Times New Roman"/>
                <w:sz w:val="16"/>
                <w:szCs w:val="16"/>
                <w:color w:val="auto"/>
              </w:rPr>
              <w:t>Deferred charges and other assets</w:t>
            </w:r>
          </w:p>
        </w:tc>
        <w:tc>
          <w:tcPr>
            <w:tcW w:w="300" w:type="dxa"/>
            <w:vAlign w:val="bottom"/>
            <w:shd w:val="clear" w:color="auto" w:fill="E8EFF9"/>
          </w:tcPr>
          <w:p>
            <w:pPr>
              <w:spacing w:after="0"/>
              <w:rPr>
                <w:sz w:val="18"/>
                <w:szCs w:val="18"/>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14,854</w:t>
            </w:r>
          </w:p>
        </w:tc>
        <w:tc>
          <w:tcPr>
            <w:tcW w:w="120" w:type="dxa"/>
            <w:vAlign w:val="bottom"/>
            <w:tcBorders>
              <w:right w:val="single" w:sz="8" w:color="0077C0"/>
            </w:tcBorders>
            <w:shd w:val="clear" w:color="auto" w:fill="E8EFF9"/>
          </w:tcPr>
          <w:p>
            <w:pPr>
              <w:spacing w:after="0"/>
              <w:rPr>
                <w:sz w:val="18"/>
                <w:szCs w:val="18"/>
                <w:color w:val="auto"/>
              </w:rPr>
            </w:pPr>
          </w:p>
        </w:tc>
        <w:tc>
          <w:tcPr>
            <w:tcW w:w="300" w:type="dxa"/>
            <w:vAlign w:val="bottom"/>
            <w:shd w:val="clear" w:color="auto" w:fill="E8EFF9"/>
          </w:tcPr>
          <w:p>
            <w:pPr>
              <w:spacing w:after="0"/>
              <w:rPr>
                <w:sz w:val="18"/>
                <w:szCs w:val="18"/>
                <w:color w:val="auto"/>
              </w:rPr>
            </w:pPr>
          </w:p>
        </w:tc>
        <w:tc>
          <w:tcPr>
            <w:tcW w:w="7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13,734</w:t>
            </w:r>
          </w:p>
        </w:tc>
        <w:tc>
          <w:tcPr>
            <w:tcW w:w="40" w:type="dxa"/>
            <w:vAlign w:val="bottom"/>
            <w:shd w:val="clear" w:color="auto" w:fill="E8EFF9"/>
          </w:tcPr>
          <w:p>
            <w:pPr>
              <w:spacing w:after="0"/>
              <w:rPr>
                <w:sz w:val="18"/>
                <w:szCs w:val="18"/>
                <w:color w:val="auto"/>
              </w:rPr>
            </w:pPr>
          </w:p>
        </w:tc>
        <w:tc>
          <w:tcPr>
            <w:tcW w:w="240" w:type="dxa"/>
            <w:vAlign w:val="bottom"/>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shd w:val="clear" w:color="auto" w:fill="E8EFF9"/>
          </w:tcPr>
          <w:p>
            <w:pPr>
              <w:spacing w:after="0"/>
              <w:rPr>
                <w:sz w:val="18"/>
                <w:szCs w:val="18"/>
                <w:color w:val="auto"/>
              </w:rPr>
            </w:pPr>
          </w:p>
        </w:tc>
        <w:tc>
          <w:tcPr>
            <w:tcW w:w="8460" w:type="dxa"/>
            <w:vAlign w:val="bottom"/>
            <w:gridSpan w:val="3"/>
            <w:shd w:val="clear" w:color="auto" w:fill="E8EFF9"/>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shd w:val="clear" w:color="auto" w:fill="E8EFF9"/>
          </w:tcPr>
          <w:p>
            <w:pPr>
              <w:spacing w:after="0"/>
              <w:rPr>
                <w:sz w:val="18"/>
                <w:szCs w:val="18"/>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4,578</w:t>
            </w:r>
          </w:p>
        </w:tc>
        <w:tc>
          <w:tcPr>
            <w:tcW w:w="120" w:type="dxa"/>
            <w:vAlign w:val="bottom"/>
            <w:tcBorders>
              <w:right w:val="single" w:sz="8" w:color="0077C0"/>
            </w:tcBorders>
            <w:shd w:val="clear" w:color="auto" w:fill="E8EFF9"/>
          </w:tcPr>
          <w:p>
            <w:pPr>
              <w:spacing w:after="0"/>
              <w:rPr>
                <w:sz w:val="18"/>
                <w:szCs w:val="18"/>
                <w:color w:val="auto"/>
              </w:rPr>
            </w:pPr>
          </w:p>
        </w:tc>
        <w:tc>
          <w:tcPr>
            <w:tcW w:w="300" w:type="dxa"/>
            <w:vAlign w:val="bottom"/>
            <w:shd w:val="clear" w:color="auto" w:fill="E8EFF9"/>
          </w:tcPr>
          <w:p>
            <w:pPr>
              <w:spacing w:after="0"/>
              <w:rPr>
                <w:sz w:val="18"/>
                <w:szCs w:val="18"/>
                <w:color w:val="auto"/>
              </w:rPr>
            </w:pPr>
          </w:p>
        </w:tc>
        <w:tc>
          <w:tcPr>
            <w:tcW w:w="7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4,722</w:t>
            </w:r>
          </w:p>
        </w:tc>
        <w:tc>
          <w:tcPr>
            <w:tcW w:w="40" w:type="dxa"/>
            <w:vAlign w:val="bottom"/>
            <w:shd w:val="clear" w:color="auto" w:fill="E8EFF9"/>
          </w:tcPr>
          <w:p>
            <w:pPr>
              <w:spacing w:after="0"/>
              <w:rPr>
                <w:sz w:val="18"/>
                <w:szCs w:val="18"/>
                <w:color w:val="auto"/>
              </w:rPr>
            </w:pPr>
          </w:p>
        </w:tc>
        <w:tc>
          <w:tcPr>
            <w:tcW w:w="240" w:type="dxa"/>
            <w:vAlign w:val="bottom"/>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0" w:type="dxa"/>
            <w:vAlign w:val="bottom"/>
            <w:tcBorders>
              <w:bottom w:val="single" w:sz="8" w:color="E8EFF9"/>
            </w:tcBorders>
            <w:shd w:val="clear" w:color="auto" w:fill="E8EFF9"/>
          </w:tcPr>
          <w:p>
            <w:pPr>
              <w:spacing w:after="0"/>
              <w:rPr>
                <w:sz w:val="19"/>
                <w:szCs w:val="19"/>
                <w:color w:val="auto"/>
              </w:rPr>
            </w:pPr>
          </w:p>
        </w:tc>
        <w:tc>
          <w:tcPr>
            <w:tcW w:w="8460" w:type="dxa"/>
            <w:vAlign w:val="bottom"/>
            <w:tcBorders>
              <w:bottom w:val="single" w:sz="8" w:color="0077C0"/>
            </w:tcBorders>
            <w:gridSpan w:val="3"/>
            <w:shd w:val="clear" w:color="auto" w:fill="E8EFF9"/>
          </w:tcPr>
          <w:p>
            <w:pPr>
              <w:ind w:left="140"/>
              <w:spacing w:after="0"/>
              <w:rPr>
                <w:sz w:val="20"/>
                <w:szCs w:val="20"/>
                <w:color w:val="auto"/>
              </w:rPr>
            </w:pPr>
            <w:r>
              <w:rPr>
                <w:rFonts w:ascii="Times New Roman" w:cs="Times New Roman" w:eastAsia="Times New Roman" w:hAnsi="Times New Roman"/>
                <w:sz w:val="16"/>
                <w:szCs w:val="16"/>
                <w:color w:val="auto"/>
              </w:rPr>
              <w:t>Assets held for sale</w:t>
            </w:r>
          </w:p>
        </w:tc>
        <w:tc>
          <w:tcPr>
            <w:tcW w:w="300" w:type="dxa"/>
            <w:vAlign w:val="bottom"/>
            <w:tcBorders>
              <w:bottom w:val="single" w:sz="8" w:color="0077C0"/>
            </w:tcBorders>
            <w:shd w:val="clear" w:color="auto" w:fill="E8EFF9"/>
          </w:tcPr>
          <w:p>
            <w:pPr>
              <w:spacing w:after="0"/>
              <w:rPr>
                <w:sz w:val="19"/>
                <w:szCs w:val="19"/>
                <w:color w:val="auto"/>
              </w:rPr>
            </w:pPr>
          </w:p>
        </w:tc>
        <w:tc>
          <w:tcPr>
            <w:tcW w:w="8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481</w:t>
            </w:r>
          </w:p>
        </w:tc>
        <w:tc>
          <w:tcPr>
            <w:tcW w:w="120" w:type="dxa"/>
            <w:vAlign w:val="bottom"/>
            <w:tcBorders>
              <w:bottom w:val="single" w:sz="8" w:color="0077C0"/>
              <w:right w:val="single" w:sz="8" w:color="0077C0"/>
            </w:tcBorders>
            <w:shd w:val="clear" w:color="auto" w:fill="E8EFF9"/>
          </w:tcPr>
          <w:p>
            <w:pPr>
              <w:spacing w:after="0"/>
              <w:rPr>
                <w:sz w:val="19"/>
                <w:szCs w:val="19"/>
                <w:color w:val="auto"/>
              </w:rPr>
            </w:pPr>
          </w:p>
        </w:tc>
        <w:tc>
          <w:tcPr>
            <w:tcW w:w="300" w:type="dxa"/>
            <w:vAlign w:val="bottom"/>
            <w:tcBorders>
              <w:bottom w:val="single" w:sz="8" w:color="0077C0"/>
            </w:tcBorders>
            <w:shd w:val="clear" w:color="auto" w:fill="E8EFF9"/>
          </w:tcPr>
          <w:p>
            <w:pPr>
              <w:spacing w:after="0"/>
              <w:rPr>
                <w:sz w:val="19"/>
                <w:szCs w:val="19"/>
                <w:color w:val="auto"/>
              </w:rPr>
            </w:pPr>
          </w:p>
        </w:tc>
        <w:tc>
          <w:tcPr>
            <w:tcW w:w="76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40" w:type="dxa"/>
            <w:vAlign w:val="bottom"/>
            <w:tcBorders>
              <w:bottom w:val="single" w:sz="8" w:color="0077C0"/>
            </w:tcBorders>
            <w:shd w:val="clear" w:color="auto" w:fill="E8EFF9"/>
          </w:tcPr>
          <w:p>
            <w:pPr>
              <w:spacing w:after="0"/>
              <w:rPr>
                <w:sz w:val="19"/>
                <w:szCs w:val="19"/>
                <w:color w:val="auto"/>
              </w:rPr>
            </w:pPr>
          </w:p>
        </w:tc>
        <w:tc>
          <w:tcPr>
            <w:tcW w:w="240" w:type="dxa"/>
            <w:vAlign w:val="bottom"/>
            <w:tcBorders>
              <w:bottom w:val="single" w:sz="8" w:color="E8EFF9"/>
            </w:tcBorders>
            <w:shd w:val="clear" w:color="auto" w:fill="E8EFF9"/>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20" w:type="dxa"/>
            <w:vAlign w:val="bottom"/>
            <w:tcBorders>
              <w:bottom w:val="single" w:sz="8" w:color="E8EFF9"/>
            </w:tcBorders>
            <w:shd w:val="clear" w:color="auto" w:fill="E8EFF9"/>
          </w:tcPr>
          <w:p>
            <w:pPr>
              <w:spacing w:after="0"/>
              <w:rPr>
                <w:sz w:val="18"/>
                <w:szCs w:val="18"/>
                <w:color w:val="auto"/>
              </w:rPr>
            </w:pPr>
          </w:p>
        </w:tc>
        <w:tc>
          <w:tcPr>
            <w:tcW w:w="8460" w:type="dxa"/>
            <w:vAlign w:val="bottom"/>
            <w:tcBorders>
              <w:bottom w:val="single" w:sz="8" w:color="0077C0"/>
            </w:tcBorders>
            <w:gridSpan w:val="3"/>
            <w:shd w:val="clear" w:color="auto" w:fill="E8EFF9"/>
          </w:tcPr>
          <w:p>
            <w:pPr>
              <w:ind w:left="20"/>
              <w:spacing w:after="0"/>
              <w:rPr>
                <w:sz w:val="20"/>
                <w:szCs w:val="20"/>
                <w:color w:val="auto"/>
              </w:rPr>
            </w:pPr>
            <w:r>
              <w:rPr>
                <w:rFonts w:ascii="Times New Roman" w:cs="Times New Roman" w:eastAsia="Times New Roman" w:hAnsi="Times New Roman"/>
                <w:sz w:val="16"/>
                <w:szCs w:val="16"/>
                <w:b w:val="1"/>
                <w:bCs w:val="1"/>
                <w:color w:val="0077C0"/>
              </w:rPr>
              <w:t>Total Assets</w:t>
            </w:r>
          </w:p>
        </w:tc>
        <w:tc>
          <w:tcPr>
            <w:tcW w:w="300" w:type="dxa"/>
            <w:vAlign w:val="bottom"/>
            <w:tcBorders>
              <w:bottom w:val="single" w:sz="8" w:color="0077C0"/>
            </w:tcBorders>
            <w:shd w:val="clear" w:color="auto" w:fill="E8EFF9"/>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256,938</w:t>
            </w:r>
          </w:p>
        </w:tc>
        <w:tc>
          <w:tcPr>
            <w:tcW w:w="120" w:type="dxa"/>
            <w:vAlign w:val="bottom"/>
            <w:tcBorders>
              <w:bottom w:val="single" w:sz="8" w:color="0077C0"/>
              <w:right w:val="single" w:sz="8" w:color="0077C0"/>
            </w:tcBorders>
            <w:shd w:val="clear" w:color="auto" w:fill="E8EFF9"/>
          </w:tcPr>
          <w:p>
            <w:pPr>
              <w:spacing w:after="0"/>
              <w:rPr>
                <w:sz w:val="18"/>
                <w:szCs w:val="18"/>
                <w:color w:val="auto"/>
              </w:rPr>
            </w:pPr>
          </w:p>
        </w:tc>
        <w:tc>
          <w:tcPr>
            <w:tcW w:w="300" w:type="dxa"/>
            <w:vAlign w:val="bottom"/>
            <w:tcBorders>
              <w:bottom w:val="single" w:sz="8" w:color="0077C0"/>
            </w:tcBorders>
            <w:shd w:val="clear" w:color="auto" w:fill="E8EFF9"/>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261,632</w:t>
            </w:r>
          </w:p>
        </w:tc>
        <w:tc>
          <w:tcPr>
            <w:tcW w:w="40" w:type="dxa"/>
            <w:vAlign w:val="bottom"/>
            <w:tcBorders>
              <w:bottom w:val="single" w:sz="8" w:color="0077C0"/>
            </w:tcBorders>
            <w:shd w:val="clear" w:color="auto" w:fill="E8EFF9"/>
          </w:tcPr>
          <w:p>
            <w:pPr>
              <w:spacing w:after="0"/>
              <w:rPr>
                <w:sz w:val="18"/>
                <w:szCs w:val="18"/>
                <w:color w:val="auto"/>
              </w:rPr>
            </w:pPr>
          </w:p>
        </w:tc>
        <w:tc>
          <w:tcPr>
            <w:tcW w:w="240" w:type="dxa"/>
            <w:vAlign w:val="bottom"/>
            <w:tcBorders>
              <w:bottom w:val="single" w:sz="8" w:color="E8EFF9"/>
            </w:tcBorders>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20" w:type="dxa"/>
            <w:vAlign w:val="bottom"/>
            <w:shd w:val="clear" w:color="auto" w:fill="E8EFF9"/>
          </w:tcPr>
          <w:p>
            <w:pPr>
              <w:spacing w:after="0"/>
              <w:rPr>
                <w:sz w:val="18"/>
                <w:szCs w:val="18"/>
                <w:color w:val="auto"/>
              </w:rPr>
            </w:pPr>
          </w:p>
        </w:tc>
        <w:tc>
          <w:tcPr>
            <w:tcW w:w="8460" w:type="dxa"/>
            <w:vAlign w:val="bottom"/>
            <w:gridSpan w:val="3"/>
            <w:shd w:val="clear" w:color="auto" w:fill="E8EFF9"/>
          </w:tcPr>
          <w:p>
            <w:pPr>
              <w:ind w:left="20"/>
              <w:spacing w:after="0"/>
              <w:rPr>
                <w:sz w:val="20"/>
                <w:szCs w:val="20"/>
                <w:color w:val="auto"/>
              </w:rPr>
            </w:pPr>
            <w:r>
              <w:rPr>
                <w:rFonts w:ascii="Times New Roman" w:cs="Times New Roman" w:eastAsia="Times New Roman" w:hAnsi="Times New Roman"/>
                <w:sz w:val="16"/>
                <w:szCs w:val="16"/>
                <w:b w:val="1"/>
                <w:bCs w:val="1"/>
                <w:color w:val="0077C0"/>
              </w:rPr>
              <w:t>Liabilities and Equity</w:t>
            </w:r>
          </w:p>
        </w:tc>
        <w:tc>
          <w:tcPr>
            <w:tcW w:w="300" w:type="dxa"/>
            <w:vAlign w:val="bottom"/>
            <w:shd w:val="clear" w:color="auto" w:fill="E8EFF9"/>
          </w:tcPr>
          <w:p>
            <w:pPr>
              <w:spacing w:after="0"/>
              <w:rPr>
                <w:sz w:val="18"/>
                <w:szCs w:val="18"/>
                <w:color w:val="auto"/>
              </w:rPr>
            </w:pPr>
          </w:p>
        </w:tc>
        <w:tc>
          <w:tcPr>
            <w:tcW w:w="800" w:type="dxa"/>
            <w:vAlign w:val="bottom"/>
            <w:shd w:val="clear" w:color="auto" w:fill="E8EFF9"/>
          </w:tcPr>
          <w:p>
            <w:pPr>
              <w:spacing w:after="0"/>
              <w:rPr>
                <w:sz w:val="18"/>
                <w:szCs w:val="18"/>
                <w:color w:val="auto"/>
              </w:rPr>
            </w:pPr>
          </w:p>
        </w:tc>
        <w:tc>
          <w:tcPr>
            <w:tcW w:w="120" w:type="dxa"/>
            <w:vAlign w:val="bottom"/>
            <w:tcBorders>
              <w:right w:val="single" w:sz="8" w:color="0077C0"/>
            </w:tcBorders>
            <w:shd w:val="clear" w:color="auto" w:fill="E8EFF9"/>
          </w:tcPr>
          <w:p>
            <w:pPr>
              <w:spacing w:after="0"/>
              <w:rPr>
                <w:sz w:val="18"/>
                <w:szCs w:val="18"/>
                <w:color w:val="auto"/>
              </w:rPr>
            </w:pPr>
          </w:p>
        </w:tc>
        <w:tc>
          <w:tcPr>
            <w:tcW w:w="300" w:type="dxa"/>
            <w:vAlign w:val="bottom"/>
            <w:shd w:val="clear" w:color="auto" w:fill="E8EFF9"/>
          </w:tcPr>
          <w:p>
            <w:pPr>
              <w:spacing w:after="0"/>
              <w:rPr>
                <w:sz w:val="18"/>
                <w:szCs w:val="18"/>
                <w:color w:val="auto"/>
              </w:rPr>
            </w:pPr>
          </w:p>
        </w:tc>
        <w:tc>
          <w:tcPr>
            <w:tcW w:w="760" w:type="dxa"/>
            <w:vAlign w:val="bottom"/>
            <w:shd w:val="clear" w:color="auto" w:fill="E8EFF9"/>
          </w:tcPr>
          <w:p>
            <w:pPr>
              <w:spacing w:after="0"/>
              <w:rPr>
                <w:sz w:val="18"/>
                <w:szCs w:val="18"/>
                <w:color w:val="auto"/>
              </w:rPr>
            </w:pPr>
          </w:p>
        </w:tc>
        <w:tc>
          <w:tcPr>
            <w:tcW w:w="40" w:type="dxa"/>
            <w:vAlign w:val="bottom"/>
            <w:shd w:val="clear" w:color="auto" w:fill="E8EFF9"/>
          </w:tcPr>
          <w:p>
            <w:pPr>
              <w:spacing w:after="0"/>
              <w:rPr>
                <w:sz w:val="18"/>
                <w:szCs w:val="18"/>
                <w:color w:val="auto"/>
              </w:rPr>
            </w:pPr>
          </w:p>
        </w:tc>
        <w:tc>
          <w:tcPr>
            <w:tcW w:w="240" w:type="dxa"/>
            <w:vAlign w:val="bottom"/>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0" w:type="dxa"/>
            <w:vAlign w:val="bottom"/>
            <w:shd w:val="clear" w:color="auto" w:fill="E8EFF9"/>
          </w:tcPr>
          <w:p>
            <w:pPr>
              <w:spacing w:after="0"/>
              <w:rPr>
                <w:sz w:val="18"/>
                <w:szCs w:val="18"/>
                <w:color w:val="auto"/>
              </w:rPr>
            </w:pPr>
          </w:p>
        </w:tc>
        <w:tc>
          <w:tcPr>
            <w:tcW w:w="8460" w:type="dxa"/>
            <w:vAlign w:val="bottom"/>
            <w:gridSpan w:val="3"/>
            <w:shd w:val="clear" w:color="auto" w:fill="E8EFF9"/>
          </w:tcPr>
          <w:p>
            <w:pPr>
              <w:ind w:left="140"/>
              <w:spacing w:after="0"/>
              <w:rPr>
                <w:sz w:val="20"/>
                <w:szCs w:val="20"/>
                <w:color w:val="auto"/>
              </w:rPr>
            </w:pPr>
            <w:r>
              <w:rPr>
                <w:rFonts w:ascii="Times New Roman" w:cs="Times New Roman" w:eastAsia="Times New Roman" w:hAnsi="Times New Roman"/>
                <w:sz w:val="16"/>
                <w:szCs w:val="16"/>
                <w:color w:val="auto"/>
              </w:rPr>
              <w:t>Short-term debt</w:t>
            </w:r>
          </w:p>
        </w:tc>
        <w:tc>
          <w:tcPr>
            <w:tcW w:w="300" w:type="dxa"/>
            <w:vAlign w:val="bottom"/>
            <w:shd w:val="clear" w:color="auto" w:fill="E8EFF9"/>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4,406</w:t>
            </w:r>
          </w:p>
        </w:tc>
        <w:tc>
          <w:tcPr>
            <w:tcW w:w="120" w:type="dxa"/>
            <w:vAlign w:val="bottom"/>
            <w:tcBorders>
              <w:right w:val="single" w:sz="8" w:color="0077C0"/>
            </w:tcBorders>
            <w:shd w:val="clear" w:color="auto" w:fill="E8EFF9"/>
          </w:tcPr>
          <w:p>
            <w:pPr>
              <w:spacing w:after="0"/>
              <w:rPr>
                <w:sz w:val="18"/>
                <w:szCs w:val="18"/>
                <w:color w:val="auto"/>
              </w:rPr>
            </w:pPr>
          </w:p>
        </w:tc>
        <w:tc>
          <w:tcPr>
            <w:tcW w:w="300" w:type="dxa"/>
            <w:vAlign w:val="bottom"/>
            <w:shd w:val="clear" w:color="auto" w:fill="E8EFF9"/>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40" w:type="dxa"/>
            <w:vAlign w:val="bottom"/>
            <w:shd w:val="clear" w:color="auto" w:fill="E8EFF9"/>
          </w:tcPr>
          <w:p>
            <w:pPr>
              <w:spacing w:after="0"/>
              <w:rPr>
                <w:sz w:val="18"/>
                <w:szCs w:val="18"/>
                <w:color w:val="auto"/>
              </w:rPr>
            </w:pPr>
          </w:p>
        </w:tc>
        <w:tc>
          <w:tcPr>
            <w:tcW w:w="240" w:type="dxa"/>
            <w:vAlign w:val="bottom"/>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shd w:val="clear" w:color="auto" w:fill="E8EFF9"/>
          </w:tcPr>
          <w:p>
            <w:pPr>
              <w:spacing w:after="0"/>
              <w:rPr>
                <w:sz w:val="18"/>
                <w:szCs w:val="18"/>
                <w:color w:val="auto"/>
              </w:rPr>
            </w:pPr>
          </w:p>
        </w:tc>
        <w:tc>
          <w:tcPr>
            <w:tcW w:w="8460" w:type="dxa"/>
            <w:vAlign w:val="bottom"/>
            <w:gridSpan w:val="3"/>
            <w:shd w:val="clear" w:color="auto" w:fill="E8EFF9"/>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E8EFF9"/>
          </w:tcPr>
          <w:p>
            <w:pPr>
              <w:spacing w:after="0"/>
              <w:rPr>
                <w:sz w:val="18"/>
                <w:szCs w:val="18"/>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22,079</w:t>
            </w:r>
          </w:p>
        </w:tc>
        <w:tc>
          <w:tcPr>
            <w:tcW w:w="120" w:type="dxa"/>
            <w:vAlign w:val="bottom"/>
            <w:tcBorders>
              <w:right w:val="single" w:sz="8" w:color="0077C0"/>
            </w:tcBorders>
            <w:shd w:val="clear" w:color="auto" w:fill="E8EFF9"/>
          </w:tcPr>
          <w:p>
            <w:pPr>
              <w:spacing w:after="0"/>
              <w:rPr>
                <w:sz w:val="18"/>
                <w:szCs w:val="18"/>
                <w:color w:val="auto"/>
              </w:rPr>
            </w:pPr>
          </w:p>
        </w:tc>
        <w:tc>
          <w:tcPr>
            <w:tcW w:w="300" w:type="dxa"/>
            <w:vAlign w:val="bottom"/>
            <w:shd w:val="clear" w:color="auto" w:fill="E8EFF9"/>
          </w:tcPr>
          <w:p>
            <w:pPr>
              <w:spacing w:after="0"/>
              <w:rPr>
                <w:sz w:val="18"/>
                <w:szCs w:val="18"/>
                <w:color w:val="auto"/>
              </w:rPr>
            </w:pPr>
          </w:p>
        </w:tc>
        <w:tc>
          <w:tcPr>
            <w:tcW w:w="7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20,423</w:t>
            </w:r>
          </w:p>
        </w:tc>
        <w:tc>
          <w:tcPr>
            <w:tcW w:w="40" w:type="dxa"/>
            <w:vAlign w:val="bottom"/>
            <w:shd w:val="clear" w:color="auto" w:fill="E8EFF9"/>
          </w:tcPr>
          <w:p>
            <w:pPr>
              <w:spacing w:after="0"/>
              <w:rPr>
                <w:sz w:val="18"/>
                <w:szCs w:val="18"/>
                <w:color w:val="auto"/>
              </w:rPr>
            </w:pPr>
          </w:p>
        </w:tc>
        <w:tc>
          <w:tcPr>
            <w:tcW w:w="240" w:type="dxa"/>
            <w:vAlign w:val="bottom"/>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shd w:val="clear" w:color="auto" w:fill="E8EFF9"/>
          </w:tcPr>
          <w:p>
            <w:pPr>
              <w:spacing w:after="0"/>
              <w:rPr>
                <w:sz w:val="18"/>
                <w:szCs w:val="18"/>
                <w:color w:val="auto"/>
              </w:rPr>
            </w:pPr>
          </w:p>
        </w:tc>
        <w:tc>
          <w:tcPr>
            <w:tcW w:w="8460" w:type="dxa"/>
            <w:vAlign w:val="bottom"/>
            <w:gridSpan w:val="3"/>
            <w:shd w:val="clear" w:color="auto" w:fill="E8EFF9"/>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300" w:type="dxa"/>
            <w:vAlign w:val="bottom"/>
            <w:shd w:val="clear" w:color="auto" w:fill="E8EFF9"/>
          </w:tcPr>
          <w:p>
            <w:pPr>
              <w:spacing w:after="0"/>
              <w:rPr>
                <w:sz w:val="18"/>
                <w:szCs w:val="18"/>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8,486</w:t>
            </w:r>
          </w:p>
        </w:tc>
        <w:tc>
          <w:tcPr>
            <w:tcW w:w="120" w:type="dxa"/>
            <w:vAlign w:val="bottom"/>
            <w:tcBorders>
              <w:right w:val="single" w:sz="8" w:color="0077C0"/>
            </w:tcBorders>
            <w:shd w:val="clear" w:color="auto" w:fill="E8EFF9"/>
          </w:tcPr>
          <w:p>
            <w:pPr>
              <w:spacing w:after="0"/>
              <w:rPr>
                <w:sz w:val="18"/>
                <w:szCs w:val="18"/>
                <w:color w:val="auto"/>
              </w:rPr>
            </w:pPr>
          </w:p>
        </w:tc>
        <w:tc>
          <w:tcPr>
            <w:tcW w:w="300" w:type="dxa"/>
            <w:vAlign w:val="bottom"/>
            <w:shd w:val="clear" w:color="auto" w:fill="E8EFF9"/>
          </w:tcPr>
          <w:p>
            <w:pPr>
              <w:spacing w:after="0"/>
              <w:rPr>
                <w:sz w:val="18"/>
                <w:szCs w:val="18"/>
                <w:color w:val="auto"/>
              </w:rPr>
            </w:pPr>
          </w:p>
        </w:tc>
        <w:tc>
          <w:tcPr>
            <w:tcW w:w="7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7,655</w:t>
            </w:r>
          </w:p>
        </w:tc>
        <w:tc>
          <w:tcPr>
            <w:tcW w:w="40" w:type="dxa"/>
            <w:vAlign w:val="bottom"/>
            <w:shd w:val="clear" w:color="auto" w:fill="E8EFF9"/>
          </w:tcPr>
          <w:p>
            <w:pPr>
              <w:spacing w:after="0"/>
              <w:rPr>
                <w:sz w:val="18"/>
                <w:szCs w:val="18"/>
                <w:color w:val="auto"/>
              </w:rPr>
            </w:pPr>
          </w:p>
        </w:tc>
        <w:tc>
          <w:tcPr>
            <w:tcW w:w="240" w:type="dxa"/>
            <w:vAlign w:val="bottom"/>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shd w:val="clear" w:color="auto" w:fill="E8EFF9"/>
          </w:tcPr>
          <w:p>
            <w:pPr>
              <w:spacing w:after="0"/>
              <w:rPr>
                <w:sz w:val="18"/>
                <w:szCs w:val="18"/>
                <w:color w:val="auto"/>
              </w:rPr>
            </w:pPr>
          </w:p>
        </w:tc>
        <w:tc>
          <w:tcPr>
            <w:tcW w:w="8460" w:type="dxa"/>
            <w:vAlign w:val="bottom"/>
            <w:gridSpan w:val="3"/>
            <w:shd w:val="clear" w:color="auto" w:fill="E8EFF9"/>
          </w:tcPr>
          <w:p>
            <w:pPr>
              <w:ind w:left="140"/>
              <w:spacing w:after="0"/>
              <w:rPr>
                <w:sz w:val="20"/>
                <w:szCs w:val="20"/>
                <w:color w:val="auto"/>
              </w:rPr>
            </w:pPr>
            <w:r>
              <w:rPr>
                <w:rFonts w:ascii="Times New Roman" w:cs="Times New Roman" w:eastAsia="Times New Roman" w:hAnsi="Times New Roman"/>
                <w:sz w:val="16"/>
                <w:szCs w:val="16"/>
                <w:color w:val="auto"/>
              </w:rPr>
              <w:t>Federal and other taxes on income</w:t>
            </w:r>
          </w:p>
        </w:tc>
        <w:tc>
          <w:tcPr>
            <w:tcW w:w="300" w:type="dxa"/>
            <w:vAlign w:val="bottom"/>
            <w:shd w:val="clear" w:color="auto" w:fill="E8EFF9"/>
          </w:tcPr>
          <w:p>
            <w:pPr>
              <w:spacing w:after="0"/>
              <w:rPr>
                <w:sz w:val="18"/>
                <w:szCs w:val="18"/>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1,872</w:t>
            </w:r>
          </w:p>
        </w:tc>
        <w:tc>
          <w:tcPr>
            <w:tcW w:w="120" w:type="dxa"/>
            <w:vAlign w:val="bottom"/>
            <w:tcBorders>
              <w:right w:val="single" w:sz="8" w:color="0077C0"/>
            </w:tcBorders>
            <w:shd w:val="clear" w:color="auto" w:fill="E8EFF9"/>
          </w:tcPr>
          <w:p>
            <w:pPr>
              <w:spacing w:after="0"/>
              <w:rPr>
                <w:sz w:val="18"/>
                <w:szCs w:val="18"/>
                <w:color w:val="auto"/>
              </w:rPr>
            </w:pPr>
          </w:p>
        </w:tc>
        <w:tc>
          <w:tcPr>
            <w:tcW w:w="300" w:type="dxa"/>
            <w:vAlign w:val="bottom"/>
            <w:shd w:val="clear" w:color="auto" w:fill="E8EFF9"/>
          </w:tcPr>
          <w:p>
            <w:pPr>
              <w:spacing w:after="0"/>
              <w:rPr>
                <w:sz w:val="18"/>
                <w:szCs w:val="18"/>
                <w:color w:val="auto"/>
              </w:rPr>
            </w:pPr>
          </w:p>
        </w:tc>
        <w:tc>
          <w:tcPr>
            <w:tcW w:w="7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1,863</w:t>
            </w:r>
          </w:p>
        </w:tc>
        <w:tc>
          <w:tcPr>
            <w:tcW w:w="40" w:type="dxa"/>
            <w:vAlign w:val="bottom"/>
            <w:shd w:val="clear" w:color="auto" w:fill="E8EFF9"/>
          </w:tcPr>
          <w:p>
            <w:pPr>
              <w:spacing w:after="0"/>
              <w:rPr>
                <w:sz w:val="18"/>
                <w:szCs w:val="18"/>
                <w:color w:val="auto"/>
              </w:rPr>
            </w:pPr>
          </w:p>
        </w:tc>
        <w:tc>
          <w:tcPr>
            <w:tcW w:w="240" w:type="dxa"/>
            <w:vAlign w:val="bottom"/>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0" w:type="dxa"/>
            <w:vAlign w:val="bottom"/>
            <w:tcBorders>
              <w:bottom w:val="single" w:sz="8" w:color="E8EFF9"/>
            </w:tcBorders>
            <w:shd w:val="clear" w:color="auto" w:fill="E8EFF9"/>
          </w:tcPr>
          <w:p>
            <w:pPr>
              <w:spacing w:after="0"/>
              <w:rPr>
                <w:sz w:val="19"/>
                <w:szCs w:val="19"/>
                <w:color w:val="auto"/>
              </w:rPr>
            </w:pPr>
          </w:p>
        </w:tc>
        <w:tc>
          <w:tcPr>
            <w:tcW w:w="8460" w:type="dxa"/>
            <w:vAlign w:val="bottom"/>
            <w:tcBorders>
              <w:bottom w:val="single" w:sz="8" w:color="0077C0"/>
            </w:tcBorders>
            <w:gridSpan w:val="3"/>
            <w:shd w:val="clear" w:color="auto" w:fill="E8EFF9"/>
          </w:tcPr>
          <w:p>
            <w:pPr>
              <w:ind w:left="140"/>
              <w:spacing w:after="0"/>
              <w:rPr>
                <w:sz w:val="20"/>
                <w:szCs w:val="20"/>
                <w:color w:val="auto"/>
              </w:rPr>
            </w:pPr>
            <w:r>
              <w:rPr>
                <w:rFonts w:ascii="Times New Roman" w:cs="Times New Roman" w:eastAsia="Times New Roman" w:hAnsi="Times New Roman"/>
                <w:sz w:val="16"/>
                <w:szCs w:val="16"/>
                <w:color w:val="auto"/>
              </w:rPr>
              <w:t>Other taxes payable</w:t>
            </w:r>
          </w:p>
        </w:tc>
        <w:tc>
          <w:tcPr>
            <w:tcW w:w="300" w:type="dxa"/>
            <w:vAlign w:val="bottom"/>
            <w:tcBorders>
              <w:bottom w:val="single" w:sz="8" w:color="0077C0"/>
            </w:tcBorders>
            <w:shd w:val="clear" w:color="auto" w:fill="E8EFF9"/>
          </w:tcPr>
          <w:p>
            <w:pPr>
              <w:spacing w:after="0"/>
              <w:rPr>
                <w:sz w:val="19"/>
                <w:szCs w:val="19"/>
                <w:color w:val="auto"/>
              </w:rPr>
            </w:pPr>
          </w:p>
        </w:tc>
        <w:tc>
          <w:tcPr>
            <w:tcW w:w="8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1,715</w:t>
            </w:r>
          </w:p>
        </w:tc>
        <w:tc>
          <w:tcPr>
            <w:tcW w:w="120" w:type="dxa"/>
            <w:vAlign w:val="bottom"/>
            <w:tcBorders>
              <w:bottom w:val="single" w:sz="8" w:color="0077C0"/>
              <w:right w:val="single" w:sz="8" w:color="0077C0"/>
            </w:tcBorders>
            <w:shd w:val="clear" w:color="auto" w:fill="E8EFF9"/>
          </w:tcPr>
          <w:p>
            <w:pPr>
              <w:spacing w:after="0"/>
              <w:rPr>
                <w:sz w:val="19"/>
                <w:szCs w:val="19"/>
                <w:color w:val="auto"/>
              </w:rPr>
            </w:pPr>
          </w:p>
        </w:tc>
        <w:tc>
          <w:tcPr>
            <w:tcW w:w="300" w:type="dxa"/>
            <w:vAlign w:val="bottom"/>
            <w:tcBorders>
              <w:bottom w:val="single" w:sz="8" w:color="0077C0"/>
            </w:tcBorders>
            <w:shd w:val="clear" w:color="auto" w:fill="E8EFF9"/>
          </w:tcPr>
          <w:p>
            <w:pPr>
              <w:spacing w:after="0"/>
              <w:rPr>
                <w:sz w:val="19"/>
                <w:szCs w:val="19"/>
                <w:color w:val="auto"/>
              </w:rPr>
            </w:pPr>
          </w:p>
        </w:tc>
        <w:tc>
          <w:tcPr>
            <w:tcW w:w="76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1,788</w:t>
            </w:r>
          </w:p>
        </w:tc>
        <w:tc>
          <w:tcPr>
            <w:tcW w:w="40" w:type="dxa"/>
            <w:vAlign w:val="bottom"/>
            <w:tcBorders>
              <w:bottom w:val="single" w:sz="8" w:color="0077C0"/>
            </w:tcBorders>
            <w:shd w:val="clear" w:color="auto" w:fill="E8EFF9"/>
          </w:tcPr>
          <w:p>
            <w:pPr>
              <w:spacing w:after="0"/>
              <w:rPr>
                <w:sz w:val="19"/>
                <w:szCs w:val="19"/>
                <w:color w:val="auto"/>
              </w:rPr>
            </w:pPr>
          </w:p>
        </w:tc>
        <w:tc>
          <w:tcPr>
            <w:tcW w:w="240" w:type="dxa"/>
            <w:vAlign w:val="bottom"/>
            <w:tcBorders>
              <w:bottom w:val="single" w:sz="8" w:color="E8EFF9"/>
            </w:tcBorders>
            <w:shd w:val="clear" w:color="auto" w:fill="E8EFF9"/>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20" w:type="dxa"/>
            <w:vAlign w:val="bottom"/>
            <w:shd w:val="clear" w:color="auto" w:fill="E8EFF9"/>
          </w:tcPr>
          <w:p>
            <w:pPr>
              <w:spacing w:after="0"/>
              <w:rPr>
                <w:sz w:val="18"/>
                <w:szCs w:val="18"/>
                <w:color w:val="auto"/>
              </w:rPr>
            </w:pPr>
          </w:p>
        </w:tc>
        <w:tc>
          <w:tcPr>
            <w:tcW w:w="8460" w:type="dxa"/>
            <w:vAlign w:val="bottom"/>
            <w:gridSpan w:val="3"/>
            <w:shd w:val="clear" w:color="auto" w:fill="E8EFF9"/>
          </w:tcPr>
          <w:p>
            <w:pPr>
              <w:ind w:left="140"/>
              <w:spacing w:after="0"/>
              <w:rPr>
                <w:sz w:val="20"/>
                <w:szCs w:val="20"/>
                <w:color w:val="auto"/>
              </w:rPr>
            </w:pPr>
            <w:r>
              <w:rPr>
                <w:rFonts w:ascii="Times New Roman" w:cs="Times New Roman" w:eastAsia="Times New Roman" w:hAnsi="Times New Roman"/>
                <w:sz w:val="16"/>
                <w:szCs w:val="16"/>
                <w:b w:val="1"/>
                <w:bCs w:val="1"/>
                <w:color w:val="0077C0"/>
              </w:rPr>
              <w:t>Total Current Liabilities</w:t>
            </w:r>
          </w:p>
        </w:tc>
        <w:tc>
          <w:tcPr>
            <w:tcW w:w="300" w:type="dxa"/>
            <w:vAlign w:val="bottom"/>
            <w:shd w:val="clear" w:color="auto" w:fill="E8EFF9"/>
          </w:tcPr>
          <w:p>
            <w:pPr>
              <w:spacing w:after="0"/>
              <w:rPr>
                <w:sz w:val="18"/>
                <w:szCs w:val="18"/>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38,558</w:t>
            </w:r>
          </w:p>
        </w:tc>
        <w:tc>
          <w:tcPr>
            <w:tcW w:w="120" w:type="dxa"/>
            <w:vAlign w:val="bottom"/>
            <w:tcBorders>
              <w:right w:val="single" w:sz="8" w:color="0077C0"/>
            </w:tcBorders>
            <w:shd w:val="clear" w:color="auto" w:fill="E8EFF9"/>
          </w:tcPr>
          <w:p>
            <w:pPr>
              <w:spacing w:after="0"/>
              <w:rPr>
                <w:sz w:val="18"/>
                <w:szCs w:val="18"/>
                <w:color w:val="auto"/>
              </w:rPr>
            </w:pPr>
          </w:p>
        </w:tc>
        <w:tc>
          <w:tcPr>
            <w:tcW w:w="300" w:type="dxa"/>
            <w:vAlign w:val="bottom"/>
            <w:shd w:val="clear" w:color="auto" w:fill="E8EFF9"/>
          </w:tcPr>
          <w:p>
            <w:pPr>
              <w:spacing w:after="0"/>
              <w:rPr>
                <w:sz w:val="18"/>
                <w:szCs w:val="18"/>
                <w:color w:val="auto"/>
              </w:rPr>
            </w:pPr>
          </w:p>
        </w:tc>
        <w:tc>
          <w:tcPr>
            <w:tcW w:w="7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32,258</w:t>
            </w:r>
          </w:p>
        </w:tc>
        <w:tc>
          <w:tcPr>
            <w:tcW w:w="40" w:type="dxa"/>
            <w:vAlign w:val="bottom"/>
            <w:shd w:val="clear" w:color="auto" w:fill="E8EFF9"/>
          </w:tcPr>
          <w:p>
            <w:pPr>
              <w:spacing w:after="0"/>
              <w:rPr>
                <w:sz w:val="18"/>
                <w:szCs w:val="18"/>
                <w:color w:val="auto"/>
              </w:rPr>
            </w:pPr>
          </w:p>
        </w:tc>
        <w:tc>
          <w:tcPr>
            <w:tcW w:w="240" w:type="dxa"/>
            <w:vAlign w:val="bottom"/>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0" w:type="dxa"/>
            <w:vAlign w:val="bottom"/>
            <w:shd w:val="clear" w:color="auto" w:fill="E8EFF9"/>
          </w:tcPr>
          <w:p>
            <w:pPr>
              <w:spacing w:after="0"/>
              <w:rPr>
                <w:sz w:val="18"/>
                <w:szCs w:val="18"/>
                <w:color w:val="auto"/>
              </w:rPr>
            </w:pPr>
          </w:p>
        </w:tc>
        <w:tc>
          <w:tcPr>
            <w:tcW w:w="8460" w:type="dxa"/>
            <w:vAlign w:val="bottom"/>
            <w:gridSpan w:val="3"/>
            <w:shd w:val="clear" w:color="auto" w:fill="E8EFF9"/>
          </w:tcPr>
          <w:p>
            <w:pPr>
              <w:ind w:left="140"/>
              <w:spacing w:after="0"/>
              <w:rPr>
                <w:sz w:val="20"/>
                <w:szCs w:val="20"/>
                <w:color w:val="auto"/>
              </w:rPr>
            </w:pPr>
            <w:r>
              <w:rPr>
                <w:rFonts w:ascii="Times New Roman" w:cs="Times New Roman" w:eastAsia="Times New Roman" w:hAnsi="Times New Roman"/>
                <w:sz w:val="16"/>
                <w:szCs w:val="16"/>
                <w:color w:val="auto"/>
              </w:rPr>
              <w:t>Long-term debt</w:t>
            </w:r>
            <w:r>
              <w:rPr>
                <w:rFonts w:ascii="Times New Roman" w:cs="Times New Roman" w:eastAsia="Times New Roman" w:hAnsi="Times New Roman"/>
                <w:sz w:val="9"/>
                <w:szCs w:val="9"/>
                <w:color w:val="auto"/>
              </w:rPr>
              <w:t>1</w:t>
            </w:r>
          </w:p>
        </w:tc>
        <w:tc>
          <w:tcPr>
            <w:tcW w:w="300" w:type="dxa"/>
            <w:vAlign w:val="bottom"/>
            <w:shd w:val="clear" w:color="auto" w:fill="E8EFF9"/>
          </w:tcPr>
          <w:p>
            <w:pPr>
              <w:spacing w:after="0"/>
              <w:rPr>
                <w:sz w:val="18"/>
                <w:szCs w:val="18"/>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20,135</w:t>
            </w:r>
          </w:p>
        </w:tc>
        <w:tc>
          <w:tcPr>
            <w:tcW w:w="120" w:type="dxa"/>
            <w:vAlign w:val="bottom"/>
            <w:tcBorders>
              <w:right w:val="single" w:sz="8" w:color="0077C0"/>
            </w:tcBorders>
            <w:shd w:val="clear" w:color="auto" w:fill="E8EFF9"/>
          </w:tcPr>
          <w:p>
            <w:pPr>
              <w:spacing w:after="0"/>
              <w:rPr>
                <w:sz w:val="18"/>
                <w:szCs w:val="18"/>
                <w:color w:val="auto"/>
              </w:rPr>
            </w:pPr>
          </w:p>
        </w:tc>
        <w:tc>
          <w:tcPr>
            <w:tcW w:w="300" w:type="dxa"/>
            <w:vAlign w:val="bottom"/>
            <w:shd w:val="clear" w:color="auto" w:fill="E8EFF9"/>
          </w:tcPr>
          <w:p>
            <w:pPr>
              <w:spacing w:after="0"/>
              <w:rPr>
                <w:sz w:val="18"/>
                <w:szCs w:val="18"/>
                <w:color w:val="auto"/>
              </w:rPr>
            </w:pPr>
          </w:p>
        </w:tc>
        <w:tc>
          <w:tcPr>
            <w:tcW w:w="7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20,307</w:t>
            </w:r>
          </w:p>
        </w:tc>
        <w:tc>
          <w:tcPr>
            <w:tcW w:w="40" w:type="dxa"/>
            <w:vAlign w:val="bottom"/>
            <w:shd w:val="clear" w:color="auto" w:fill="E8EFF9"/>
          </w:tcPr>
          <w:p>
            <w:pPr>
              <w:spacing w:after="0"/>
              <w:rPr>
                <w:sz w:val="18"/>
                <w:szCs w:val="18"/>
                <w:color w:val="auto"/>
              </w:rPr>
            </w:pPr>
          </w:p>
        </w:tc>
        <w:tc>
          <w:tcPr>
            <w:tcW w:w="240" w:type="dxa"/>
            <w:vAlign w:val="bottom"/>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shd w:val="clear" w:color="auto" w:fill="E8EFF9"/>
          </w:tcPr>
          <w:p>
            <w:pPr>
              <w:spacing w:after="0"/>
              <w:rPr>
                <w:sz w:val="18"/>
                <w:szCs w:val="18"/>
                <w:color w:val="auto"/>
              </w:rPr>
            </w:pPr>
          </w:p>
        </w:tc>
        <w:tc>
          <w:tcPr>
            <w:tcW w:w="8460" w:type="dxa"/>
            <w:vAlign w:val="bottom"/>
            <w:gridSpan w:val="3"/>
            <w:shd w:val="clear" w:color="auto" w:fill="E8EFF9"/>
          </w:tcPr>
          <w:p>
            <w:pPr>
              <w:ind w:left="140"/>
              <w:spacing w:after="0"/>
              <w:rPr>
                <w:sz w:val="20"/>
                <w:szCs w:val="20"/>
                <w:color w:val="auto"/>
              </w:rPr>
            </w:pPr>
            <w:r>
              <w:rPr>
                <w:rFonts w:ascii="Times New Roman" w:cs="Times New Roman" w:eastAsia="Times New Roman" w:hAnsi="Times New Roman"/>
                <w:sz w:val="16"/>
                <w:szCs w:val="16"/>
                <w:color w:val="auto"/>
              </w:rPr>
              <w:t>Deferred credits and other noncurrent obligations</w:t>
            </w:r>
          </w:p>
        </w:tc>
        <w:tc>
          <w:tcPr>
            <w:tcW w:w="300" w:type="dxa"/>
            <w:vAlign w:val="bottom"/>
            <w:shd w:val="clear" w:color="auto" w:fill="E8EFF9"/>
          </w:tcPr>
          <w:p>
            <w:pPr>
              <w:spacing w:after="0"/>
              <w:rPr>
                <w:sz w:val="18"/>
                <w:szCs w:val="18"/>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22,094</w:t>
            </w:r>
          </w:p>
        </w:tc>
        <w:tc>
          <w:tcPr>
            <w:tcW w:w="120" w:type="dxa"/>
            <w:vAlign w:val="bottom"/>
            <w:tcBorders>
              <w:right w:val="single" w:sz="8" w:color="0077C0"/>
            </w:tcBorders>
            <w:shd w:val="clear" w:color="auto" w:fill="E8EFF9"/>
          </w:tcPr>
          <w:p>
            <w:pPr>
              <w:spacing w:after="0"/>
              <w:rPr>
                <w:sz w:val="18"/>
                <w:szCs w:val="18"/>
                <w:color w:val="auto"/>
              </w:rPr>
            </w:pPr>
          </w:p>
        </w:tc>
        <w:tc>
          <w:tcPr>
            <w:tcW w:w="300" w:type="dxa"/>
            <w:vAlign w:val="bottom"/>
            <w:shd w:val="clear" w:color="auto" w:fill="E8EFF9"/>
          </w:tcPr>
          <w:p>
            <w:pPr>
              <w:spacing w:after="0"/>
              <w:rPr>
                <w:sz w:val="18"/>
                <w:szCs w:val="18"/>
                <w:color w:val="auto"/>
              </w:rPr>
            </w:pPr>
          </w:p>
        </w:tc>
        <w:tc>
          <w:tcPr>
            <w:tcW w:w="7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24,226</w:t>
            </w:r>
          </w:p>
        </w:tc>
        <w:tc>
          <w:tcPr>
            <w:tcW w:w="40" w:type="dxa"/>
            <w:vAlign w:val="bottom"/>
            <w:shd w:val="clear" w:color="auto" w:fill="E8EFF9"/>
          </w:tcPr>
          <w:p>
            <w:pPr>
              <w:spacing w:after="0"/>
              <w:rPr>
                <w:sz w:val="18"/>
                <w:szCs w:val="18"/>
                <w:color w:val="auto"/>
              </w:rPr>
            </w:pPr>
          </w:p>
        </w:tc>
        <w:tc>
          <w:tcPr>
            <w:tcW w:w="240" w:type="dxa"/>
            <w:vAlign w:val="bottom"/>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shd w:val="clear" w:color="auto" w:fill="E8EFF9"/>
          </w:tcPr>
          <w:p>
            <w:pPr>
              <w:spacing w:after="0"/>
              <w:rPr>
                <w:sz w:val="18"/>
                <w:szCs w:val="18"/>
                <w:color w:val="auto"/>
              </w:rPr>
            </w:pPr>
          </w:p>
        </w:tc>
        <w:tc>
          <w:tcPr>
            <w:tcW w:w="8460" w:type="dxa"/>
            <w:vAlign w:val="bottom"/>
            <w:gridSpan w:val="3"/>
            <w:shd w:val="clear" w:color="auto" w:fill="E8EFF9"/>
          </w:tcPr>
          <w:p>
            <w:pPr>
              <w:ind w:left="140"/>
              <w:spacing w:after="0"/>
              <w:rPr>
                <w:sz w:val="20"/>
                <w:szCs w:val="20"/>
                <w:color w:val="auto"/>
              </w:rPr>
            </w:pPr>
            <w:r>
              <w:rPr>
                <w:rFonts w:ascii="Times New Roman" w:cs="Times New Roman" w:eastAsia="Times New Roman" w:hAnsi="Times New Roman"/>
                <w:sz w:val="16"/>
                <w:szCs w:val="16"/>
                <w:color w:val="auto"/>
              </w:rPr>
              <w:t>Noncurrent deferred income taxes</w:t>
            </w:r>
          </w:p>
        </w:tc>
        <w:tc>
          <w:tcPr>
            <w:tcW w:w="300" w:type="dxa"/>
            <w:vAlign w:val="bottom"/>
            <w:shd w:val="clear" w:color="auto" w:fill="E8EFF9"/>
          </w:tcPr>
          <w:p>
            <w:pPr>
              <w:spacing w:after="0"/>
              <w:rPr>
                <w:sz w:val="18"/>
                <w:szCs w:val="18"/>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19,137</w:t>
            </w:r>
          </w:p>
        </w:tc>
        <w:tc>
          <w:tcPr>
            <w:tcW w:w="120" w:type="dxa"/>
            <w:vAlign w:val="bottom"/>
            <w:tcBorders>
              <w:right w:val="single" w:sz="8" w:color="0077C0"/>
            </w:tcBorders>
            <w:shd w:val="clear" w:color="auto" w:fill="E8EFF9"/>
          </w:tcPr>
          <w:p>
            <w:pPr>
              <w:spacing w:after="0"/>
              <w:rPr>
                <w:sz w:val="18"/>
                <w:szCs w:val="18"/>
                <w:color w:val="auto"/>
              </w:rPr>
            </w:pPr>
          </w:p>
        </w:tc>
        <w:tc>
          <w:tcPr>
            <w:tcW w:w="300" w:type="dxa"/>
            <w:vAlign w:val="bottom"/>
            <w:shd w:val="clear" w:color="auto" w:fill="E8EFF9"/>
          </w:tcPr>
          <w:p>
            <w:pPr>
              <w:spacing w:after="0"/>
              <w:rPr>
                <w:sz w:val="18"/>
                <w:szCs w:val="18"/>
                <w:color w:val="auto"/>
              </w:rPr>
            </w:pPr>
          </w:p>
        </w:tc>
        <w:tc>
          <w:tcPr>
            <w:tcW w:w="7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18,830</w:t>
            </w:r>
          </w:p>
        </w:tc>
        <w:tc>
          <w:tcPr>
            <w:tcW w:w="40" w:type="dxa"/>
            <w:vAlign w:val="bottom"/>
            <w:shd w:val="clear" w:color="auto" w:fill="E8EFF9"/>
          </w:tcPr>
          <w:p>
            <w:pPr>
              <w:spacing w:after="0"/>
              <w:rPr>
                <w:sz w:val="18"/>
                <w:szCs w:val="18"/>
                <w:color w:val="auto"/>
              </w:rPr>
            </w:pPr>
          </w:p>
        </w:tc>
        <w:tc>
          <w:tcPr>
            <w:tcW w:w="240" w:type="dxa"/>
            <w:vAlign w:val="bottom"/>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0" w:type="dxa"/>
            <w:vAlign w:val="bottom"/>
            <w:tcBorders>
              <w:bottom w:val="single" w:sz="8" w:color="E8EFF9"/>
            </w:tcBorders>
            <w:shd w:val="clear" w:color="auto" w:fill="E8EFF9"/>
          </w:tcPr>
          <w:p>
            <w:pPr>
              <w:spacing w:after="0"/>
              <w:rPr>
                <w:sz w:val="19"/>
                <w:szCs w:val="19"/>
                <w:color w:val="auto"/>
              </w:rPr>
            </w:pPr>
          </w:p>
        </w:tc>
        <w:tc>
          <w:tcPr>
            <w:tcW w:w="8460" w:type="dxa"/>
            <w:vAlign w:val="bottom"/>
            <w:tcBorders>
              <w:bottom w:val="single" w:sz="8" w:color="0077C0"/>
            </w:tcBorders>
            <w:gridSpan w:val="3"/>
            <w:shd w:val="clear" w:color="auto" w:fill="E8EFF9"/>
          </w:tcPr>
          <w:p>
            <w:pPr>
              <w:ind w:left="140"/>
              <w:spacing w:after="0"/>
              <w:rPr>
                <w:sz w:val="20"/>
                <w:szCs w:val="20"/>
                <w:color w:val="auto"/>
              </w:rPr>
            </w:pPr>
            <w:r>
              <w:rPr>
                <w:rFonts w:ascii="Times New Roman" w:cs="Times New Roman" w:eastAsia="Times New Roman" w:hAnsi="Times New Roman"/>
                <w:sz w:val="16"/>
                <w:szCs w:val="16"/>
                <w:color w:val="auto"/>
              </w:rPr>
              <w:t>Noncurrent employee benefit plans</w:t>
            </w:r>
          </w:p>
        </w:tc>
        <w:tc>
          <w:tcPr>
            <w:tcW w:w="300" w:type="dxa"/>
            <w:vAlign w:val="bottom"/>
            <w:tcBorders>
              <w:bottom w:val="single" w:sz="8" w:color="0077C0"/>
            </w:tcBorders>
            <w:shd w:val="clear" w:color="auto" w:fill="E8EFF9"/>
          </w:tcPr>
          <w:p>
            <w:pPr>
              <w:spacing w:after="0"/>
              <w:rPr>
                <w:sz w:val="19"/>
                <w:szCs w:val="19"/>
                <w:color w:val="auto"/>
              </w:rPr>
            </w:pPr>
          </w:p>
        </w:tc>
        <w:tc>
          <w:tcPr>
            <w:tcW w:w="8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3,857</w:t>
            </w:r>
          </w:p>
        </w:tc>
        <w:tc>
          <w:tcPr>
            <w:tcW w:w="120" w:type="dxa"/>
            <w:vAlign w:val="bottom"/>
            <w:tcBorders>
              <w:bottom w:val="single" w:sz="8" w:color="0077C0"/>
              <w:right w:val="single" w:sz="8" w:color="0077C0"/>
            </w:tcBorders>
            <w:shd w:val="clear" w:color="auto" w:fill="E8EFF9"/>
          </w:tcPr>
          <w:p>
            <w:pPr>
              <w:spacing w:after="0"/>
              <w:rPr>
                <w:sz w:val="19"/>
                <w:szCs w:val="19"/>
                <w:color w:val="auto"/>
              </w:rPr>
            </w:pPr>
          </w:p>
        </w:tc>
        <w:tc>
          <w:tcPr>
            <w:tcW w:w="300" w:type="dxa"/>
            <w:vAlign w:val="bottom"/>
            <w:tcBorders>
              <w:bottom w:val="single" w:sz="8" w:color="0077C0"/>
            </w:tcBorders>
            <w:shd w:val="clear" w:color="auto" w:fill="E8EFF9"/>
          </w:tcPr>
          <w:p>
            <w:pPr>
              <w:spacing w:after="0"/>
              <w:rPr>
                <w:sz w:val="19"/>
                <w:szCs w:val="19"/>
                <w:color w:val="auto"/>
              </w:rPr>
            </w:pPr>
          </w:p>
        </w:tc>
        <w:tc>
          <w:tcPr>
            <w:tcW w:w="76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4,082</w:t>
            </w:r>
          </w:p>
        </w:tc>
        <w:tc>
          <w:tcPr>
            <w:tcW w:w="40" w:type="dxa"/>
            <w:vAlign w:val="bottom"/>
            <w:tcBorders>
              <w:bottom w:val="single" w:sz="8" w:color="0077C0"/>
            </w:tcBorders>
            <w:shd w:val="clear" w:color="auto" w:fill="E8EFF9"/>
          </w:tcPr>
          <w:p>
            <w:pPr>
              <w:spacing w:after="0"/>
              <w:rPr>
                <w:sz w:val="19"/>
                <w:szCs w:val="19"/>
                <w:color w:val="auto"/>
              </w:rPr>
            </w:pPr>
          </w:p>
        </w:tc>
        <w:tc>
          <w:tcPr>
            <w:tcW w:w="240" w:type="dxa"/>
            <w:vAlign w:val="bottom"/>
            <w:tcBorders>
              <w:bottom w:val="single" w:sz="8" w:color="E8EFF9"/>
            </w:tcBorders>
            <w:shd w:val="clear" w:color="auto" w:fill="E8EFF9"/>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20" w:type="dxa"/>
            <w:vAlign w:val="bottom"/>
            <w:tcBorders>
              <w:bottom w:val="single" w:sz="8" w:color="E8EFF9"/>
            </w:tcBorders>
            <w:shd w:val="clear" w:color="auto" w:fill="E8EFF9"/>
          </w:tcPr>
          <w:p>
            <w:pPr>
              <w:spacing w:after="0"/>
              <w:rPr>
                <w:sz w:val="18"/>
                <w:szCs w:val="18"/>
                <w:color w:val="auto"/>
              </w:rPr>
            </w:pPr>
          </w:p>
        </w:tc>
        <w:tc>
          <w:tcPr>
            <w:tcW w:w="8460" w:type="dxa"/>
            <w:vAlign w:val="bottom"/>
            <w:tcBorders>
              <w:bottom w:val="single" w:sz="8" w:color="0077C0"/>
            </w:tcBorders>
            <w:gridSpan w:val="3"/>
            <w:shd w:val="clear" w:color="auto" w:fill="E8EFF9"/>
          </w:tcPr>
          <w:p>
            <w:pPr>
              <w:ind w:left="20"/>
              <w:spacing w:after="0"/>
              <w:rPr>
                <w:sz w:val="20"/>
                <w:szCs w:val="20"/>
                <w:color w:val="auto"/>
              </w:rPr>
            </w:pPr>
            <w:r>
              <w:rPr>
                <w:rFonts w:ascii="Times New Roman" w:cs="Times New Roman" w:eastAsia="Times New Roman" w:hAnsi="Times New Roman"/>
                <w:sz w:val="16"/>
                <w:szCs w:val="16"/>
                <w:b w:val="1"/>
                <w:bCs w:val="1"/>
                <w:color w:val="0077C0"/>
              </w:rPr>
              <w:t>Total Liabilities</w:t>
            </w:r>
            <w:r>
              <w:rPr>
                <w:rFonts w:ascii="Times New Roman" w:cs="Times New Roman" w:eastAsia="Times New Roman" w:hAnsi="Times New Roman"/>
                <w:sz w:val="9"/>
                <w:szCs w:val="9"/>
                <w:b w:val="1"/>
                <w:bCs w:val="1"/>
                <w:color w:val="0077C0"/>
              </w:rPr>
              <w:t>2</w:t>
            </w:r>
          </w:p>
        </w:tc>
        <w:tc>
          <w:tcPr>
            <w:tcW w:w="300" w:type="dxa"/>
            <w:vAlign w:val="bottom"/>
            <w:tcBorders>
              <w:bottom w:val="single" w:sz="8" w:color="0077C0"/>
            </w:tcBorders>
            <w:shd w:val="clear" w:color="auto" w:fill="E8EFF9"/>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103,781</w:t>
            </w:r>
          </w:p>
        </w:tc>
        <w:tc>
          <w:tcPr>
            <w:tcW w:w="120" w:type="dxa"/>
            <w:vAlign w:val="bottom"/>
            <w:tcBorders>
              <w:bottom w:val="single" w:sz="8" w:color="0077C0"/>
              <w:right w:val="single" w:sz="8" w:color="0077C0"/>
            </w:tcBorders>
            <w:shd w:val="clear" w:color="auto" w:fill="E8EFF9"/>
          </w:tcPr>
          <w:p>
            <w:pPr>
              <w:spacing w:after="0"/>
              <w:rPr>
                <w:sz w:val="18"/>
                <w:szCs w:val="18"/>
                <w:color w:val="auto"/>
              </w:rPr>
            </w:pPr>
          </w:p>
        </w:tc>
        <w:tc>
          <w:tcPr>
            <w:tcW w:w="300" w:type="dxa"/>
            <w:vAlign w:val="bottom"/>
            <w:tcBorders>
              <w:bottom w:val="single" w:sz="8" w:color="0077C0"/>
            </w:tcBorders>
            <w:shd w:val="clear" w:color="auto" w:fill="E8EFF9"/>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99,703</w:t>
            </w:r>
          </w:p>
        </w:tc>
        <w:tc>
          <w:tcPr>
            <w:tcW w:w="40" w:type="dxa"/>
            <w:vAlign w:val="bottom"/>
            <w:tcBorders>
              <w:bottom w:val="single" w:sz="8" w:color="0077C0"/>
            </w:tcBorders>
            <w:shd w:val="clear" w:color="auto" w:fill="E8EFF9"/>
          </w:tcPr>
          <w:p>
            <w:pPr>
              <w:spacing w:after="0"/>
              <w:rPr>
                <w:sz w:val="18"/>
                <w:szCs w:val="18"/>
                <w:color w:val="auto"/>
              </w:rPr>
            </w:pPr>
          </w:p>
        </w:tc>
        <w:tc>
          <w:tcPr>
            <w:tcW w:w="240" w:type="dxa"/>
            <w:vAlign w:val="bottom"/>
            <w:tcBorders>
              <w:bottom w:val="single" w:sz="8" w:color="E8EFF9"/>
            </w:tcBorders>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20" w:type="dxa"/>
            <w:vAlign w:val="bottom"/>
            <w:shd w:val="clear" w:color="auto" w:fill="E8EFF9"/>
          </w:tcPr>
          <w:p>
            <w:pPr>
              <w:spacing w:after="0"/>
              <w:rPr>
                <w:sz w:val="18"/>
                <w:szCs w:val="18"/>
                <w:color w:val="auto"/>
              </w:rPr>
            </w:pPr>
          </w:p>
        </w:tc>
        <w:tc>
          <w:tcPr>
            <w:tcW w:w="8460" w:type="dxa"/>
            <w:vAlign w:val="bottom"/>
            <w:gridSpan w:val="3"/>
            <w:shd w:val="clear" w:color="auto" w:fill="E8EFF9"/>
          </w:tcPr>
          <w:p>
            <w:pPr>
              <w:ind w:left="140"/>
              <w:spacing w:after="0"/>
              <w:rPr>
                <w:sz w:val="20"/>
                <w:szCs w:val="20"/>
                <w:color w:val="auto"/>
              </w:rPr>
            </w:pPr>
            <w:r>
              <w:rPr>
                <w:rFonts w:ascii="Times New Roman" w:cs="Times New Roman" w:eastAsia="Times New Roman" w:hAnsi="Times New Roman"/>
                <w:sz w:val="16"/>
                <w:szCs w:val="16"/>
                <w:color w:val="auto"/>
              </w:rPr>
              <w:t>Preferred stock (authorized 100,000,000 shares; $1.00 par value; none issued)</w:t>
            </w:r>
          </w:p>
        </w:tc>
        <w:tc>
          <w:tcPr>
            <w:tcW w:w="300" w:type="dxa"/>
            <w:vAlign w:val="bottom"/>
            <w:shd w:val="clear" w:color="auto" w:fill="E8EFF9"/>
          </w:tcPr>
          <w:p>
            <w:pPr>
              <w:spacing w:after="0"/>
              <w:rPr>
                <w:sz w:val="18"/>
                <w:szCs w:val="18"/>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right w:val="single" w:sz="8" w:color="0077C0"/>
            </w:tcBorders>
            <w:shd w:val="clear" w:color="auto" w:fill="E8EFF9"/>
          </w:tcPr>
          <w:p>
            <w:pPr>
              <w:spacing w:after="0"/>
              <w:rPr>
                <w:sz w:val="18"/>
                <w:szCs w:val="18"/>
                <w:color w:val="auto"/>
              </w:rPr>
            </w:pPr>
          </w:p>
        </w:tc>
        <w:tc>
          <w:tcPr>
            <w:tcW w:w="300" w:type="dxa"/>
            <w:vAlign w:val="bottom"/>
            <w:shd w:val="clear" w:color="auto" w:fill="E8EFF9"/>
          </w:tcPr>
          <w:p>
            <w:pPr>
              <w:spacing w:after="0"/>
              <w:rPr>
                <w:sz w:val="18"/>
                <w:szCs w:val="18"/>
                <w:color w:val="auto"/>
              </w:rPr>
            </w:pPr>
          </w:p>
        </w:tc>
        <w:tc>
          <w:tcPr>
            <w:tcW w:w="7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E8EFF9"/>
          </w:tcPr>
          <w:p>
            <w:pPr>
              <w:spacing w:after="0"/>
              <w:rPr>
                <w:sz w:val="18"/>
                <w:szCs w:val="18"/>
                <w:color w:val="auto"/>
              </w:rPr>
            </w:pPr>
          </w:p>
        </w:tc>
        <w:tc>
          <w:tcPr>
            <w:tcW w:w="240" w:type="dxa"/>
            <w:vAlign w:val="bottom"/>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20" w:type="dxa"/>
            <w:vAlign w:val="bottom"/>
            <w:shd w:val="clear" w:color="auto" w:fill="E8EFF9"/>
          </w:tcPr>
          <w:p>
            <w:pPr>
              <w:spacing w:after="0"/>
              <w:rPr>
                <w:sz w:val="14"/>
                <w:szCs w:val="14"/>
                <w:color w:val="auto"/>
              </w:rPr>
            </w:pPr>
          </w:p>
        </w:tc>
        <w:tc>
          <w:tcPr>
            <w:tcW w:w="8460" w:type="dxa"/>
            <w:vAlign w:val="bottom"/>
            <w:gridSpan w:val="3"/>
            <w:shd w:val="clear" w:color="auto" w:fill="E8EFF9"/>
          </w:tcPr>
          <w:p>
            <w:pPr>
              <w:ind w:left="140"/>
              <w:spacing w:after="0" w:line="166" w:lineRule="exact"/>
              <w:rPr>
                <w:sz w:val="20"/>
                <w:szCs w:val="20"/>
                <w:color w:val="auto"/>
              </w:rPr>
            </w:pPr>
            <w:r>
              <w:rPr>
                <w:rFonts w:ascii="Times New Roman" w:cs="Times New Roman" w:eastAsia="Times New Roman" w:hAnsi="Times New Roman"/>
                <w:sz w:val="16"/>
                <w:szCs w:val="16"/>
                <w:color w:val="auto"/>
              </w:rPr>
              <w:t>Common stock (authorized 6,000,000,000 shares; $0.75 par value; 2,442,676,580 shares</w:t>
            </w:r>
          </w:p>
        </w:tc>
        <w:tc>
          <w:tcPr>
            <w:tcW w:w="300" w:type="dxa"/>
            <w:vAlign w:val="bottom"/>
            <w:shd w:val="clear" w:color="auto" w:fill="E8EFF9"/>
          </w:tcPr>
          <w:p>
            <w:pPr>
              <w:spacing w:after="0"/>
              <w:rPr>
                <w:sz w:val="14"/>
                <w:szCs w:val="14"/>
                <w:color w:val="auto"/>
              </w:rPr>
            </w:pPr>
          </w:p>
        </w:tc>
        <w:tc>
          <w:tcPr>
            <w:tcW w:w="800" w:type="dxa"/>
            <w:vAlign w:val="bottom"/>
            <w:vMerge w:val="restart"/>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1,832</w:t>
            </w:r>
          </w:p>
        </w:tc>
        <w:tc>
          <w:tcPr>
            <w:tcW w:w="120" w:type="dxa"/>
            <w:vAlign w:val="bottom"/>
            <w:tcBorders>
              <w:right w:val="single" w:sz="8" w:color="0077C0"/>
            </w:tcBorders>
            <w:shd w:val="clear" w:color="auto" w:fill="E8EFF9"/>
          </w:tcPr>
          <w:p>
            <w:pPr>
              <w:spacing w:after="0"/>
              <w:rPr>
                <w:sz w:val="14"/>
                <w:szCs w:val="14"/>
                <w:color w:val="auto"/>
              </w:rPr>
            </w:pPr>
          </w:p>
        </w:tc>
        <w:tc>
          <w:tcPr>
            <w:tcW w:w="300" w:type="dxa"/>
            <w:vAlign w:val="bottom"/>
            <w:shd w:val="clear" w:color="auto" w:fill="E8EFF9"/>
          </w:tcPr>
          <w:p>
            <w:pPr>
              <w:spacing w:after="0"/>
              <w:rPr>
                <w:sz w:val="14"/>
                <w:szCs w:val="14"/>
                <w:color w:val="auto"/>
              </w:rPr>
            </w:pPr>
          </w:p>
        </w:tc>
        <w:tc>
          <w:tcPr>
            <w:tcW w:w="760" w:type="dxa"/>
            <w:vAlign w:val="bottom"/>
            <w:vMerge w:val="restart"/>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1,832</w:t>
            </w:r>
          </w:p>
        </w:tc>
        <w:tc>
          <w:tcPr>
            <w:tcW w:w="40" w:type="dxa"/>
            <w:vAlign w:val="bottom"/>
            <w:shd w:val="clear" w:color="auto" w:fill="E8EFF9"/>
          </w:tcPr>
          <w:p>
            <w:pPr>
              <w:spacing w:after="0"/>
              <w:rPr>
                <w:sz w:val="14"/>
                <w:szCs w:val="14"/>
                <w:color w:val="auto"/>
              </w:rPr>
            </w:pPr>
          </w:p>
        </w:tc>
        <w:tc>
          <w:tcPr>
            <w:tcW w:w="240" w:type="dxa"/>
            <w:vAlign w:val="bottom"/>
            <w:shd w:val="clear" w:color="auto" w:fill="E8EFF9"/>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20" w:type="dxa"/>
            <w:vAlign w:val="bottom"/>
            <w:shd w:val="clear" w:color="auto" w:fill="E8EFF9"/>
          </w:tcPr>
          <w:p>
            <w:pPr>
              <w:spacing w:after="0"/>
              <w:rPr>
                <w:sz w:val="18"/>
                <w:szCs w:val="18"/>
                <w:color w:val="auto"/>
              </w:rPr>
            </w:pPr>
          </w:p>
        </w:tc>
        <w:tc>
          <w:tcPr>
            <w:tcW w:w="8460" w:type="dxa"/>
            <w:vAlign w:val="bottom"/>
            <w:gridSpan w:val="3"/>
            <w:shd w:val="clear" w:color="auto" w:fill="E8EFF9"/>
          </w:tcPr>
          <w:p>
            <w:pPr>
              <w:ind w:left="260"/>
              <w:spacing w:after="0"/>
              <w:rPr>
                <w:sz w:val="20"/>
                <w:szCs w:val="20"/>
                <w:color w:val="auto"/>
              </w:rPr>
            </w:pPr>
            <w:r>
              <w:rPr>
                <w:rFonts w:ascii="Times New Roman" w:cs="Times New Roman" w:eastAsia="Times New Roman" w:hAnsi="Times New Roman"/>
                <w:sz w:val="16"/>
                <w:szCs w:val="16"/>
                <w:color w:val="auto"/>
              </w:rPr>
              <w:t>issued at December 31, 2024 and 2023)</w:t>
            </w:r>
          </w:p>
        </w:tc>
        <w:tc>
          <w:tcPr>
            <w:tcW w:w="300" w:type="dxa"/>
            <w:vAlign w:val="bottom"/>
            <w:shd w:val="clear" w:color="auto" w:fill="E8EFF9"/>
          </w:tcPr>
          <w:p>
            <w:pPr>
              <w:spacing w:after="0"/>
              <w:rPr>
                <w:sz w:val="18"/>
                <w:szCs w:val="18"/>
                <w:color w:val="auto"/>
              </w:rPr>
            </w:pPr>
          </w:p>
        </w:tc>
        <w:tc>
          <w:tcPr>
            <w:tcW w:w="800" w:type="dxa"/>
            <w:vAlign w:val="bottom"/>
            <w:vMerge w:val="continue"/>
            <w:shd w:val="clear" w:color="auto" w:fill="E8EFF9"/>
          </w:tcPr>
          <w:p>
            <w:pPr>
              <w:spacing w:after="0"/>
              <w:rPr>
                <w:sz w:val="18"/>
                <w:szCs w:val="18"/>
                <w:color w:val="auto"/>
              </w:rPr>
            </w:pPr>
          </w:p>
        </w:tc>
        <w:tc>
          <w:tcPr>
            <w:tcW w:w="120" w:type="dxa"/>
            <w:vAlign w:val="bottom"/>
            <w:tcBorders>
              <w:right w:val="single" w:sz="8" w:color="0077C0"/>
            </w:tcBorders>
            <w:shd w:val="clear" w:color="auto" w:fill="E8EFF9"/>
          </w:tcPr>
          <w:p>
            <w:pPr>
              <w:spacing w:after="0"/>
              <w:rPr>
                <w:sz w:val="18"/>
                <w:szCs w:val="18"/>
                <w:color w:val="auto"/>
              </w:rPr>
            </w:pPr>
          </w:p>
        </w:tc>
        <w:tc>
          <w:tcPr>
            <w:tcW w:w="300" w:type="dxa"/>
            <w:vAlign w:val="bottom"/>
            <w:shd w:val="clear" w:color="auto" w:fill="E8EFF9"/>
          </w:tcPr>
          <w:p>
            <w:pPr>
              <w:spacing w:after="0"/>
              <w:rPr>
                <w:sz w:val="18"/>
                <w:szCs w:val="18"/>
                <w:color w:val="auto"/>
              </w:rPr>
            </w:pPr>
          </w:p>
        </w:tc>
        <w:tc>
          <w:tcPr>
            <w:tcW w:w="760" w:type="dxa"/>
            <w:vAlign w:val="bottom"/>
            <w:vMerge w:val="continue"/>
            <w:shd w:val="clear" w:color="auto" w:fill="E8EFF9"/>
          </w:tcPr>
          <w:p>
            <w:pPr>
              <w:spacing w:after="0"/>
              <w:rPr>
                <w:sz w:val="18"/>
                <w:szCs w:val="18"/>
                <w:color w:val="auto"/>
              </w:rPr>
            </w:pPr>
          </w:p>
        </w:tc>
        <w:tc>
          <w:tcPr>
            <w:tcW w:w="40" w:type="dxa"/>
            <w:vAlign w:val="bottom"/>
            <w:shd w:val="clear" w:color="auto" w:fill="E8EFF9"/>
          </w:tcPr>
          <w:p>
            <w:pPr>
              <w:spacing w:after="0"/>
              <w:rPr>
                <w:sz w:val="18"/>
                <w:szCs w:val="18"/>
                <w:color w:val="auto"/>
              </w:rPr>
            </w:pPr>
          </w:p>
        </w:tc>
        <w:tc>
          <w:tcPr>
            <w:tcW w:w="240" w:type="dxa"/>
            <w:vAlign w:val="bottom"/>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shd w:val="clear" w:color="auto" w:fill="E8EFF9"/>
          </w:tcPr>
          <w:p>
            <w:pPr>
              <w:spacing w:after="0"/>
              <w:rPr>
                <w:sz w:val="18"/>
                <w:szCs w:val="18"/>
                <w:color w:val="auto"/>
              </w:rPr>
            </w:pPr>
          </w:p>
        </w:tc>
        <w:tc>
          <w:tcPr>
            <w:tcW w:w="8460" w:type="dxa"/>
            <w:vAlign w:val="bottom"/>
            <w:gridSpan w:val="3"/>
            <w:shd w:val="clear" w:color="auto" w:fill="E8EFF9"/>
          </w:tcPr>
          <w:p>
            <w:pPr>
              <w:ind w:left="140"/>
              <w:spacing w:after="0"/>
              <w:rPr>
                <w:sz w:val="20"/>
                <w:szCs w:val="20"/>
                <w:color w:val="auto"/>
              </w:rPr>
            </w:pPr>
            <w:r>
              <w:rPr>
                <w:rFonts w:ascii="Times New Roman" w:cs="Times New Roman" w:eastAsia="Times New Roman" w:hAnsi="Times New Roman"/>
                <w:sz w:val="16"/>
                <w:szCs w:val="16"/>
                <w:color w:val="auto"/>
              </w:rPr>
              <w:t>Capital in excess of par value</w:t>
            </w:r>
          </w:p>
        </w:tc>
        <w:tc>
          <w:tcPr>
            <w:tcW w:w="300" w:type="dxa"/>
            <w:vAlign w:val="bottom"/>
            <w:shd w:val="clear" w:color="auto" w:fill="E8EFF9"/>
          </w:tcPr>
          <w:p>
            <w:pPr>
              <w:spacing w:after="0"/>
              <w:rPr>
                <w:sz w:val="18"/>
                <w:szCs w:val="18"/>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21,671</w:t>
            </w:r>
          </w:p>
        </w:tc>
        <w:tc>
          <w:tcPr>
            <w:tcW w:w="120" w:type="dxa"/>
            <w:vAlign w:val="bottom"/>
            <w:tcBorders>
              <w:right w:val="single" w:sz="8" w:color="0077C0"/>
            </w:tcBorders>
            <w:shd w:val="clear" w:color="auto" w:fill="E8EFF9"/>
          </w:tcPr>
          <w:p>
            <w:pPr>
              <w:spacing w:after="0"/>
              <w:rPr>
                <w:sz w:val="18"/>
                <w:szCs w:val="18"/>
                <w:color w:val="auto"/>
              </w:rPr>
            </w:pPr>
          </w:p>
        </w:tc>
        <w:tc>
          <w:tcPr>
            <w:tcW w:w="300" w:type="dxa"/>
            <w:vAlign w:val="bottom"/>
            <w:shd w:val="clear" w:color="auto" w:fill="E8EFF9"/>
          </w:tcPr>
          <w:p>
            <w:pPr>
              <w:spacing w:after="0"/>
              <w:rPr>
                <w:sz w:val="18"/>
                <w:szCs w:val="18"/>
                <w:color w:val="auto"/>
              </w:rPr>
            </w:pPr>
          </w:p>
        </w:tc>
        <w:tc>
          <w:tcPr>
            <w:tcW w:w="7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21,365</w:t>
            </w:r>
          </w:p>
        </w:tc>
        <w:tc>
          <w:tcPr>
            <w:tcW w:w="40" w:type="dxa"/>
            <w:vAlign w:val="bottom"/>
            <w:shd w:val="clear" w:color="auto" w:fill="E8EFF9"/>
          </w:tcPr>
          <w:p>
            <w:pPr>
              <w:spacing w:after="0"/>
              <w:rPr>
                <w:sz w:val="18"/>
                <w:szCs w:val="18"/>
                <w:color w:val="auto"/>
              </w:rPr>
            </w:pPr>
          </w:p>
        </w:tc>
        <w:tc>
          <w:tcPr>
            <w:tcW w:w="240" w:type="dxa"/>
            <w:vAlign w:val="bottom"/>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shd w:val="clear" w:color="auto" w:fill="E8EFF9"/>
          </w:tcPr>
          <w:p>
            <w:pPr>
              <w:spacing w:after="0"/>
              <w:rPr>
                <w:sz w:val="18"/>
                <w:szCs w:val="18"/>
                <w:color w:val="auto"/>
              </w:rPr>
            </w:pPr>
          </w:p>
        </w:tc>
        <w:tc>
          <w:tcPr>
            <w:tcW w:w="8460" w:type="dxa"/>
            <w:vAlign w:val="bottom"/>
            <w:gridSpan w:val="3"/>
            <w:shd w:val="clear" w:color="auto" w:fill="E8EFF9"/>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300" w:type="dxa"/>
            <w:vAlign w:val="bottom"/>
            <w:shd w:val="clear" w:color="auto" w:fill="E8EFF9"/>
          </w:tcPr>
          <w:p>
            <w:pPr>
              <w:spacing w:after="0"/>
              <w:rPr>
                <w:sz w:val="18"/>
                <w:szCs w:val="18"/>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205,852</w:t>
            </w:r>
          </w:p>
        </w:tc>
        <w:tc>
          <w:tcPr>
            <w:tcW w:w="120" w:type="dxa"/>
            <w:vAlign w:val="bottom"/>
            <w:tcBorders>
              <w:right w:val="single" w:sz="8" w:color="0077C0"/>
            </w:tcBorders>
            <w:shd w:val="clear" w:color="auto" w:fill="E8EFF9"/>
          </w:tcPr>
          <w:p>
            <w:pPr>
              <w:spacing w:after="0"/>
              <w:rPr>
                <w:sz w:val="18"/>
                <w:szCs w:val="18"/>
                <w:color w:val="auto"/>
              </w:rPr>
            </w:pPr>
          </w:p>
        </w:tc>
        <w:tc>
          <w:tcPr>
            <w:tcW w:w="300" w:type="dxa"/>
            <w:vAlign w:val="bottom"/>
            <w:shd w:val="clear" w:color="auto" w:fill="E8EFF9"/>
          </w:tcPr>
          <w:p>
            <w:pPr>
              <w:spacing w:after="0"/>
              <w:rPr>
                <w:sz w:val="18"/>
                <w:szCs w:val="18"/>
                <w:color w:val="auto"/>
              </w:rPr>
            </w:pPr>
          </w:p>
        </w:tc>
        <w:tc>
          <w:tcPr>
            <w:tcW w:w="7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200,025</w:t>
            </w:r>
          </w:p>
        </w:tc>
        <w:tc>
          <w:tcPr>
            <w:tcW w:w="40" w:type="dxa"/>
            <w:vAlign w:val="bottom"/>
            <w:shd w:val="clear" w:color="auto" w:fill="E8EFF9"/>
          </w:tcPr>
          <w:p>
            <w:pPr>
              <w:spacing w:after="0"/>
              <w:rPr>
                <w:sz w:val="18"/>
                <w:szCs w:val="18"/>
                <w:color w:val="auto"/>
              </w:rPr>
            </w:pPr>
          </w:p>
        </w:tc>
        <w:tc>
          <w:tcPr>
            <w:tcW w:w="240" w:type="dxa"/>
            <w:vAlign w:val="bottom"/>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shd w:val="clear" w:color="auto" w:fill="E8EFF9"/>
          </w:tcPr>
          <w:p>
            <w:pPr>
              <w:spacing w:after="0"/>
              <w:rPr>
                <w:sz w:val="18"/>
                <w:szCs w:val="18"/>
                <w:color w:val="auto"/>
              </w:rPr>
            </w:pPr>
          </w:p>
        </w:tc>
        <w:tc>
          <w:tcPr>
            <w:tcW w:w="8460" w:type="dxa"/>
            <w:vAlign w:val="bottom"/>
            <w:gridSpan w:val="3"/>
            <w:shd w:val="clear" w:color="auto" w:fill="E8EFF9"/>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losses</w:t>
            </w:r>
          </w:p>
        </w:tc>
        <w:tc>
          <w:tcPr>
            <w:tcW w:w="300" w:type="dxa"/>
            <w:vAlign w:val="bottom"/>
            <w:shd w:val="clear" w:color="auto" w:fill="E8EFF9"/>
          </w:tcPr>
          <w:p>
            <w:pPr>
              <w:spacing w:after="0"/>
              <w:rPr>
                <w:sz w:val="18"/>
                <w:szCs w:val="18"/>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(2,760)</w:t>
            </w:r>
          </w:p>
        </w:tc>
        <w:tc>
          <w:tcPr>
            <w:tcW w:w="120" w:type="dxa"/>
            <w:vAlign w:val="bottom"/>
            <w:tcBorders>
              <w:right w:val="single" w:sz="8" w:color="0077C0"/>
            </w:tcBorders>
            <w:shd w:val="clear" w:color="auto" w:fill="E8EFF9"/>
          </w:tcPr>
          <w:p>
            <w:pPr>
              <w:spacing w:after="0"/>
              <w:rPr>
                <w:sz w:val="18"/>
                <w:szCs w:val="18"/>
                <w:color w:val="auto"/>
              </w:rPr>
            </w:pPr>
          </w:p>
        </w:tc>
        <w:tc>
          <w:tcPr>
            <w:tcW w:w="300" w:type="dxa"/>
            <w:vAlign w:val="bottom"/>
            <w:shd w:val="clear" w:color="auto" w:fill="E8EFF9"/>
          </w:tcPr>
          <w:p>
            <w:pPr>
              <w:spacing w:after="0"/>
              <w:rPr>
                <w:sz w:val="18"/>
                <w:szCs w:val="18"/>
                <w:color w:val="auto"/>
              </w:rPr>
            </w:pPr>
          </w:p>
        </w:tc>
        <w:tc>
          <w:tcPr>
            <w:tcW w:w="7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(2,960)</w:t>
            </w:r>
          </w:p>
        </w:tc>
        <w:tc>
          <w:tcPr>
            <w:tcW w:w="40" w:type="dxa"/>
            <w:vAlign w:val="bottom"/>
            <w:shd w:val="clear" w:color="auto" w:fill="E8EFF9"/>
          </w:tcPr>
          <w:p>
            <w:pPr>
              <w:spacing w:after="0"/>
              <w:rPr>
                <w:sz w:val="18"/>
                <w:szCs w:val="18"/>
                <w:color w:val="auto"/>
              </w:rPr>
            </w:pPr>
          </w:p>
        </w:tc>
        <w:tc>
          <w:tcPr>
            <w:tcW w:w="240" w:type="dxa"/>
            <w:vAlign w:val="bottom"/>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shd w:val="clear" w:color="auto" w:fill="E8EFF9"/>
          </w:tcPr>
          <w:p>
            <w:pPr>
              <w:spacing w:after="0"/>
              <w:rPr>
                <w:sz w:val="18"/>
                <w:szCs w:val="18"/>
                <w:color w:val="auto"/>
              </w:rPr>
            </w:pPr>
          </w:p>
        </w:tc>
        <w:tc>
          <w:tcPr>
            <w:tcW w:w="8460" w:type="dxa"/>
            <w:vAlign w:val="bottom"/>
            <w:gridSpan w:val="3"/>
            <w:shd w:val="clear" w:color="auto" w:fill="E8EFF9"/>
          </w:tcPr>
          <w:p>
            <w:pPr>
              <w:ind w:left="140"/>
              <w:spacing w:after="0"/>
              <w:rPr>
                <w:sz w:val="20"/>
                <w:szCs w:val="20"/>
                <w:color w:val="auto"/>
              </w:rPr>
            </w:pPr>
            <w:r>
              <w:rPr>
                <w:rFonts w:ascii="Times New Roman" w:cs="Times New Roman" w:eastAsia="Times New Roman" w:hAnsi="Times New Roman"/>
                <w:sz w:val="16"/>
                <w:szCs w:val="16"/>
                <w:color w:val="auto"/>
              </w:rPr>
              <w:t>Deferred compensation and benefit plan trust</w:t>
            </w:r>
          </w:p>
        </w:tc>
        <w:tc>
          <w:tcPr>
            <w:tcW w:w="300" w:type="dxa"/>
            <w:vAlign w:val="bottom"/>
            <w:shd w:val="clear" w:color="auto" w:fill="E8EFF9"/>
          </w:tcPr>
          <w:p>
            <w:pPr>
              <w:spacing w:after="0"/>
              <w:rPr>
                <w:sz w:val="18"/>
                <w:szCs w:val="18"/>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(240)</w:t>
            </w:r>
          </w:p>
        </w:tc>
        <w:tc>
          <w:tcPr>
            <w:tcW w:w="120" w:type="dxa"/>
            <w:vAlign w:val="bottom"/>
            <w:tcBorders>
              <w:right w:val="single" w:sz="8" w:color="0077C0"/>
            </w:tcBorders>
            <w:shd w:val="clear" w:color="auto" w:fill="E8EFF9"/>
          </w:tcPr>
          <w:p>
            <w:pPr>
              <w:spacing w:after="0"/>
              <w:rPr>
                <w:sz w:val="18"/>
                <w:szCs w:val="18"/>
                <w:color w:val="auto"/>
              </w:rPr>
            </w:pPr>
          </w:p>
        </w:tc>
        <w:tc>
          <w:tcPr>
            <w:tcW w:w="300" w:type="dxa"/>
            <w:vAlign w:val="bottom"/>
            <w:shd w:val="clear" w:color="auto" w:fill="E8EFF9"/>
          </w:tcPr>
          <w:p>
            <w:pPr>
              <w:spacing w:after="0"/>
              <w:rPr>
                <w:sz w:val="18"/>
                <w:szCs w:val="18"/>
                <w:color w:val="auto"/>
              </w:rPr>
            </w:pPr>
          </w:p>
        </w:tc>
        <w:tc>
          <w:tcPr>
            <w:tcW w:w="76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40" w:type="dxa"/>
            <w:vAlign w:val="bottom"/>
            <w:shd w:val="clear" w:color="auto" w:fill="E8EFF9"/>
          </w:tcPr>
          <w:p>
            <w:pPr>
              <w:spacing w:after="0"/>
              <w:rPr>
                <w:sz w:val="18"/>
                <w:szCs w:val="18"/>
                <w:color w:val="auto"/>
              </w:rPr>
            </w:pPr>
          </w:p>
        </w:tc>
        <w:tc>
          <w:tcPr>
            <w:tcW w:w="240" w:type="dxa"/>
            <w:vAlign w:val="bottom"/>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0" w:type="dxa"/>
            <w:vAlign w:val="bottom"/>
            <w:tcBorders>
              <w:bottom w:val="single" w:sz="8" w:color="E8EFF9"/>
            </w:tcBorders>
            <w:shd w:val="clear" w:color="auto" w:fill="E8EFF9"/>
          </w:tcPr>
          <w:p>
            <w:pPr>
              <w:spacing w:after="0"/>
              <w:rPr>
                <w:sz w:val="19"/>
                <w:szCs w:val="19"/>
                <w:color w:val="auto"/>
              </w:rPr>
            </w:pPr>
          </w:p>
        </w:tc>
        <w:tc>
          <w:tcPr>
            <w:tcW w:w="8460" w:type="dxa"/>
            <w:vAlign w:val="bottom"/>
            <w:tcBorders>
              <w:bottom w:val="single" w:sz="8" w:color="0077C0"/>
            </w:tcBorders>
            <w:gridSpan w:val="3"/>
            <w:shd w:val="clear" w:color="auto" w:fill="E8EFF9"/>
          </w:tcPr>
          <w:p>
            <w:pPr>
              <w:ind w:left="120"/>
              <w:spacing w:after="0"/>
              <w:rPr>
                <w:sz w:val="20"/>
                <w:szCs w:val="20"/>
                <w:color w:val="auto"/>
              </w:rPr>
            </w:pPr>
            <w:r>
              <w:rPr>
                <w:rFonts w:ascii="Times New Roman" w:cs="Times New Roman" w:eastAsia="Times New Roman" w:hAnsi="Times New Roman"/>
                <w:sz w:val="16"/>
                <w:szCs w:val="16"/>
                <w:color w:val="auto"/>
              </w:rPr>
              <w:t>Treasury stock, at cost (2024 - 673,664,306 shares; 2023 - 577,028,776 shares)</w:t>
            </w:r>
          </w:p>
        </w:tc>
        <w:tc>
          <w:tcPr>
            <w:tcW w:w="300" w:type="dxa"/>
            <w:vAlign w:val="bottom"/>
            <w:tcBorders>
              <w:bottom w:val="single" w:sz="8" w:color="0077C0"/>
            </w:tcBorders>
            <w:shd w:val="clear" w:color="auto" w:fill="E8EFF9"/>
          </w:tcPr>
          <w:p>
            <w:pPr>
              <w:spacing w:after="0"/>
              <w:rPr>
                <w:sz w:val="19"/>
                <w:szCs w:val="19"/>
                <w:color w:val="auto"/>
              </w:rPr>
            </w:pPr>
          </w:p>
        </w:tc>
        <w:tc>
          <w:tcPr>
            <w:tcW w:w="8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(74,037)</w:t>
            </w:r>
          </w:p>
        </w:tc>
        <w:tc>
          <w:tcPr>
            <w:tcW w:w="120" w:type="dxa"/>
            <w:vAlign w:val="bottom"/>
            <w:tcBorders>
              <w:bottom w:val="single" w:sz="8" w:color="0077C0"/>
              <w:right w:val="single" w:sz="8" w:color="0077C0"/>
            </w:tcBorders>
            <w:shd w:val="clear" w:color="auto" w:fill="E8EFF9"/>
          </w:tcPr>
          <w:p>
            <w:pPr>
              <w:spacing w:after="0"/>
              <w:rPr>
                <w:sz w:val="19"/>
                <w:szCs w:val="19"/>
                <w:color w:val="auto"/>
              </w:rPr>
            </w:pPr>
          </w:p>
        </w:tc>
        <w:tc>
          <w:tcPr>
            <w:tcW w:w="300" w:type="dxa"/>
            <w:vAlign w:val="bottom"/>
            <w:tcBorders>
              <w:bottom w:val="single" w:sz="8" w:color="0077C0"/>
            </w:tcBorders>
            <w:shd w:val="clear" w:color="auto" w:fill="E8EFF9"/>
          </w:tcPr>
          <w:p>
            <w:pPr>
              <w:spacing w:after="0"/>
              <w:rPr>
                <w:sz w:val="19"/>
                <w:szCs w:val="19"/>
                <w:color w:val="auto"/>
              </w:rPr>
            </w:pPr>
          </w:p>
        </w:tc>
        <w:tc>
          <w:tcPr>
            <w:tcW w:w="76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(59,065)</w:t>
            </w:r>
          </w:p>
        </w:tc>
        <w:tc>
          <w:tcPr>
            <w:tcW w:w="40" w:type="dxa"/>
            <w:vAlign w:val="bottom"/>
            <w:tcBorders>
              <w:bottom w:val="single" w:sz="8" w:color="0077C0"/>
            </w:tcBorders>
            <w:shd w:val="clear" w:color="auto" w:fill="E8EFF9"/>
          </w:tcPr>
          <w:p>
            <w:pPr>
              <w:spacing w:after="0"/>
              <w:rPr>
                <w:sz w:val="19"/>
                <w:szCs w:val="19"/>
                <w:color w:val="auto"/>
              </w:rPr>
            </w:pPr>
          </w:p>
        </w:tc>
        <w:tc>
          <w:tcPr>
            <w:tcW w:w="240" w:type="dxa"/>
            <w:vAlign w:val="bottom"/>
            <w:tcBorders>
              <w:bottom w:val="single" w:sz="8" w:color="E8EFF9"/>
            </w:tcBorders>
            <w:shd w:val="clear" w:color="auto" w:fill="E8EFF9"/>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20" w:type="dxa"/>
            <w:vAlign w:val="bottom"/>
            <w:tcBorders>
              <w:bottom w:val="single" w:sz="8" w:color="E8EFF9"/>
            </w:tcBorders>
            <w:shd w:val="clear" w:color="auto" w:fill="E8EFF9"/>
          </w:tcPr>
          <w:p>
            <w:pPr>
              <w:spacing w:after="0"/>
              <w:rPr>
                <w:sz w:val="18"/>
                <w:szCs w:val="18"/>
                <w:color w:val="auto"/>
              </w:rPr>
            </w:pPr>
          </w:p>
        </w:tc>
        <w:tc>
          <w:tcPr>
            <w:tcW w:w="8460" w:type="dxa"/>
            <w:vAlign w:val="bottom"/>
            <w:tcBorders>
              <w:bottom w:val="single" w:sz="8" w:color="0077C0"/>
            </w:tcBorders>
            <w:gridSpan w:val="3"/>
            <w:shd w:val="clear" w:color="auto" w:fill="E8EFF9"/>
          </w:tcPr>
          <w:p>
            <w:pPr>
              <w:ind w:left="140"/>
              <w:spacing w:after="0"/>
              <w:rPr>
                <w:sz w:val="20"/>
                <w:szCs w:val="20"/>
                <w:color w:val="auto"/>
              </w:rPr>
            </w:pPr>
            <w:r>
              <w:rPr>
                <w:rFonts w:ascii="Times New Roman" w:cs="Times New Roman" w:eastAsia="Times New Roman" w:hAnsi="Times New Roman"/>
                <w:sz w:val="16"/>
                <w:szCs w:val="16"/>
                <w:b w:val="1"/>
                <w:bCs w:val="1"/>
                <w:color w:val="0077C0"/>
              </w:rPr>
              <w:t>Total Chevron Corporation Stockholders’ Equity</w:t>
            </w:r>
          </w:p>
        </w:tc>
        <w:tc>
          <w:tcPr>
            <w:tcW w:w="300" w:type="dxa"/>
            <w:vAlign w:val="bottom"/>
            <w:tcBorders>
              <w:bottom w:val="single" w:sz="8" w:color="0077C0"/>
            </w:tcBorders>
            <w:shd w:val="clear" w:color="auto" w:fill="E8EFF9"/>
          </w:tcPr>
          <w:p>
            <w:pPr>
              <w:spacing w:after="0"/>
              <w:rPr>
                <w:sz w:val="18"/>
                <w:szCs w:val="18"/>
                <w:color w:val="auto"/>
              </w:rPr>
            </w:pPr>
          </w:p>
        </w:tc>
        <w:tc>
          <w:tcPr>
            <w:tcW w:w="8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152,318</w:t>
            </w:r>
          </w:p>
        </w:tc>
        <w:tc>
          <w:tcPr>
            <w:tcW w:w="120" w:type="dxa"/>
            <w:vAlign w:val="bottom"/>
            <w:tcBorders>
              <w:bottom w:val="single" w:sz="8" w:color="0077C0"/>
              <w:right w:val="single" w:sz="8" w:color="0077C0"/>
            </w:tcBorders>
            <w:shd w:val="clear" w:color="auto" w:fill="E8EFF9"/>
          </w:tcPr>
          <w:p>
            <w:pPr>
              <w:spacing w:after="0"/>
              <w:rPr>
                <w:sz w:val="18"/>
                <w:szCs w:val="18"/>
                <w:color w:val="auto"/>
              </w:rPr>
            </w:pPr>
          </w:p>
        </w:tc>
        <w:tc>
          <w:tcPr>
            <w:tcW w:w="300" w:type="dxa"/>
            <w:vAlign w:val="bottom"/>
            <w:tcBorders>
              <w:bottom w:val="single" w:sz="8" w:color="0077C0"/>
            </w:tcBorders>
            <w:shd w:val="clear" w:color="auto" w:fill="E8EFF9"/>
          </w:tcPr>
          <w:p>
            <w:pPr>
              <w:spacing w:after="0"/>
              <w:rPr>
                <w:sz w:val="18"/>
                <w:szCs w:val="18"/>
                <w:color w:val="auto"/>
              </w:rPr>
            </w:pPr>
          </w:p>
        </w:tc>
        <w:tc>
          <w:tcPr>
            <w:tcW w:w="76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160,957</w:t>
            </w:r>
          </w:p>
        </w:tc>
        <w:tc>
          <w:tcPr>
            <w:tcW w:w="40" w:type="dxa"/>
            <w:vAlign w:val="bottom"/>
            <w:tcBorders>
              <w:bottom w:val="single" w:sz="8" w:color="0077C0"/>
            </w:tcBorders>
            <w:shd w:val="clear" w:color="auto" w:fill="E8EFF9"/>
          </w:tcPr>
          <w:p>
            <w:pPr>
              <w:spacing w:after="0"/>
              <w:rPr>
                <w:sz w:val="18"/>
                <w:szCs w:val="18"/>
                <w:color w:val="auto"/>
              </w:rPr>
            </w:pPr>
          </w:p>
        </w:tc>
        <w:tc>
          <w:tcPr>
            <w:tcW w:w="240" w:type="dxa"/>
            <w:vAlign w:val="bottom"/>
            <w:tcBorders>
              <w:bottom w:val="single" w:sz="8" w:color="E8EFF9"/>
            </w:tcBorders>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0" w:type="dxa"/>
            <w:vAlign w:val="bottom"/>
            <w:tcBorders>
              <w:bottom w:val="single" w:sz="8" w:color="E8EFF9"/>
            </w:tcBorders>
            <w:shd w:val="clear" w:color="auto" w:fill="E8EFF9"/>
          </w:tcPr>
          <w:p>
            <w:pPr>
              <w:spacing w:after="0"/>
              <w:rPr>
                <w:sz w:val="18"/>
                <w:szCs w:val="18"/>
                <w:color w:val="auto"/>
              </w:rPr>
            </w:pPr>
          </w:p>
        </w:tc>
        <w:tc>
          <w:tcPr>
            <w:tcW w:w="8460" w:type="dxa"/>
            <w:vAlign w:val="bottom"/>
            <w:tcBorders>
              <w:bottom w:val="single" w:sz="8" w:color="0077C0"/>
            </w:tcBorders>
            <w:gridSpan w:val="3"/>
            <w:shd w:val="clear" w:color="auto" w:fill="E8EFF9"/>
          </w:tcPr>
          <w:p>
            <w:pPr>
              <w:ind w:left="140"/>
              <w:spacing w:after="0"/>
              <w:rPr>
                <w:sz w:val="20"/>
                <w:szCs w:val="20"/>
                <w:color w:val="auto"/>
              </w:rPr>
            </w:pPr>
            <w:r>
              <w:rPr>
                <w:rFonts w:ascii="Times New Roman" w:cs="Times New Roman" w:eastAsia="Times New Roman" w:hAnsi="Times New Roman"/>
                <w:sz w:val="16"/>
                <w:szCs w:val="16"/>
                <w:color w:val="auto"/>
              </w:rPr>
              <w:t>Noncontrolling interests (includes redeemable noncontrolling interest of $0 and $166 at December 31, 2024 and 2023)</w:t>
            </w:r>
          </w:p>
        </w:tc>
        <w:tc>
          <w:tcPr>
            <w:tcW w:w="300" w:type="dxa"/>
            <w:vAlign w:val="bottom"/>
            <w:tcBorders>
              <w:bottom w:val="single" w:sz="8" w:color="0077C0"/>
            </w:tcBorders>
            <w:shd w:val="clear" w:color="auto" w:fill="E8EFF9"/>
          </w:tcPr>
          <w:p>
            <w:pPr>
              <w:spacing w:after="0"/>
              <w:rPr>
                <w:sz w:val="18"/>
                <w:szCs w:val="18"/>
                <w:color w:val="auto"/>
              </w:rPr>
            </w:pPr>
          </w:p>
        </w:tc>
        <w:tc>
          <w:tcPr>
            <w:tcW w:w="8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839</w:t>
            </w:r>
          </w:p>
        </w:tc>
        <w:tc>
          <w:tcPr>
            <w:tcW w:w="120" w:type="dxa"/>
            <w:vAlign w:val="bottom"/>
            <w:tcBorders>
              <w:bottom w:val="single" w:sz="8" w:color="0077C0"/>
              <w:right w:val="single" w:sz="8" w:color="0077C0"/>
            </w:tcBorders>
            <w:shd w:val="clear" w:color="auto" w:fill="E8EFF9"/>
          </w:tcPr>
          <w:p>
            <w:pPr>
              <w:spacing w:after="0"/>
              <w:rPr>
                <w:sz w:val="18"/>
                <w:szCs w:val="18"/>
                <w:color w:val="auto"/>
              </w:rPr>
            </w:pPr>
          </w:p>
        </w:tc>
        <w:tc>
          <w:tcPr>
            <w:tcW w:w="300" w:type="dxa"/>
            <w:vAlign w:val="bottom"/>
            <w:tcBorders>
              <w:bottom w:val="single" w:sz="8" w:color="0077C0"/>
            </w:tcBorders>
            <w:shd w:val="clear" w:color="auto" w:fill="E8EFF9"/>
          </w:tcPr>
          <w:p>
            <w:pPr>
              <w:spacing w:after="0"/>
              <w:rPr>
                <w:sz w:val="18"/>
                <w:szCs w:val="18"/>
                <w:color w:val="auto"/>
              </w:rPr>
            </w:pPr>
          </w:p>
        </w:tc>
        <w:tc>
          <w:tcPr>
            <w:tcW w:w="76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40" w:type="dxa"/>
            <w:vAlign w:val="bottom"/>
            <w:tcBorders>
              <w:bottom w:val="single" w:sz="8" w:color="0077C0"/>
            </w:tcBorders>
            <w:shd w:val="clear" w:color="auto" w:fill="E8EFF9"/>
          </w:tcPr>
          <w:p>
            <w:pPr>
              <w:spacing w:after="0"/>
              <w:rPr>
                <w:sz w:val="18"/>
                <w:szCs w:val="18"/>
                <w:color w:val="auto"/>
              </w:rPr>
            </w:pPr>
          </w:p>
        </w:tc>
        <w:tc>
          <w:tcPr>
            <w:tcW w:w="240" w:type="dxa"/>
            <w:vAlign w:val="bottom"/>
            <w:tcBorders>
              <w:bottom w:val="single" w:sz="8" w:color="E8EFF9"/>
            </w:tcBorders>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 w:type="dxa"/>
            <w:vAlign w:val="bottom"/>
            <w:tcBorders>
              <w:bottom w:val="single" w:sz="8" w:color="E8EFF9"/>
            </w:tcBorders>
            <w:shd w:val="clear" w:color="auto" w:fill="E8EFF9"/>
          </w:tcPr>
          <w:p>
            <w:pPr>
              <w:spacing w:after="0"/>
              <w:rPr>
                <w:sz w:val="18"/>
                <w:szCs w:val="18"/>
                <w:color w:val="auto"/>
              </w:rPr>
            </w:pPr>
          </w:p>
        </w:tc>
        <w:tc>
          <w:tcPr>
            <w:tcW w:w="8460" w:type="dxa"/>
            <w:vAlign w:val="bottom"/>
            <w:tcBorders>
              <w:bottom w:val="single" w:sz="8" w:color="0077C0"/>
            </w:tcBorders>
            <w:gridSpan w:val="3"/>
            <w:shd w:val="clear" w:color="auto" w:fill="E8EFF9"/>
          </w:tcPr>
          <w:p>
            <w:pPr>
              <w:ind w:left="140"/>
              <w:spacing w:after="0"/>
              <w:rPr>
                <w:sz w:val="20"/>
                <w:szCs w:val="20"/>
                <w:color w:val="auto"/>
              </w:rPr>
            </w:pPr>
            <w:r>
              <w:rPr>
                <w:rFonts w:ascii="Times New Roman" w:cs="Times New Roman" w:eastAsia="Times New Roman" w:hAnsi="Times New Roman"/>
                <w:sz w:val="16"/>
                <w:szCs w:val="16"/>
                <w:b w:val="1"/>
                <w:bCs w:val="1"/>
                <w:color w:val="0077C0"/>
              </w:rPr>
              <w:t>Total Equity</w:t>
            </w:r>
          </w:p>
        </w:tc>
        <w:tc>
          <w:tcPr>
            <w:tcW w:w="300" w:type="dxa"/>
            <w:vAlign w:val="bottom"/>
            <w:tcBorders>
              <w:bottom w:val="single" w:sz="8" w:color="0077C0"/>
            </w:tcBorders>
            <w:shd w:val="clear" w:color="auto" w:fill="E8EFF9"/>
          </w:tcPr>
          <w:p>
            <w:pPr>
              <w:spacing w:after="0"/>
              <w:rPr>
                <w:sz w:val="18"/>
                <w:szCs w:val="18"/>
                <w:color w:val="auto"/>
              </w:rPr>
            </w:pPr>
          </w:p>
        </w:tc>
        <w:tc>
          <w:tcPr>
            <w:tcW w:w="8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153,157</w:t>
            </w:r>
          </w:p>
        </w:tc>
        <w:tc>
          <w:tcPr>
            <w:tcW w:w="120" w:type="dxa"/>
            <w:vAlign w:val="bottom"/>
            <w:tcBorders>
              <w:bottom w:val="single" w:sz="8" w:color="0077C0"/>
              <w:right w:val="single" w:sz="8" w:color="0077C0"/>
            </w:tcBorders>
            <w:shd w:val="clear" w:color="auto" w:fill="E8EFF9"/>
          </w:tcPr>
          <w:p>
            <w:pPr>
              <w:spacing w:after="0"/>
              <w:rPr>
                <w:sz w:val="18"/>
                <w:szCs w:val="18"/>
                <w:color w:val="auto"/>
              </w:rPr>
            </w:pPr>
          </w:p>
        </w:tc>
        <w:tc>
          <w:tcPr>
            <w:tcW w:w="300" w:type="dxa"/>
            <w:vAlign w:val="bottom"/>
            <w:tcBorders>
              <w:bottom w:val="single" w:sz="8" w:color="0077C0"/>
            </w:tcBorders>
            <w:shd w:val="clear" w:color="auto" w:fill="E8EFF9"/>
          </w:tcPr>
          <w:p>
            <w:pPr>
              <w:spacing w:after="0"/>
              <w:rPr>
                <w:sz w:val="18"/>
                <w:szCs w:val="18"/>
                <w:color w:val="auto"/>
              </w:rPr>
            </w:pPr>
          </w:p>
        </w:tc>
        <w:tc>
          <w:tcPr>
            <w:tcW w:w="76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161,929</w:t>
            </w:r>
          </w:p>
        </w:tc>
        <w:tc>
          <w:tcPr>
            <w:tcW w:w="40" w:type="dxa"/>
            <w:vAlign w:val="bottom"/>
            <w:tcBorders>
              <w:bottom w:val="single" w:sz="8" w:color="0077C0"/>
            </w:tcBorders>
            <w:shd w:val="clear" w:color="auto" w:fill="E8EFF9"/>
          </w:tcPr>
          <w:p>
            <w:pPr>
              <w:spacing w:after="0"/>
              <w:rPr>
                <w:sz w:val="18"/>
                <w:szCs w:val="18"/>
                <w:color w:val="auto"/>
              </w:rPr>
            </w:pPr>
          </w:p>
        </w:tc>
        <w:tc>
          <w:tcPr>
            <w:tcW w:w="240" w:type="dxa"/>
            <w:vAlign w:val="bottom"/>
            <w:tcBorders>
              <w:bottom w:val="single" w:sz="8" w:color="E8EFF9"/>
            </w:tcBorders>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 w:type="dxa"/>
            <w:vAlign w:val="bottom"/>
            <w:tcBorders>
              <w:bottom w:val="single" w:sz="8" w:color="E8EFF9"/>
            </w:tcBorders>
            <w:shd w:val="clear" w:color="auto" w:fill="E8EFF9"/>
          </w:tcPr>
          <w:p>
            <w:pPr>
              <w:spacing w:after="0"/>
              <w:rPr>
                <w:sz w:val="18"/>
                <w:szCs w:val="18"/>
                <w:color w:val="auto"/>
              </w:rPr>
            </w:pPr>
          </w:p>
        </w:tc>
        <w:tc>
          <w:tcPr>
            <w:tcW w:w="8460" w:type="dxa"/>
            <w:vAlign w:val="bottom"/>
            <w:tcBorders>
              <w:bottom w:val="single" w:sz="8" w:color="0077C0"/>
            </w:tcBorders>
            <w:gridSpan w:val="3"/>
            <w:shd w:val="clear" w:color="auto" w:fill="E8EFF9"/>
          </w:tcPr>
          <w:p>
            <w:pPr>
              <w:ind w:left="20"/>
              <w:spacing w:after="0"/>
              <w:rPr>
                <w:sz w:val="20"/>
                <w:szCs w:val="20"/>
                <w:color w:val="auto"/>
              </w:rPr>
            </w:pPr>
            <w:r>
              <w:rPr>
                <w:rFonts w:ascii="Times New Roman" w:cs="Times New Roman" w:eastAsia="Times New Roman" w:hAnsi="Times New Roman"/>
                <w:sz w:val="16"/>
                <w:szCs w:val="16"/>
                <w:b w:val="1"/>
                <w:bCs w:val="1"/>
                <w:color w:val="0077C0"/>
              </w:rPr>
              <w:t>Total Liabilities and Equity</w:t>
            </w:r>
          </w:p>
        </w:tc>
        <w:tc>
          <w:tcPr>
            <w:tcW w:w="300" w:type="dxa"/>
            <w:vAlign w:val="bottom"/>
            <w:tcBorders>
              <w:bottom w:val="single" w:sz="8" w:color="0077C0"/>
            </w:tcBorders>
            <w:shd w:val="clear" w:color="auto" w:fill="E8EFF9"/>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256,938</w:t>
            </w:r>
          </w:p>
        </w:tc>
        <w:tc>
          <w:tcPr>
            <w:tcW w:w="120" w:type="dxa"/>
            <w:vAlign w:val="bottom"/>
            <w:tcBorders>
              <w:bottom w:val="single" w:sz="8" w:color="0077C0"/>
              <w:right w:val="single" w:sz="8" w:color="0077C0"/>
            </w:tcBorders>
            <w:shd w:val="clear" w:color="auto" w:fill="E8EFF9"/>
          </w:tcPr>
          <w:p>
            <w:pPr>
              <w:spacing w:after="0"/>
              <w:rPr>
                <w:sz w:val="18"/>
                <w:szCs w:val="18"/>
                <w:color w:val="auto"/>
              </w:rPr>
            </w:pPr>
          </w:p>
        </w:tc>
        <w:tc>
          <w:tcPr>
            <w:tcW w:w="300" w:type="dxa"/>
            <w:vAlign w:val="bottom"/>
            <w:tcBorders>
              <w:bottom w:val="single" w:sz="8" w:color="0077C0"/>
            </w:tcBorders>
            <w:shd w:val="clear" w:color="auto" w:fill="E8EFF9"/>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261,632</w:t>
            </w:r>
          </w:p>
        </w:tc>
        <w:tc>
          <w:tcPr>
            <w:tcW w:w="40" w:type="dxa"/>
            <w:vAlign w:val="bottom"/>
            <w:tcBorders>
              <w:bottom w:val="single" w:sz="8" w:color="0077C0"/>
            </w:tcBorders>
            <w:shd w:val="clear" w:color="auto" w:fill="E8EFF9"/>
          </w:tcPr>
          <w:p>
            <w:pPr>
              <w:spacing w:after="0"/>
              <w:rPr>
                <w:sz w:val="18"/>
                <w:szCs w:val="18"/>
                <w:color w:val="auto"/>
              </w:rPr>
            </w:pPr>
          </w:p>
        </w:tc>
        <w:tc>
          <w:tcPr>
            <w:tcW w:w="240" w:type="dxa"/>
            <w:vAlign w:val="bottom"/>
            <w:tcBorders>
              <w:bottom w:val="single" w:sz="8" w:color="E8EFF9"/>
            </w:tcBorders>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0" w:type="dxa"/>
            <w:vAlign w:val="bottom"/>
            <w:shd w:val="clear" w:color="auto" w:fill="E8EFF9"/>
          </w:tcPr>
          <w:p>
            <w:pPr>
              <w:spacing w:after="0"/>
              <w:rPr>
                <w:sz w:val="18"/>
                <w:szCs w:val="18"/>
                <w:color w:val="auto"/>
              </w:rPr>
            </w:pPr>
          </w:p>
        </w:tc>
        <w:tc>
          <w:tcPr>
            <w:tcW w:w="8460" w:type="dxa"/>
            <w:vAlign w:val="bottom"/>
            <w:gridSpan w:val="3"/>
            <w:shd w:val="clear" w:color="auto" w:fill="E8EFF9"/>
          </w:tcPr>
          <w:p>
            <w:pPr>
              <w:ind w:left="20"/>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Includes finance lease liabilities of $546 and $574 at December 31, 2024 and 2023, respectively.</w:t>
            </w:r>
          </w:p>
        </w:tc>
        <w:tc>
          <w:tcPr>
            <w:tcW w:w="300" w:type="dxa"/>
            <w:vAlign w:val="bottom"/>
            <w:shd w:val="clear" w:color="auto" w:fill="E8EFF9"/>
          </w:tcPr>
          <w:p>
            <w:pPr>
              <w:spacing w:after="0"/>
              <w:rPr>
                <w:sz w:val="18"/>
                <w:szCs w:val="18"/>
                <w:color w:val="auto"/>
              </w:rPr>
            </w:pPr>
          </w:p>
        </w:tc>
        <w:tc>
          <w:tcPr>
            <w:tcW w:w="800" w:type="dxa"/>
            <w:vAlign w:val="bottom"/>
            <w:shd w:val="clear" w:color="auto" w:fill="E8EFF9"/>
          </w:tcPr>
          <w:p>
            <w:pPr>
              <w:spacing w:after="0"/>
              <w:rPr>
                <w:sz w:val="18"/>
                <w:szCs w:val="18"/>
                <w:color w:val="auto"/>
              </w:rPr>
            </w:pPr>
          </w:p>
        </w:tc>
        <w:tc>
          <w:tcPr>
            <w:tcW w:w="120" w:type="dxa"/>
            <w:vAlign w:val="bottom"/>
            <w:tcBorders>
              <w:right w:val="single" w:sz="8" w:color="E8EFF9"/>
            </w:tcBorders>
            <w:shd w:val="clear" w:color="auto" w:fill="E8EFF9"/>
          </w:tcPr>
          <w:p>
            <w:pPr>
              <w:spacing w:after="0"/>
              <w:rPr>
                <w:sz w:val="18"/>
                <w:szCs w:val="18"/>
                <w:color w:val="auto"/>
              </w:rPr>
            </w:pPr>
          </w:p>
        </w:tc>
        <w:tc>
          <w:tcPr>
            <w:tcW w:w="300" w:type="dxa"/>
            <w:vAlign w:val="bottom"/>
            <w:shd w:val="clear" w:color="auto" w:fill="E8EFF9"/>
          </w:tcPr>
          <w:p>
            <w:pPr>
              <w:spacing w:after="0"/>
              <w:rPr>
                <w:sz w:val="18"/>
                <w:szCs w:val="18"/>
                <w:color w:val="auto"/>
              </w:rPr>
            </w:pPr>
          </w:p>
        </w:tc>
        <w:tc>
          <w:tcPr>
            <w:tcW w:w="760" w:type="dxa"/>
            <w:vAlign w:val="bottom"/>
            <w:shd w:val="clear" w:color="auto" w:fill="E8EFF9"/>
          </w:tcPr>
          <w:p>
            <w:pPr>
              <w:spacing w:after="0"/>
              <w:rPr>
                <w:sz w:val="18"/>
                <w:szCs w:val="18"/>
                <w:color w:val="auto"/>
              </w:rPr>
            </w:pPr>
          </w:p>
        </w:tc>
        <w:tc>
          <w:tcPr>
            <w:tcW w:w="40" w:type="dxa"/>
            <w:vAlign w:val="bottom"/>
            <w:shd w:val="clear" w:color="auto" w:fill="E8EFF9"/>
          </w:tcPr>
          <w:p>
            <w:pPr>
              <w:spacing w:after="0"/>
              <w:rPr>
                <w:sz w:val="18"/>
                <w:szCs w:val="18"/>
                <w:color w:val="auto"/>
              </w:rPr>
            </w:pPr>
          </w:p>
        </w:tc>
        <w:tc>
          <w:tcPr>
            <w:tcW w:w="240" w:type="dxa"/>
            <w:vAlign w:val="bottom"/>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20" w:type="dxa"/>
            <w:vAlign w:val="bottom"/>
            <w:shd w:val="clear" w:color="auto" w:fill="E8EFF9"/>
          </w:tcPr>
          <w:p>
            <w:pPr>
              <w:spacing w:after="0"/>
              <w:rPr>
                <w:sz w:val="13"/>
                <w:szCs w:val="13"/>
                <w:color w:val="auto"/>
              </w:rPr>
            </w:pPr>
          </w:p>
        </w:tc>
        <w:tc>
          <w:tcPr>
            <w:tcW w:w="8460" w:type="dxa"/>
            <w:vAlign w:val="bottom"/>
            <w:gridSpan w:val="3"/>
            <w:shd w:val="clear" w:color="auto" w:fill="E8EFF9"/>
          </w:tcPr>
          <w:p>
            <w:pPr>
              <w:ind w:left="20"/>
              <w:spacing w:after="0" w:line="161" w:lineRule="exact"/>
              <w:rPr>
                <w:sz w:val="20"/>
                <w:szCs w:val="20"/>
                <w:color w:val="auto"/>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Refer to </w:t>
            </w:r>
            <w:r>
              <w:rPr>
                <w:rFonts w:ascii="Times New Roman" w:cs="Times New Roman" w:eastAsia="Times New Roman" w:hAnsi="Times New Roman"/>
                <w:sz w:val="14"/>
                <w:szCs w:val="14"/>
                <w:color w:val="0000FF"/>
              </w:rPr>
              <w:t>Note 24 Other Contingencies and Commitments</w:t>
            </w:r>
            <w:r>
              <w:rPr>
                <w:rFonts w:ascii="Times New Roman" w:cs="Times New Roman" w:eastAsia="Times New Roman" w:hAnsi="Times New Roman"/>
                <w:sz w:val="14"/>
                <w:szCs w:val="14"/>
                <w:color w:val="auto"/>
              </w:rPr>
              <w:t>.</w:t>
            </w:r>
          </w:p>
        </w:tc>
        <w:tc>
          <w:tcPr>
            <w:tcW w:w="300" w:type="dxa"/>
            <w:vAlign w:val="bottom"/>
            <w:shd w:val="clear" w:color="auto" w:fill="E8EFF9"/>
          </w:tcPr>
          <w:p>
            <w:pPr>
              <w:spacing w:after="0"/>
              <w:rPr>
                <w:sz w:val="13"/>
                <w:szCs w:val="13"/>
                <w:color w:val="auto"/>
              </w:rPr>
            </w:pPr>
          </w:p>
        </w:tc>
        <w:tc>
          <w:tcPr>
            <w:tcW w:w="800" w:type="dxa"/>
            <w:vAlign w:val="bottom"/>
            <w:shd w:val="clear" w:color="auto" w:fill="E8EFF9"/>
          </w:tcPr>
          <w:p>
            <w:pPr>
              <w:spacing w:after="0"/>
              <w:rPr>
                <w:sz w:val="13"/>
                <w:szCs w:val="13"/>
                <w:color w:val="auto"/>
              </w:rPr>
            </w:pPr>
          </w:p>
        </w:tc>
        <w:tc>
          <w:tcPr>
            <w:tcW w:w="120" w:type="dxa"/>
            <w:vAlign w:val="bottom"/>
            <w:tcBorders>
              <w:right w:val="single" w:sz="8" w:color="E8EFF9"/>
            </w:tcBorders>
            <w:shd w:val="clear" w:color="auto" w:fill="E8EFF9"/>
          </w:tcPr>
          <w:p>
            <w:pPr>
              <w:spacing w:after="0"/>
              <w:rPr>
                <w:sz w:val="13"/>
                <w:szCs w:val="13"/>
                <w:color w:val="auto"/>
              </w:rPr>
            </w:pPr>
          </w:p>
        </w:tc>
        <w:tc>
          <w:tcPr>
            <w:tcW w:w="300" w:type="dxa"/>
            <w:vAlign w:val="bottom"/>
            <w:shd w:val="clear" w:color="auto" w:fill="E8EFF9"/>
          </w:tcPr>
          <w:p>
            <w:pPr>
              <w:spacing w:after="0"/>
              <w:rPr>
                <w:sz w:val="13"/>
                <w:szCs w:val="13"/>
                <w:color w:val="auto"/>
              </w:rPr>
            </w:pPr>
          </w:p>
        </w:tc>
        <w:tc>
          <w:tcPr>
            <w:tcW w:w="760" w:type="dxa"/>
            <w:vAlign w:val="bottom"/>
            <w:shd w:val="clear" w:color="auto" w:fill="E8EFF9"/>
          </w:tcPr>
          <w:p>
            <w:pPr>
              <w:spacing w:after="0"/>
              <w:rPr>
                <w:sz w:val="13"/>
                <w:szCs w:val="13"/>
                <w:color w:val="auto"/>
              </w:rPr>
            </w:pPr>
          </w:p>
        </w:tc>
        <w:tc>
          <w:tcPr>
            <w:tcW w:w="40" w:type="dxa"/>
            <w:vAlign w:val="bottom"/>
            <w:shd w:val="clear" w:color="auto" w:fill="E8EFF9"/>
          </w:tcPr>
          <w:p>
            <w:pPr>
              <w:spacing w:after="0"/>
              <w:rPr>
                <w:sz w:val="13"/>
                <w:szCs w:val="13"/>
                <w:color w:val="auto"/>
              </w:rPr>
            </w:pPr>
          </w:p>
        </w:tc>
        <w:tc>
          <w:tcPr>
            <w:tcW w:w="240" w:type="dxa"/>
            <w:vAlign w:val="bottom"/>
            <w:shd w:val="clear" w:color="auto" w:fill="E8EFF9"/>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E8EFF9"/>
          </w:tcPr>
          <w:p>
            <w:pPr>
              <w:spacing w:after="0" w:line="20" w:lineRule="exact"/>
              <w:rPr>
                <w:sz w:val="1"/>
                <w:szCs w:val="1"/>
                <w:color w:val="auto"/>
              </w:rPr>
            </w:pPr>
          </w:p>
        </w:tc>
        <w:tc>
          <w:tcPr>
            <w:tcW w:w="600" w:type="dxa"/>
            <w:vAlign w:val="bottom"/>
            <w:shd w:val="clear" w:color="auto" w:fill="E8EFF9"/>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5080" w:type="dxa"/>
            <w:vAlign w:val="bottom"/>
            <w:shd w:val="clear" w:color="auto" w:fill="E8EFF9"/>
          </w:tcPr>
          <w:p>
            <w:pPr>
              <w:spacing w:after="0" w:line="20" w:lineRule="exact"/>
              <w:rPr>
                <w:sz w:val="1"/>
                <w:szCs w:val="1"/>
                <w:color w:val="auto"/>
              </w:rPr>
            </w:pPr>
          </w:p>
        </w:tc>
        <w:tc>
          <w:tcPr>
            <w:tcW w:w="300" w:type="dxa"/>
            <w:vAlign w:val="bottom"/>
            <w:shd w:val="clear" w:color="auto" w:fill="E8EFF9"/>
          </w:tcPr>
          <w:p>
            <w:pPr>
              <w:spacing w:after="0" w:line="20" w:lineRule="exact"/>
              <w:rPr>
                <w:sz w:val="1"/>
                <w:szCs w:val="1"/>
                <w:color w:val="auto"/>
              </w:rPr>
            </w:pPr>
          </w:p>
        </w:tc>
        <w:tc>
          <w:tcPr>
            <w:tcW w:w="800" w:type="dxa"/>
            <w:vAlign w:val="bottom"/>
            <w:shd w:val="clear" w:color="auto" w:fill="E8EFF9"/>
          </w:tcPr>
          <w:p>
            <w:pPr>
              <w:spacing w:after="0" w:line="20" w:lineRule="exact"/>
              <w:rPr>
                <w:sz w:val="1"/>
                <w:szCs w:val="1"/>
                <w:color w:val="auto"/>
              </w:rPr>
            </w:pPr>
          </w:p>
        </w:tc>
        <w:tc>
          <w:tcPr>
            <w:tcW w:w="120" w:type="dxa"/>
            <w:vAlign w:val="bottom"/>
            <w:tcBorders>
              <w:right w:val="single" w:sz="8" w:color="E8EFF9"/>
            </w:tcBorders>
            <w:shd w:val="clear" w:color="auto" w:fill="E8EFF9"/>
          </w:tcPr>
          <w:p>
            <w:pPr>
              <w:spacing w:after="0" w:line="20" w:lineRule="exact"/>
              <w:rPr>
                <w:sz w:val="1"/>
                <w:szCs w:val="1"/>
                <w:color w:val="auto"/>
              </w:rPr>
            </w:pPr>
          </w:p>
        </w:tc>
        <w:tc>
          <w:tcPr>
            <w:tcW w:w="300" w:type="dxa"/>
            <w:vAlign w:val="bottom"/>
            <w:shd w:val="clear" w:color="auto" w:fill="E8EFF9"/>
          </w:tcPr>
          <w:p>
            <w:pPr>
              <w:spacing w:after="0" w:line="20" w:lineRule="exact"/>
              <w:rPr>
                <w:sz w:val="1"/>
                <w:szCs w:val="1"/>
                <w:color w:val="auto"/>
              </w:rPr>
            </w:pPr>
          </w:p>
        </w:tc>
        <w:tc>
          <w:tcPr>
            <w:tcW w:w="760" w:type="dxa"/>
            <w:vAlign w:val="bottom"/>
            <w:shd w:val="clear" w:color="auto" w:fill="E8EFF9"/>
          </w:tcPr>
          <w:p>
            <w:pPr>
              <w:spacing w:after="0" w:line="20" w:lineRule="exact"/>
              <w:rPr>
                <w:sz w:val="1"/>
                <w:szCs w:val="1"/>
                <w:color w:val="auto"/>
              </w:rPr>
            </w:pPr>
          </w:p>
        </w:tc>
        <w:tc>
          <w:tcPr>
            <w:tcW w:w="40" w:type="dxa"/>
            <w:vAlign w:val="bottom"/>
            <w:shd w:val="clear" w:color="auto" w:fill="E8EFF9"/>
          </w:tcPr>
          <w:p>
            <w:pPr>
              <w:spacing w:after="0" w:line="20" w:lineRule="exact"/>
              <w:rPr>
                <w:sz w:val="1"/>
                <w:szCs w:val="1"/>
                <w:color w:val="auto"/>
              </w:rPr>
            </w:pPr>
          </w:p>
        </w:tc>
        <w:tc>
          <w:tcPr>
            <w:tcW w:w="240" w:type="dxa"/>
            <w:vAlign w:val="bottom"/>
            <w:shd w:val="clear" w:color="auto" w:fill="E8EFF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20" w:type="dxa"/>
            <w:vAlign w:val="bottom"/>
            <w:shd w:val="clear" w:color="auto" w:fill="E8EFF9"/>
          </w:tcPr>
          <w:p>
            <w:pPr>
              <w:spacing w:after="0"/>
              <w:rPr>
                <w:sz w:val="20"/>
                <w:szCs w:val="20"/>
                <w:color w:val="auto"/>
              </w:rPr>
            </w:pPr>
          </w:p>
        </w:tc>
        <w:tc>
          <w:tcPr>
            <w:tcW w:w="8460" w:type="dxa"/>
            <w:vAlign w:val="bottom"/>
            <w:gridSpan w:val="3"/>
            <w:shd w:val="clear" w:color="auto" w:fill="E8EFF9"/>
          </w:tcPr>
          <w:p>
            <w:pPr>
              <w:ind w:left="20"/>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tc>
        <w:tc>
          <w:tcPr>
            <w:tcW w:w="300" w:type="dxa"/>
            <w:vAlign w:val="bottom"/>
            <w:shd w:val="clear" w:color="auto" w:fill="E8EFF9"/>
          </w:tcPr>
          <w:p>
            <w:pPr>
              <w:spacing w:after="0"/>
              <w:rPr>
                <w:sz w:val="20"/>
                <w:szCs w:val="20"/>
                <w:color w:val="auto"/>
              </w:rPr>
            </w:pPr>
          </w:p>
        </w:tc>
        <w:tc>
          <w:tcPr>
            <w:tcW w:w="800" w:type="dxa"/>
            <w:vAlign w:val="bottom"/>
            <w:shd w:val="clear" w:color="auto" w:fill="E8EFF9"/>
          </w:tcPr>
          <w:p>
            <w:pPr>
              <w:spacing w:after="0"/>
              <w:rPr>
                <w:sz w:val="20"/>
                <w:szCs w:val="20"/>
                <w:color w:val="auto"/>
              </w:rPr>
            </w:pPr>
          </w:p>
        </w:tc>
        <w:tc>
          <w:tcPr>
            <w:tcW w:w="120" w:type="dxa"/>
            <w:vAlign w:val="bottom"/>
            <w:tcBorders>
              <w:right w:val="single" w:sz="8" w:color="E8EFF9"/>
            </w:tcBorders>
            <w:shd w:val="clear" w:color="auto" w:fill="E8EFF9"/>
          </w:tcPr>
          <w:p>
            <w:pPr>
              <w:spacing w:after="0"/>
              <w:rPr>
                <w:sz w:val="20"/>
                <w:szCs w:val="20"/>
                <w:color w:val="auto"/>
              </w:rPr>
            </w:pPr>
          </w:p>
        </w:tc>
        <w:tc>
          <w:tcPr>
            <w:tcW w:w="300" w:type="dxa"/>
            <w:vAlign w:val="bottom"/>
            <w:shd w:val="clear" w:color="auto" w:fill="E8EFF9"/>
          </w:tcPr>
          <w:p>
            <w:pPr>
              <w:spacing w:after="0"/>
              <w:rPr>
                <w:sz w:val="20"/>
                <w:szCs w:val="20"/>
                <w:color w:val="auto"/>
              </w:rPr>
            </w:pPr>
          </w:p>
        </w:tc>
        <w:tc>
          <w:tcPr>
            <w:tcW w:w="760" w:type="dxa"/>
            <w:vAlign w:val="bottom"/>
            <w:shd w:val="clear" w:color="auto" w:fill="E8EFF9"/>
          </w:tcPr>
          <w:p>
            <w:pPr>
              <w:spacing w:after="0"/>
              <w:rPr>
                <w:sz w:val="20"/>
                <w:szCs w:val="20"/>
                <w:color w:val="auto"/>
              </w:rPr>
            </w:pPr>
          </w:p>
        </w:tc>
        <w:tc>
          <w:tcPr>
            <w:tcW w:w="40" w:type="dxa"/>
            <w:vAlign w:val="bottom"/>
            <w:shd w:val="clear" w:color="auto" w:fill="E8EFF9"/>
          </w:tcPr>
          <w:p>
            <w:pPr>
              <w:spacing w:after="0"/>
              <w:rPr>
                <w:sz w:val="20"/>
                <w:szCs w:val="20"/>
                <w:color w:val="auto"/>
              </w:rPr>
            </w:pPr>
          </w:p>
        </w:tc>
        <w:tc>
          <w:tcPr>
            <w:tcW w:w="240" w:type="dxa"/>
            <w:vAlign w:val="bottom"/>
            <w:shd w:val="clear" w:color="auto" w:fill="E8EFF9"/>
          </w:tcPr>
          <w:p>
            <w:pPr>
              <w:spacing w:after="0"/>
              <w:rPr>
                <w:sz w:val="20"/>
                <w:szCs w:val="20"/>
                <w:color w:val="auto"/>
              </w:rPr>
            </w:pPr>
          </w:p>
        </w:tc>
        <w:tc>
          <w:tcPr>
            <w:tcW w:w="0" w:type="dxa"/>
            <w:vAlign w:val="bottom"/>
          </w:tcPr>
          <w:p>
            <w:pPr>
              <w:spacing w:after="0"/>
              <w:rPr>
                <w:sz w:val="1"/>
                <w:szCs w:val="1"/>
                <w:color w:val="auto"/>
              </w:rPr>
            </w:pPr>
          </w:p>
        </w:tc>
      </w:tr>
      <w:tr>
        <w:trPr>
          <w:trHeight w:val="618"/>
        </w:trPr>
        <w:tc>
          <w:tcPr>
            <w:tcW w:w="220" w:type="dxa"/>
            <w:vAlign w:val="bottom"/>
            <w:shd w:val="clear" w:color="auto" w:fill="E8EFF9"/>
          </w:tcPr>
          <w:p>
            <w:pPr>
              <w:spacing w:after="0"/>
              <w:rPr>
                <w:sz w:val="24"/>
                <w:szCs w:val="24"/>
                <w:color w:val="auto"/>
              </w:rPr>
            </w:pPr>
          </w:p>
        </w:tc>
        <w:tc>
          <w:tcPr>
            <w:tcW w:w="600" w:type="dxa"/>
            <w:vAlign w:val="bottom"/>
            <w:shd w:val="clear" w:color="auto" w:fill="E8EFF9"/>
          </w:tcPr>
          <w:p>
            <w:pPr>
              <w:spacing w:after="0"/>
              <w:rPr>
                <w:sz w:val="24"/>
                <w:szCs w:val="24"/>
                <w:color w:val="auto"/>
              </w:rPr>
            </w:pPr>
          </w:p>
        </w:tc>
        <w:tc>
          <w:tcPr>
            <w:tcW w:w="2780" w:type="dxa"/>
            <w:vAlign w:val="bottom"/>
            <w:shd w:val="clear" w:color="auto" w:fill="E8EFF9"/>
          </w:tcPr>
          <w:p>
            <w:pPr>
              <w:spacing w:after="0"/>
              <w:rPr>
                <w:sz w:val="24"/>
                <w:szCs w:val="24"/>
                <w:color w:val="auto"/>
              </w:rPr>
            </w:pPr>
          </w:p>
        </w:tc>
        <w:tc>
          <w:tcPr>
            <w:tcW w:w="5080" w:type="dxa"/>
            <w:vAlign w:val="bottom"/>
            <w:shd w:val="clear" w:color="auto" w:fill="E8EFF9"/>
          </w:tcPr>
          <w:p>
            <w:pPr>
              <w:spacing w:after="0"/>
              <w:rPr>
                <w:sz w:val="24"/>
                <w:szCs w:val="24"/>
                <w:color w:val="auto"/>
              </w:rPr>
            </w:pPr>
          </w:p>
        </w:tc>
        <w:tc>
          <w:tcPr>
            <w:tcW w:w="300" w:type="dxa"/>
            <w:vAlign w:val="bottom"/>
            <w:shd w:val="clear" w:color="auto" w:fill="E8EFF9"/>
          </w:tcPr>
          <w:p>
            <w:pPr>
              <w:spacing w:after="0"/>
              <w:rPr>
                <w:sz w:val="24"/>
                <w:szCs w:val="24"/>
                <w:color w:val="auto"/>
              </w:rPr>
            </w:pPr>
          </w:p>
        </w:tc>
        <w:tc>
          <w:tcPr>
            <w:tcW w:w="800" w:type="dxa"/>
            <w:vAlign w:val="bottom"/>
            <w:shd w:val="clear" w:color="auto" w:fill="E8EFF9"/>
          </w:tcPr>
          <w:p>
            <w:pPr>
              <w:spacing w:after="0"/>
              <w:rPr>
                <w:sz w:val="24"/>
                <w:szCs w:val="24"/>
                <w:color w:val="auto"/>
              </w:rPr>
            </w:pPr>
          </w:p>
        </w:tc>
        <w:tc>
          <w:tcPr>
            <w:tcW w:w="120" w:type="dxa"/>
            <w:vAlign w:val="bottom"/>
            <w:tcBorders>
              <w:right w:val="single" w:sz="8" w:color="E8EFF9"/>
            </w:tcBorders>
            <w:shd w:val="clear" w:color="auto" w:fill="E8EFF9"/>
          </w:tcPr>
          <w:p>
            <w:pPr>
              <w:spacing w:after="0"/>
              <w:rPr>
                <w:sz w:val="24"/>
                <w:szCs w:val="24"/>
                <w:color w:val="auto"/>
              </w:rPr>
            </w:pPr>
          </w:p>
        </w:tc>
        <w:tc>
          <w:tcPr>
            <w:tcW w:w="300" w:type="dxa"/>
            <w:vAlign w:val="bottom"/>
            <w:shd w:val="clear" w:color="auto" w:fill="E8EFF9"/>
          </w:tcPr>
          <w:p>
            <w:pPr>
              <w:spacing w:after="0"/>
              <w:rPr>
                <w:sz w:val="24"/>
                <w:szCs w:val="24"/>
                <w:color w:val="auto"/>
              </w:rPr>
            </w:pPr>
          </w:p>
        </w:tc>
        <w:tc>
          <w:tcPr>
            <w:tcW w:w="760" w:type="dxa"/>
            <w:vAlign w:val="bottom"/>
            <w:shd w:val="clear" w:color="auto" w:fill="E8EFF9"/>
          </w:tcPr>
          <w:p>
            <w:pPr>
              <w:spacing w:after="0"/>
              <w:rPr>
                <w:sz w:val="24"/>
                <w:szCs w:val="24"/>
                <w:color w:val="auto"/>
              </w:rPr>
            </w:pPr>
          </w:p>
        </w:tc>
        <w:tc>
          <w:tcPr>
            <w:tcW w:w="40" w:type="dxa"/>
            <w:vAlign w:val="bottom"/>
            <w:shd w:val="clear" w:color="auto" w:fill="E8EFF9"/>
          </w:tcPr>
          <w:p>
            <w:pPr>
              <w:spacing w:after="0"/>
              <w:rPr>
                <w:sz w:val="24"/>
                <w:szCs w:val="24"/>
                <w:color w:val="auto"/>
              </w:rPr>
            </w:pPr>
          </w:p>
        </w:tc>
        <w:tc>
          <w:tcPr>
            <w:tcW w:w="240" w:type="dxa"/>
            <w:vAlign w:val="bottom"/>
            <w:shd w:val="clear" w:color="auto" w:fill="E8EFF9"/>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9"/>
        </w:trPr>
        <w:tc>
          <w:tcPr>
            <w:tcW w:w="7480" w:type="dxa"/>
            <w:vAlign w:val="bottom"/>
            <w:gridSpan w:val="2"/>
          </w:tcPr>
          <w:p>
            <w:pPr>
              <w:ind w:left="20"/>
              <w:spacing w:after="0"/>
              <w:rPr>
                <w:sz w:val="20"/>
                <w:szCs w:val="20"/>
                <w:color w:val="auto"/>
              </w:rPr>
            </w:pPr>
            <w:r>
              <w:rPr>
                <w:rFonts w:ascii="Arial" w:cs="Arial" w:eastAsia="Arial" w:hAnsi="Arial"/>
                <w:sz w:val="18"/>
                <w:szCs w:val="18"/>
                <w:color w:val="0077C0"/>
              </w:rPr>
              <w:t>Consolidated Statement of Cash Flows</w:t>
            </w: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60" w:type="dxa"/>
            <w:vAlign w:val="bottom"/>
            <w:gridSpan w:val="4"/>
          </w:tcPr>
          <w:p>
            <w:pPr>
              <w:ind w:left="400"/>
              <w:spacing w:after="0"/>
              <w:rPr>
                <w:sz w:val="20"/>
                <w:szCs w:val="20"/>
                <w:color w:val="auto"/>
              </w:rPr>
            </w:pPr>
            <w:r>
              <w:rPr>
                <w:rFonts w:ascii="Arial" w:cs="Arial" w:eastAsia="Arial" w:hAnsi="Arial"/>
                <w:sz w:val="14"/>
                <w:szCs w:val="14"/>
                <w:color w:val="0077C0"/>
              </w:rPr>
              <w:t>Financial Table of Contents</w:t>
            </w:r>
          </w:p>
        </w:tc>
        <w:tc>
          <w:tcPr>
            <w:tcW w:w="0" w:type="dxa"/>
            <w:vAlign w:val="bottom"/>
          </w:tcPr>
          <w:p>
            <w:pPr>
              <w:spacing w:after="0"/>
              <w:rPr>
                <w:sz w:val="1"/>
                <w:szCs w:val="1"/>
                <w:color w:val="auto"/>
              </w:rPr>
            </w:pPr>
          </w:p>
        </w:tc>
      </w:tr>
      <w:tr>
        <w:trPr>
          <w:trHeight w:val="190"/>
        </w:trPr>
        <w:tc>
          <w:tcPr>
            <w:tcW w:w="7480" w:type="dxa"/>
            <w:vAlign w:val="bottom"/>
            <w:gridSpan w:val="2"/>
          </w:tcPr>
          <w:p>
            <w:pPr>
              <w:ind w:left="20"/>
              <w:spacing w:after="0"/>
              <w:rPr>
                <w:sz w:val="20"/>
                <w:szCs w:val="20"/>
                <w:color w:val="auto"/>
              </w:rPr>
            </w:pPr>
            <w:r>
              <w:rPr>
                <w:rFonts w:ascii="Arial" w:cs="Arial" w:eastAsia="Arial" w:hAnsi="Arial"/>
                <w:sz w:val="14"/>
                <w:szCs w:val="14"/>
                <w:color w:val="0077C0"/>
              </w:rPr>
              <w:t>Millions of dollars</w:t>
            </w: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8"/>
        </w:trPr>
        <w:tc>
          <w:tcPr>
            <w:tcW w:w="2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20" w:type="dxa"/>
            <w:vAlign w:val="bottom"/>
            <w:shd w:val="clear" w:color="auto" w:fill="E8EFF9"/>
          </w:tcPr>
          <w:p>
            <w:pPr>
              <w:spacing w:after="0"/>
              <w:rPr>
                <w:sz w:val="18"/>
                <w:szCs w:val="18"/>
                <w:color w:val="auto"/>
              </w:rPr>
            </w:pPr>
          </w:p>
        </w:tc>
        <w:tc>
          <w:tcPr>
            <w:tcW w:w="7260" w:type="dxa"/>
            <w:vAlign w:val="bottom"/>
            <w:shd w:val="clear" w:color="auto" w:fill="E8EFF9"/>
          </w:tcPr>
          <w:p>
            <w:pPr>
              <w:spacing w:after="0"/>
              <w:rPr>
                <w:sz w:val="18"/>
                <w:szCs w:val="18"/>
                <w:color w:val="auto"/>
              </w:rPr>
            </w:pPr>
          </w:p>
        </w:tc>
        <w:tc>
          <w:tcPr>
            <w:tcW w:w="300" w:type="dxa"/>
            <w:vAlign w:val="bottom"/>
            <w:shd w:val="clear" w:color="auto" w:fill="E8EFF9"/>
          </w:tcPr>
          <w:p>
            <w:pPr>
              <w:spacing w:after="0"/>
              <w:rPr>
                <w:sz w:val="18"/>
                <w:szCs w:val="18"/>
                <w:color w:val="auto"/>
              </w:rPr>
            </w:pPr>
          </w:p>
        </w:tc>
        <w:tc>
          <w:tcPr>
            <w:tcW w:w="740" w:type="dxa"/>
            <w:vAlign w:val="bottom"/>
            <w:shd w:val="clear" w:color="auto" w:fill="E8EFF9"/>
          </w:tcPr>
          <w:p>
            <w:pPr>
              <w:spacing w:after="0"/>
              <w:rPr>
                <w:sz w:val="18"/>
                <w:szCs w:val="18"/>
                <w:color w:val="auto"/>
              </w:rPr>
            </w:pPr>
          </w:p>
        </w:tc>
        <w:tc>
          <w:tcPr>
            <w:tcW w:w="160" w:type="dxa"/>
            <w:vAlign w:val="bottom"/>
            <w:tcBorders>
              <w:right w:val="single" w:sz="8" w:color="E8EFF9"/>
            </w:tcBorders>
            <w:shd w:val="clear" w:color="auto" w:fill="E8EFF9"/>
          </w:tcPr>
          <w:p>
            <w:pPr>
              <w:spacing w:after="0"/>
              <w:rPr>
                <w:sz w:val="18"/>
                <w:szCs w:val="18"/>
                <w:color w:val="auto"/>
              </w:rPr>
            </w:pPr>
          </w:p>
        </w:tc>
        <w:tc>
          <w:tcPr>
            <w:tcW w:w="300" w:type="dxa"/>
            <w:vAlign w:val="bottom"/>
            <w:shd w:val="clear" w:color="auto" w:fill="E8EFF9"/>
          </w:tcPr>
          <w:p>
            <w:pPr>
              <w:spacing w:after="0"/>
              <w:rPr>
                <w:sz w:val="18"/>
                <w:szCs w:val="18"/>
                <w:color w:val="auto"/>
              </w:rPr>
            </w:pPr>
          </w:p>
        </w:tc>
        <w:tc>
          <w:tcPr>
            <w:tcW w:w="2260" w:type="dxa"/>
            <w:vAlign w:val="bottom"/>
            <w:gridSpan w:val="4"/>
            <w:shd w:val="clear" w:color="auto" w:fill="E8EFF9"/>
          </w:tcPr>
          <w:p>
            <w:pPr>
              <w:jc w:val="right"/>
              <w:ind w:right="300"/>
              <w:spacing w:after="0"/>
              <w:rPr>
                <w:sz w:val="20"/>
                <w:szCs w:val="20"/>
                <w:color w:val="auto"/>
              </w:rPr>
            </w:pPr>
            <w:r>
              <w:rPr>
                <w:rFonts w:ascii="Times New Roman" w:cs="Times New Roman" w:eastAsia="Times New Roman" w:hAnsi="Times New Roman"/>
                <w:sz w:val="16"/>
                <w:szCs w:val="16"/>
                <w:color w:val="auto"/>
              </w:rPr>
              <w:t>Year ended December 31</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7260" w:type="dxa"/>
            <w:vAlign w:val="bottom"/>
            <w:tcBorders>
              <w:top w:val="single" w:sz="8" w:color="E8EFF9"/>
              <w:bottom w:val="single" w:sz="8" w:color="0077C0"/>
            </w:tcBorders>
            <w:shd w:val="clear" w:color="auto" w:fill="E8EFF9"/>
          </w:tcPr>
          <w:p>
            <w:pPr>
              <w:spacing w:after="0"/>
              <w:rPr>
                <w:sz w:val="18"/>
                <w:szCs w:val="18"/>
                <w:color w:val="auto"/>
              </w:rPr>
            </w:pPr>
          </w:p>
        </w:tc>
        <w:tc>
          <w:tcPr>
            <w:tcW w:w="300" w:type="dxa"/>
            <w:vAlign w:val="bottom"/>
            <w:tcBorders>
              <w:top w:val="single" w:sz="8" w:color="0077C0"/>
              <w:bottom w:val="single" w:sz="8" w:color="0077C0"/>
            </w:tcBorders>
            <w:shd w:val="clear" w:color="auto" w:fill="E8EFF9"/>
          </w:tcPr>
          <w:p>
            <w:pPr>
              <w:spacing w:after="0"/>
              <w:rPr>
                <w:sz w:val="18"/>
                <w:szCs w:val="18"/>
                <w:color w:val="auto"/>
              </w:rPr>
            </w:pPr>
          </w:p>
        </w:tc>
        <w:tc>
          <w:tcPr>
            <w:tcW w:w="900" w:type="dxa"/>
            <w:vAlign w:val="bottom"/>
            <w:tcBorders>
              <w:top w:val="single" w:sz="8" w:color="0077C0"/>
              <w:bottom w:val="single" w:sz="8" w:color="0077C0"/>
              <w:right w:val="single" w:sz="8" w:color="E8EFF9"/>
            </w:tcBorders>
            <w:gridSpan w:val="2"/>
            <w:shd w:val="clear" w:color="auto" w:fill="E8EFF9"/>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Borders>
              <w:top w:val="single" w:sz="8" w:color="0077C0"/>
              <w:bottom w:val="single" w:sz="8" w:color="0077C0"/>
            </w:tcBorders>
            <w:shd w:val="clear" w:color="auto" w:fill="E8EFF9"/>
          </w:tcPr>
          <w:p>
            <w:pPr>
              <w:spacing w:after="0"/>
              <w:rPr>
                <w:sz w:val="18"/>
                <w:szCs w:val="18"/>
                <w:color w:val="auto"/>
              </w:rPr>
            </w:pPr>
          </w:p>
        </w:tc>
        <w:tc>
          <w:tcPr>
            <w:tcW w:w="780" w:type="dxa"/>
            <w:vAlign w:val="bottom"/>
            <w:tcBorders>
              <w:top w:val="single" w:sz="8" w:color="0077C0"/>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400" w:type="dxa"/>
            <w:vAlign w:val="bottom"/>
            <w:tcBorders>
              <w:top w:val="single" w:sz="8" w:color="0077C0"/>
              <w:bottom w:val="single" w:sz="8" w:color="0077C0"/>
            </w:tcBorders>
            <w:shd w:val="clear" w:color="auto" w:fill="E8EFF9"/>
          </w:tcPr>
          <w:p>
            <w:pPr>
              <w:spacing w:after="0"/>
              <w:rPr>
                <w:sz w:val="18"/>
                <w:szCs w:val="18"/>
                <w:color w:val="auto"/>
              </w:rPr>
            </w:pPr>
          </w:p>
        </w:tc>
        <w:tc>
          <w:tcPr>
            <w:tcW w:w="800" w:type="dxa"/>
            <w:vAlign w:val="bottom"/>
            <w:tcBorders>
              <w:top w:val="single" w:sz="8" w:color="0077C0"/>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280" w:type="dxa"/>
            <w:vAlign w:val="bottom"/>
            <w:tcBorders>
              <w:top w:val="single" w:sz="8" w:color="E8EFF9"/>
              <w:bottom w:val="single" w:sz="8" w:color="E8EFF9"/>
            </w:tcBorders>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20" w:type="dxa"/>
            <w:vAlign w:val="bottom"/>
          </w:tcPr>
          <w:p>
            <w:pPr>
              <w:spacing w:after="0"/>
              <w:rPr>
                <w:sz w:val="18"/>
                <w:szCs w:val="18"/>
                <w:color w:val="auto"/>
              </w:rPr>
            </w:pPr>
          </w:p>
        </w:tc>
        <w:tc>
          <w:tcPr>
            <w:tcW w:w="7260" w:type="dxa"/>
            <w:vAlign w:val="bottom"/>
            <w:shd w:val="clear" w:color="auto" w:fill="E8EFF9"/>
          </w:tcPr>
          <w:p>
            <w:pPr>
              <w:ind w:left="20"/>
              <w:spacing w:after="0"/>
              <w:rPr>
                <w:sz w:val="20"/>
                <w:szCs w:val="20"/>
                <w:color w:val="auto"/>
              </w:rPr>
            </w:pPr>
            <w:r>
              <w:rPr>
                <w:rFonts w:ascii="Times New Roman" w:cs="Times New Roman" w:eastAsia="Times New Roman" w:hAnsi="Times New Roman"/>
                <w:sz w:val="16"/>
                <w:szCs w:val="16"/>
                <w:b w:val="1"/>
                <w:bCs w:val="1"/>
                <w:color w:val="0077C0"/>
              </w:rPr>
              <w:t>Operating Activities</w:t>
            </w:r>
          </w:p>
        </w:tc>
        <w:tc>
          <w:tcPr>
            <w:tcW w:w="300" w:type="dxa"/>
            <w:vAlign w:val="bottom"/>
            <w:shd w:val="clear" w:color="auto" w:fill="E8EFF9"/>
          </w:tcPr>
          <w:p>
            <w:pPr>
              <w:spacing w:after="0"/>
              <w:rPr>
                <w:sz w:val="18"/>
                <w:szCs w:val="18"/>
                <w:color w:val="auto"/>
              </w:rPr>
            </w:pPr>
          </w:p>
        </w:tc>
        <w:tc>
          <w:tcPr>
            <w:tcW w:w="740" w:type="dxa"/>
            <w:vAlign w:val="bottom"/>
            <w:shd w:val="clear" w:color="auto" w:fill="E8EFF9"/>
          </w:tcPr>
          <w:p>
            <w:pPr>
              <w:spacing w:after="0"/>
              <w:rPr>
                <w:sz w:val="18"/>
                <w:szCs w:val="18"/>
                <w:color w:val="auto"/>
              </w:rPr>
            </w:pPr>
          </w:p>
        </w:tc>
        <w:tc>
          <w:tcPr>
            <w:tcW w:w="160" w:type="dxa"/>
            <w:vAlign w:val="bottom"/>
            <w:tcBorders>
              <w:right w:val="single" w:sz="8" w:color="0077C0"/>
            </w:tcBorders>
            <w:shd w:val="clear" w:color="auto" w:fill="E8EFF9"/>
          </w:tcPr>
          <w:p>
            <w:pPr>
              <w:spacing w:after="0"/>
              <w:rPr>
                <w:sz w:val="18"/>
                <w:szCs w:val="18"/>
                <w:color w:val="auto"/>
              </w:rPr>
            </w:pPr>
          </w:p>
        </w:tc>
        <w:tc>
          <w:tcPr>
            <w:tcW w:w="300" w:type="dxa"/>
            <w:vAlign w:val="bottom"/>
            <w:shd w:val="clear" w:color="auto" w:fill="E8EFF9"/>
          </w:tcPr>
          <w:p>
            <w:pPr>
              <w:spacing w:after="0"/>
              <w:rPr>
                <w:sz w:val="18"/>
                <w:szCs w:val="18"/>
                <w:color w:val="auto"/>
              </w:rPr>
            </w:pPr>
          </w:p>
        </w:tc>
        <w:tc>
          <w:tcPr>
            <w:tcW w:w="780" w:type="dxa"/>
            <w:vAlign w:val="bottom"/>
            <w:shd w:val="clear" w:color="auto" w:fill="E8EFF9"/>
          </w:tcPr>
          <w:p>
            <w:pPr>
              <w:spacing w:after="0"/>
              <w:rPr>
                <w:sz w:val="18"/>
                <w:szCs w:val="18"/>
                <w:color w:val="auto"/>
              </w:rPr>
            </w:pPr>
          </w:p>
        </w:tc>
        <w:tc>
          <w:tcPr>
            <w:tcW w:w="400" w:type="dxa"/>
            <w:vAlign w:val="bottom"/>
            <w:shd w:val="clear" w:color="auto" w:fill="E8EFF9"/>
          </w:tcPr>
          <w:p>
            <w:pPr>
              <w:spacing w:after="0"/>
              <w:rPr>
                <w:sz w:val="18"/>
                <w:szCs w:val="18"/>
                <w:color w:val="auto"/>
              </w:rPr>
            </w:pPr>
          </w:p>
        </w:tc>
        <w:tc>
          <w:tcPr>
            <w:tcW w:w="800" w:type="dxa"/>
            <w:vAlign w:val="bottom"/>
            <w:shd w:val="clear" w:color="auto" w:fill="E8EFF9"/>
          </w:tcPr>
          <w:p>
            <w:pPr>
              <w:spacing w:after="0"/>
              <w:rPr>
                <w:sz w:val="18"/>
                <w:szCs w:val="18"/>
                <w:color w:val="auto"/>
              </w:rPr>
            </w:pPr>
          </w:p>
        </w:tc>
        <w:tc>
          <w:tcPr>
            <w:tcW w:w="280" w:type="dxa"/>
            <w:vAlign w:val="bottom"/>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0" w:type="dxa"/>
            <w:vAlign w:val="bottom"/>
          </w:tcPr>
          <w:p>
            <w:pPr>
              <w:spacing w:after="0"/>
              <w:rPr>
                <w:sz w:val="18"/>
                <w:szCs w:val="18"/>
                <w:color w:val="auto"/>
              </w:rPr>
            </w:pPr>
          </w:p>
        </w:tc>
        <w:tc>
          <w:tcPr>
            <w:tcW w:w="7260" w:type="dxa"/>
            <w:vAlign w:val="bottom"/>
            <w:shd w:val="clear" w:color="auto" w:fill="E8EFF9"/>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300" w:type="dxa"/>
            <w:vAlign w:val="bottom"/>
            <w:shd w:val="clear" w:color="auto" w:fill="E8EFF9"/>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17,749</w:t>
            </w:r>
          </w:p>
        </w:tc>
        <w:tc>
          <w:tcPr>
            <w:tcW w:w="160" w:type="dxa"/>
            <w:vAlign w:val="bottom"/>
            <w:tcBorders>
              <w:right w:val="single" w:sz="8" w:color="0077C0"/>
            </w:tcBorders>
            <w:shd w:val="clear" w:color="auto" w:fill="E8EFF9"/>
          </w:tcPr>
          <w:p>
            <w:pPr>
              <w:spacing w:after="0"/>
              <w:rPr>
                <w:sz w:val="18"/>
                <w:szCs w:val="18"/>
                <w:color w:val="auto"/>
              </w:rPr>
            </w:pPr>
          </w:p>
        </w:tc>
        <w:tc>
          <w:tcPr>
            <w:tcW w:w="300" w:type="dxa"/>
            <w:vAlign w:val="bottom"/>
            <w:shd w:val="clear" w:color="auto" w:fill="E8EFF9"/>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21,411</w:t>
            </w:r>
          </w:p>
        </w:tc>
        <w:tc>
          <w:tcPr>
            <w:tcW w:w="400" w:type="dxa"/>
            <w:vAlign w:val="bottom"/>
            <w:shd w:val="clear" w:color="auto" w:fill="E8EFF9"/>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35,608</w:t>
            </w:r>
          </w:p>
        </w:tc>
        <w:tc>
          <w:tcPr>
            <w:tcW w:w="280" w:type="dxa"/>
            <w:vAlign w:val="bottom"/>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260" w:type="dxa"/>
            <w:vAlign w:val="bottom"/>
            <w:shd w:val="clear" w:color="auto" w:fill="E8EFF9"/>
          </w:tcPr>
          <w:p>
            <w:pPr>
              <w:ind w:left="140"/>
              <w:spacing w:after="0"/>
              <w:rPr>
                <w:sz w:val="20"/>
                <w:szCs w:val="20"/>
                <w:color w:val="auto"/>
              </w:rPr>
            </w:pPr>
            <w:r>
              <w:rPr>
                <w:rFonts w:ascii="Times New Roman" w:cs="Times New Roman" w:eastAsia="Times New Roman" w:hAnsi="Times New Roman"/>
                <w:sz w:val="16"/>
                <w:szCs w:val="16"/>
                <w:color w:val="auto"/>
              </w:rPr>
              <w:t>Adjustments</w:t>
            </w:r>
          </w:p>
        </w:tc>
        <w:tc>
          <w:tcPr>
            <w:tcW w:w="300" w:type="dxa"/>
            <w:vAlign w:val="bottom"/>
            <w:shd w:val="clear" w:color="auto" w:fill="E8EFF9"/>
          </w:tcPr>
          <w:p>
            <w:pPr>
              <w:spacing w:after="0"/>
              <w:rPr>
                <w:sz w:val="18"/>
                <w:szCs w:val="18"/>
                <w:color w:val="auto"/>
              </w:rPr>
            </w:pPr>
          </w:p>
        </w:tc>
        <w:tc>
          <w:tcPr>
            <w:tcW w:w="740" w:type="dxa"/>
            <w:vAlign w:val="bottom"/>
            <w:vMerge w:val="restart"/>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17,282</w:t>
            </w:r>
          </w:p>
        </w:tc>
        <w:tc>
          <w:tcPr>
            <w:tcW w:w="160" w:type="dxa"/>
            <w:vAlign w:val="bottom"/>
            <w:tcBorders>
              <w:right w:val="single" w:sz="8" w:color="0077C0"/>
            </w:tcBorders>
            <w:shd w:val="clear" w:color="auto" w:fill="E8EFF9"/>
          </w:tcPr>
          <w:p>
            <w:pPr>
              <w:spacing w:after="0"/>
              <w:rPr>
                <w:sz w:val="18"/>
                <w:szCs w:val="18"/>
                <w:color w:val="auto"/>
              </w:rPr>
            </w:pPr>
          </w:p>
        </w:tc>
        <w:tc>
          <w:tcPr>
            <w:tcW w:w="300" w:type="dxa"/>
            <w:vAlign w:val="bottom"/>
            <w:shd w:val="clear" w:color="auto" w:fill="E8EFF9"/>
          </w:tcPr>
          <w:p>
            <w:pPr>
              <w:spacing w:after="0"/>
              <w:rPr>
                <w:sz w:val="18"/>
                <w:szCs w:val="18"/>
                <w:color w:val="auto"/>
              </w:rPr>
            </w:pPr>
          </w:p>
        </w:tc>
        <w:tc>
          <w:tcPr>
            <w:tcW w:w="780" w:type="dxa"/>
            <w:vAlign w:val="bottom"/>
            <w:shd w:val="clear" w:color="auto" w:fill="E8EFF9"/>
          </w:tcPr>
          <w:p>
            <w:pPr>
              <w:spacing w:after="0"/>
              <w:rPr>
                <w:sz w:val="18"/>
                <w:szCs w:val="18"/>
                <w:color w:val="auto"/>
              </w:rPr>
            </w:pPr>
          </w:p>
        </w:tc>
        <w:tc>
          <w:tcPr>
            <w:tcW w:w="400" w:type="dxa"/>
            <w:vAlign w:val="bottom"/>
            <w:shd w:val="clear" w:color="auto" w:fill="E8EFF9"/>
          </w:tcPr>
          <w:p>
            <w:pPr>
              <w:spacing w:after="0"/>
              <w:rPr>
                <w:sz w:val="18"/>
                <w:szCs w:val="18"/>
                <w:color w:val="auto"/>
              </w:rPr>
            </w:pPr>
          </w:p>
        </w:tc>
        <w:tc>
          <w:tcPr>
            <w:tcW w:w="800" w:type="dxa"/>
            <w:vAlign w:val="bottom"/>
            <w:shd w:val="clear" w:color="auto" w:fill="E8EFF9"/>
          </w:tcPr>
          <w:p>
            <w:pPr>
              <w:spacing w:after="0"/>
              <w:rPr>
                <w:sz w:val="18"/>
                <w:szCs w:val="18"/>
                <w:color w:val="auto"/>
              </w:rPr>
            </w:pPr>
          </w:p>
        </w:tc>
        <w:tc>
          <w:tcPr>
            <w:tcW w:w="280" w:type="dxa"/>
            <w:vAlign w:val="bottom"/>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260" w:type="dxa"/>
            <w:vAlign w:val="bottom"/>
            <w:shd w:val="clear" w:color="auto" w:fill="E8EFF9"/>
          </w:tcPr>
          <w:p>
            <w:pPr>
              <w:ind w:left="220"/>
              <w:spacing w:after="0"/>
              <w:rPr>
                <w:sz w:val="20"/>
                <w:szCs w:val="20"/>
                <w:color w:val="auto"/>
              </w:rPr>
            </w:pPr>
            <w:r>
              <w:rPr>
                <w:rFonts w:ascii="Times New Roman" w:cs="Times New Roman" w:eastAsia="Times New Roman" w:hAnsi="Times New Roman"/>
                <w:sz w:val="16"/>
                <w:szCs w:val="16"/>
                <w:color w:val="auto"/>
              </w:rPr>
              <w:t>Depreciation, depletion and amortization</w:t>
            </w:r>
          </w:p>
        </w:tc>
        <w:tc>
          <w:tcPr>
            <w:tcW w:w="300" w:type="dxa"/>
            <w:vAlign w:val="bottom"/>
            <w:shd w:val="clear" w:color="auto" w:fill="E8EFF9"/>
          </w:tcPr>
          <w:p>
            <w:pPr>
              <w:spacing w:after="0"/>
              <w:rPr>
                <w:sz w:val="18"/>
                <w:szCs w:val="18"/>
                <w:color w:val="auto"/>
              </w:rPr>
            </w:pPr>
          </w:p>
        </w:tc>
        <w:tc>
          <w:tcPr>
            <w:tcW w:w="740" w:type="dxa"/>
            <w:vAlign w:val="bottom"/>
            <w:vMerge w:val="continue"/>
            <w:shd w:val="clear" w:color="auto" w:fill="E8EFF9"/>
          </w:tcPr>
          <w:p>
            <w:pPr>
              <w:spacing w:after="0"/>
              <w:rPr>
                <w:sz w:val="18"/>
                <w:szCs w:val="18"/>
                <w:color w:val="auto"/>
              </w:rPr>
            </w:pPr>
          </w:p>
        </w:tc>
        <w:tc>
          <w:tcPr>
            <w:tcW w:w="160" w:type="dxa"/>
            <w:vAlign w:val="bottom"/>
            <w:tcBorders>
              <w:right w:val="single" w:sz="8" w:color="0077C0"/>
            </w:tcBorders>
            <w:shd w:val="clear" w:color="auto" w:fill="E8EFF9"/>
          </w:tcPr>
          <w:p>
            <w:pPr>
              <w:spacing w:after="0"/>
              <w:rPr>
                <w:sz w:val="18"/>
                <w:szCs w:val="18"/>
                <w:color w:val="auto"/>
              </w:rPr>
            </w:pPr>
          </w:p>
        </w:tc>
        <w:tc>
          <w:tcPr>
            <w:tcW w:w="300" w:type="dxa"/>
            <w:vAlign w:val="bottom"/>
            <w:shd w:val="clear" w:color="auto" w:fill="E8EFF9"/>
          </w:tcPr>
          <w:p>
            <w:pPr>
              <w:spacing w:after="0"/>
              <w:rPr>
                <w:sz w:val="18"/>
                <w:szCs w:val="18"/>
                <w:color w:val="auto"/>
              </w:rPr>
            </w:pPr>
          </w:p>
        </w:tc>
        <w:tc>
          <w:tcPr>
            <w:tcW w:w="78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17,326</w:t>
            </w:r>
          </w:p>
        </w:tc>
        <w:tc>
          <w:tcPr>
            <w:tcW w:w="400" w:type="dxa"/>
            <w:vAlign w:val="bottom"/>
            <w:shd w:val="clear" w:color="auto" w:fill="E8EFF9"/>
          </w:tcPr>
          <w:p>
            <w:pPr>
              <w:spacing w:after="0"/>
              <w:rPr>
                <w:sz w:val="18"/>
                <w:szCs w:val="18"/>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16,319</w:t>
            </w:r>
          </w:p>
        </w:tc>
        <w:tc>
          <w:tcPr>
            <w:tcW w:w="280" w:type="dxa"/>
            <w:vAlign w:val="bottom"/>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260" w:type="dxa"/>
            <w:vAlign w:val="bottom"/>
            <w:shd w:val="clear" w:color="auto" w:fill="E8EFF9"/>
          </w:tcPr>
          <w:p>
            <w:pPr>
              <w:ind w:left="220"/>
              <w:spacing w:after="0"/>
              <w:rPr>
                <w:sz w:val="20"/>
                <w:szCs w:val="20"/>
                <w:color w:val="auto"/>
              </w:rPr>
            </w:pPr>
            <w:r>
              <w:rPr>
                <w:rFonts w:ascii="Times New Roman" w:cs="Times New Roman" w:eastAsia="Times New Roman" w:hAnsi="Times New Roman"/>
                <w:sz w:val="16"/>
                <w:szCs w:val="16"/>
                <w:color w:val="auto"/>
              </w:rPr>
              <w:t>Dry hole expense</w:t>
            </w:r>
          </w:p>
        </w:tc>
        <w:tc>
          <w:tcPr>
            <w:tcW w:w="300" w:type="dxa"/>
            <w:vAlign w:val="bottom"/>
            <w:shd w:val="clear" w:color="auto" w:fill="E8EFF9"/>
          </w:tcPr>
          <w:p>
            <w:pPr>
              <w:spacing w:after="0"/>
              <w:rPr>
                <w:sz w:val="18"/>
                <w:szCs w:val="18"/>
                <w:color w:val="auto"/>
              </w:rPr>
            </w:pPr>
          </w:p>
        </w:tc>
        <w:tc>
          <w:tcPr>
            <w:tcW w:w="7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429</w:t>
            </w:r>
          </w:p>
        </w:tc>
        <w:tc>
          <w:tcPr>
            <w:tcW w:w="160" w:type="dxa"/>
            <w:vAlign w:val="bottom"/>
            <w:tcBorders>
              <w:right w:val="single" w:sz="8" w:color="0077C0"/>
            </w:tcBorders>
            <w:shd w:val="clear" w:color="auto" w:fill="E8EFF9"/>
          </w:tcPr>
          <w:p>
            <w:pPr>
              <w:spacing w:after="0"/>
              <w:rPr>
                <w:sz w:val="18"/>
                <w:szCs w:val="18"/>
                <w:color w:val="auto"/>
              </w:rPr>
            </w:pPr>
          </w:p>
        </w:tc>
        <w:tc>
          <w:tcPr>
            <w:tcW w:w="300" w:type="dxa"/>
            <w:vAlign w:val="bottom"/>
            <w:shd w:val="clear" w:color="auto" w:fill="E8EFF9"/>
          </w:tcPr>
          <w:p>
            <w:pPr>
              <w:spacing w:after="0"/>
              <w:rPr>
                <w:sz w:val="18"/>
                <w:szCs w:val="18"/>
                <w:color w:val="auto"/>
              </w:rPr>
            </w:pPr>
          </w:p>
        </w:tc>
        <w:tc>
          <w:tcPr>
            <w:tcW w:w="78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400" w:type="dxa"/>
            <w:vAlign w:val="bottom"/>
            <w:shd w:val="clear" w:color="auto" w:fill="E8EFF9"/>
          </w:tcPr>
          <w:p>
            <w:pPr>
              <w:spacing w:after="0"/>
              <w:rPr>
                <w:sz w:val="18"/>
                <w:szCs w:val="18"/>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280" w:type="dxa"/>
            <w:vAlign w:val="bottom"/>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260" w:type="dxa"/>
            <w:vAlign w:val="bottom"/>
            <w:shd w:val="clear" w:color="auto" w:fill="E8EFF9"/>
          </w:tcPr>
          <w:p>
            <w:pPr>
              <w:ind w:left="220"/>
              <w:spacing w:after="0"/>
              <w:rPr>
                <w:sz w:val="20"/>
                <w:szCs w:val="20"/>
                <w:color w:val="auto"/>
              </w:rPr>
            </w:pPr>
            <w:r>
              <w:rPr>
                <w:rFonts w:ascii="Times New Roman" w:cs="Times New Roman" w:eastAsia="Times New Roman" w:hAnsi="Times New Roman"/>
                <w:sz w:val="16"/>
                <w:szCs w:val="16"/>
                <w:color w:val="auto"/>
              </w:rPr>
              <w:t>Distributions more (less) than income from equity affiliates</w:t>
            </w:r>
          </w:p>
        </w:tc>
        <w:tc>
          <w:tcPr>
            <w:tcW w:w="300" w:type="dxa"/>
            <w:vAlign w:val="bottom"/>
            <w:shd w:val="clear" w:color="auto" w:fill="E8EFF9"/>
          </w:tcPr>
          <w:p>
            <w:pPr>
              <w:spacing w:after="0"/>
              <w:rPr>
                <w:sz w:val="18"/>
                <w:szCs w:val="18"/>
                <w:color w:val="auto"/>
              </w:rPr>
            </w:pPr>
          </w:p>
        </w:tc>
        <w:tc>
          <w:tcPr>
            <w:tcW w:w="7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(366)</w:t>
            </w:r>
          </w:p>
        </w:tc>
        <w:tc>
          <w:tcPr>
            <w:tcW w:w="160" w:type="dxa"/>
            <w:vAlign w:val="bottom"/>
            <w:tcBorders>
              <w:right w:val="single" w:sz="8" w:color="0077C0"/>
            </w:tcBorders>
            <w:shd w:val="clear" w:color="auto" w:fill="E8EFF9"/>
          </w:tcPr>
          <w:p>
            <w:pPr>
              <w:spacing w:after="0"/>
              <w:rPr>
                <w:sz w:val="18"/>
                <w:szCs w:val="18"/>
                <w:color w:val="auto"/>
              </w:rPr>
            </w:pPr>
          </w:p>
        </w:tc>
        <w:tc>
          <w:tcPr>
            <w:tcW w:w="300" w:type="dxa"/>
            <w:vAlign w:val="bottom"/>
            <w:shd w:val="clear" w:color="auto" w:fill="E8EFF9"/>
          </w:tcPr>
          <w:p>
            <w:pPr>
              <w:spacing w:after="0"/>
              <w:rPr>
                <w:sz w:val="18"/>
                <w:szCs w:val="18"/>
                <w:color w:val="auto"/>
              </w:rPr>
            </w:pPr>
          </w:p>
        </w:tc>
        <w:tc>
          <w:tcPr>
            <w:tcW w:w="78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400" w:type="dxa"/>
            <w:vAlign w:val="bottom"/>
            <w:shd w:val="clear" w:color="auto" w:fill="E8EFF9"/>
          </w:tcPr>
          <w:p>
            <w:pPr>
              <w:spacing w:after="0"/>
              <w:rPr>
                <w:sz w:val="18"/>
                <w:szCs w:val="18"/>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(4,730)</w:t>
            </w:r>
          </w:p>
        </w:tc>
        <w:tc>
          <w:tcPr>
            <w:tcW w:w="280" w:type="dxa"/>
            <w:vAlign w:val="bottom"/>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260" w:type="dxa"/>
            <w:vAlign w:val="bottom"/>
            <w:shd w:val="clear" w:color="auto" w:fill="E8EFF9"/>
          </w:tcPr>
          <w:p>
            <w:pPr>
              <w:ind w:left="220"/>
              <w:spacing w:after="0"/>
              <w:rPr>
                <w:sz w:val="20"/>
                <w:szCs w:val="20"/>
                <w:color w:val="auto"/>
              </w:rPr>
            </w:pPr>
            <w:r>
              <w:rPr>
                <w:rFonts w:ascii="Times New Roman" w:cs="Times New Roman" w:eastAsia="Times New Roman" w:hAnsi="Times New Roman"/>
                <w:sz w:val="16"/>
                <w:szCs w:val="16"/>
                <w:color w:val="auto"/>
              </w:rPr>
              <w:t>Net before-tax gains on asset retirements and sales</w:t>
            </w:r>
          </w:p>
        </w:tc>
        <w:tc>
          <w:tcPr>
            <w:tcW w:w="300" w:type="dxa"/>
            <w:vAlign w:val="bottom"/>
            <w:shd w:val="clear" w:color="auto" w:fill="E8EFF9"/>
          </w:tcPr>
          <w:p>
            <w:pPr>
              <w:spacing w:after="0"/>
              <w:rPr>
                <w:sz w:val="18"/>
                <w:szCs w:val="18"/>
                <w:color w:val="auto"/>
              </w:rPr>
            </w:pPr>
          </w:p>
        </w:tc>
        <w:tc>
          <w:tcPr>
            <w:tcW w:w="7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(1,685)</w:t>
            </w:r>
          </w:p>
        </w:tc>
        <w:tc>
          <w:tcPr>
            <w:tcW w:w="160" w:type="dxa"/>
            <w:vAlign w:val="bottom"/>
            <w:tcBorders>
              <w:right w:val="single" w:sz="8" w:color="0077C0"/>
            </w:tcBorders>
            <w:shd w:val="clear" w:color="auto" w:fill="E8EFF9"/>
          </w:tcPr>
          <w:p>
            <w:pPr>
              <w:spacing w:after="0"/>
              <w:rPr>
                <w:sz w:val="18"/>
                <w:szCs w:val="18"/>
                <w:color w:val="auto"/>
              </w:rPr>
            </w:pPr>
          </w:p>
        </w:tc>
        <w:tc>
          <w:tcPr>
            <w:tcW w:w="300" w:type="dxa"/>
            <w:vAlign w:val="bottom"/>
            <w:shd w:val="clear" w:color="auto" w:fill="E8EFF9"/>
          </w:tcPr>
          <w:p>
            <w:pPr>
              <w:spacing w:after="0"/>
              <w:rPr>
                <w:sz w:val="18"/>
                <w:szCs w:val="18"/>
                <w:color w:val="auto"/>
              </w:rPr>
            </w:pPr>
          </w:p>
        </w:tc>
        <w:tc>
          <w:tcPr>
            <w:tcW w:w="78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400" w:type="dxa"/>
            <w:vAlign w:val="bottom"/>
            <w:shd w:val="clear" w:color="auto" w:fill="E8EFF9"/>
          </w:tcPr>
          <w:p>
            <w:pPr>
              <w:spacing w:after="0"/>
              <w:rPr>
                <w:sz w:val="18"/>
                <w:szCs w:val="18"/>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280" w:type="dxa"/>
            <w:vAlign w:val="bottom"/>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0" w:type="dxa"/>
            <w:vAlign w:val="bottom"/>
          </w:tcPr>
          <w:p>
            <w:pPr>
              <w:spacing w:after="0"/>
              <w:rPr>
                <w:sz w:val="19"/>
                <w:szCs w:val="19"/>
                <w:color w:val="auto"/>
              </w:rPr>
            </w:pPr>
          </w:p>
        </w:tc>
        <w:tc>
          <w:tcPr>
            <w:tcW w:w="7260" w:type="dxa"/>
            <w:vAlign w:val="bottom"/>
            <w:shd w:val="clear" w:color="auto" w:fill="E8EFF9"/>
          </w:tcPr>
          <w:p>
            <w:pPr>
              <w:ind w:left="220"/>
              <w:spacing w:after="0"/>
              <w:rPr>
                <w:sz w:val="20"/>
                <w:szCs w:val="20"/>
                <w:color w:val="auto"/>
              </w:rPr>
            </w:pPr>
            <w:r>
              <w:rPr>
                <w:rFonts w:ascii="Times New Roman" w:cs="Times New Roman" w:eastAsia="Times New Roman" w:hAnsi="Times New Roman"/>
                <w:sz w:val="16"/>
                <w:szCs w:val="16"/>
                <w:color w:val="auto"/>
              </w:rPr>
              <w:t>Net foreign currency effects</w:t>
            </w:r>
          </w:p>
        </w:tc>
        <w:tc>
          <w:tcPr>
            <w:tcW w:w="300" w:type="dxa"/>
            <w:vAlign w:val="bottom"/>
            <w:shd w:val="clear" w:color="auto" w:fill="E8EFF9"/>
          </w:tcPr>
          <w:p>
            <w:pPr>
              <w:spacing w:after="0"/>
              <w:rPr>
                <w:sz w:val="19"/>
                <w:szCs w:val="19"/>
                <w:color w:val="auto"/>
              </w:rPr>
            </w:pPr>
          </w:p>
        </w:tc>
        <w:tc>
          <w:tcPr>
            <w:tcW w:w="7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(629)</w:t>
            </w:r>
          </w:p>
        </w:tc>
        <w:tc>
          <w:tcPr>
            <w:tcW w:w="160" w:type="dxa"/>
            <w:vAlign w:val="bottom"/>
            <w:tcBorders>
              <w:right w:val="single" w:sz="8" w:color="0077C0"/>
            </w:tcBorders>
            <w:shd w:val="clear" w:color="auto" w:fill="E8EFF9"/>
          </w:tcPr>
          <w:p>
            <w:pPr>
              <w:spacing w:after="0"/>
              <w:rPr>
                <w:sz w:val="19"/>
                <w:szCs w:val="19"/>
                <w:color w:val="auto"/>
              </w:rPr>
            </w:pPr>
          </w:p>
        </w:tc>
        <w:tc>
          <w:tcPr>
            <w:tcW w:w="300" w:type="dxa"/>
            <w:vAlign w:val="bottom"/>
            <w:shd w:val="clear" w:color="auto" w:fill="E8EFF9"/>
          </w:tcPr>
          <w:p>
            <w:pPr>
              <w:spacing w:after="0"/>
              <w:rPr>
                <w:sz w:val="19"/>
                <w:szCs w:val="19"/>
                <w:color w:val="auto"/>
              </w:rPr>
            </w:pPr>
          </w:p>
        </w:tc>
        <w:tc>
          <w:tcPr>
            <w:tcW w:w="78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400" w:type="dxa"/>
            <w:vAlign w:val="bottom"/>
            <w:shd w:val="clear" w:color="auto" w:fill="E8EFF9"/>
          </w:tcPr>
          <w:p>
            <w:pPr>
              <w:spacing w:after="0"/>
              <w:rPr>
                <w:sz w:val="19"/>
                <w:szCs w:val="19"/>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280" w:type="dxa"/>
            <w:vAlign w:val="bottom"/>
            <w:shd w:val="clear" w:color="auto" w:fill="E8EFF9"/>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7260" w:type="dxa"/>
            <w:vAlign w:val="bottom"/>
            <w:shd w:val="clear" w:color="auto" w:fill="E8EFF9"/>
          </w:tcPr>
          <w:p>
            <w:pPr>
              <w:ind w:left="220"/>
              <w:spacing w:after="0"/>
              <w:rPr>
                <w:sz w:val="20"/>
                <w:szCs w:val="20"/>
                <w:color w:val="auto"/>
              </w:rPr>
            </w:pPr>
            <w:r>
              <w:rPr>
                <w:rFonts w:ascii="Times New Roman" w:cs="Times New Roman" w:eastAsia="Times New Roman" w:hAnsi="Times New Roman"/>
                <w:sz w:val="16"/>
                <w:szCs w:val="16"/>
                <w:color w:val="auto"/>
              </w:rPr>
              <w:t>Deferred income tax provision</w:t>
            </w:r>
          </w:p>
        </w:tc>
        <w:tc>
          <w:tcPr>
            <w:tcW w:w="300" w:type="dxa"/>
            <w:vAlign w:val="bottom"/>
            <w:shd w:val="clear" w:color="auto" w:fill="E8EFF9"/>
          </w:tcPr>
          <w:p>
            <w:pPr>
              <w:spacing w:after="0"/>
              <w:rPr>
                <w:sz w:val="18"/>
                <w:szCs w:val="18"/>
                <w:color w:val="auto"/>
              </w:rPr>
            </w:pPr>
          </w:p>
        </w:tc>
        <w:tc>
          <w:tcPr>
            <w:tcW w:w="7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1,240</w:t>
            </w:r>
          </w:p>
        </w:tc>
        <w:tc>
          <w:tcPr>
            <w:tcW w:w="160" w:type="dxa"/>
            <w:vAlign w:val="bottom"/>
            <w:tcBorders>
              <w:right w:val="single" w:sz="8" w:color="0077C0"/>
            </w:tcBorders>
            <w:shd w:val="clear" w:color="auto" w:fill="E8EFF9"/>
          </w:tcPr>
          <w:p>
            <w:pPr>
              <w:spacing w:after="0"/>
              <w:rPr>
                <w:sz w:val="18"/>
                <w:szCs w:val="18"/>
                <w:color w:val="auto"/>
              </w:rPr>
            </w:pPr>
          </w:p>
        </w:tc>
        <w:tc>
          <w:tcPr>
            <w:tcW w:w="300" w:type="dxa"/>
            <w:vAlign w:val="bottom"/>
            <w:shd w:val="clear" w:color="auto" w:fill="E8EFF9"/>
          </w:tcPr>
          <w:p>
            <w:pPr>
              <w:spacing w:after="0"/>
              <w:rPr>
                <w:sz w:val="18"/>
                <w:szCs w:val="18"/>
                <w:color w:val="auto"/>
              </w:rPr>
            </w:pPr>
          </w:p>
        </w:tc>
        <w:tc>
          <w:tcPr>
            <w:tcW w:w="78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400" w:type="dxa"/>
            <w:vAlign w:val="bottom"/>
            <w:shd w:val="clear" w:color="auto" w:fill="E8EFF9"/>
          </w:tcPr>
          <w:p>
            <w:pPr>
              <w:spacing w:after="0"/>
              <w:rPr>
                <w:sz w:val="18"/>
                <w:szCs w:val="18"/>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2,124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260" w:type="dxa"/>
            <w:vAlign w:val="bottom"/>
            <w:shd w:val="clear" w:color="auto" w:fill="E8EFF9"/>
          </w:tcPr>
          <w:p>
            <w:pPr>
              <w:ind w:left="220"/>
              <w:spacing w:after="0"/>
              <w:rPr>
                <w:sz w:val="20"/>
                <w:szCs w:val="20"/>
                <w:color w:val="auto"/>
              </w:rPr>
            </w:pPr>
            <w:r>
              <w:rPr>
                <w:rFonts w:ascii="Times New Roman" w:cs="Times New Roman" w:eastAsia="Times New Roman" w:hAnsi="Times New Roman"/>
                <w:sz w:val="16"/>
                <w:szCs w:val="16"/>
                <w:color w:val="auto"/>
              </w:rPr>
              <w:t>Net decrease (increase) in operating working capital</w:t>
            </w:r>
          </w:p>
        </w:tc>
        <w:tc>
          <w:tcPr>
            <w:tcW w:w="300" w:type="dxa"/>
            <w:vAlign w:val="bottom"/>
            <w:shd w:val="clear" w:color="auto" w:fill="E8EFF9"/>
          </w:tcPr>
          <w:p>
            <w:pPr>
              <w:spacing w:after="0"/>
              <w:rPr>
                <w:sz w:val="18"/>
                <w:szCs w:val="18"/>
                <w:color w:val="auto"/>
              </w:rPr>
            </w:pPr>
          </w:p>
        </w:tc>
        <w:tc>
          <w:tcPr>
            <w:tcW w:w="7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1,211</w:t>
            </w:r>
          </w:p>
        </w:tc>
        <w:tc>
          <w:tcPr>
            <w:tcW w:w="160" w:type="dxa"/>
            <w:vAlign w:val="bottom"/>
            <w:tcBorders>
              <w:right w:val="single" w:sz="8" w:color="0077C0"/>
            </w:tcBorders>
            <w:shd w:val="clear" w:color="auto" w:fill="E8EFF9"/>
          </w:tcPr>
          <w:p>
            <w:pPr>
              <w:spacing w:after="0"/>
              <w:rPr>
                <w:sz w:val="18"/>
                <w:szCs w:val="18"/>
                <w:color w:val="auto"/>
              </w:rPr>
            </w:pPr>
          </w:p>
        </w:tc>
        <w:tc>
          <w:tcPr>
            <w:tcW w:w="300" w:type="dxa"/>
            <w:vAlign w:val="bottom"/>
            <w:shd w:val="clear" w:color="auto" w:fill="E8EFF9"/>
          </w:tcPr>
          <w:p>
            <w:pPr>
              <w:spacing w:after="0"/>
              <w:rPr>
                <w:sz w:val="18"/>
                <w:szCs w:val="18"/>
                <w:color w:val="auto"/>
              </w:rPr>
            </w:pPr>
          </w:p>
        </w:tc>
        <w:tc>
          <w:tcPr>
            <w:tcW w:w="78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(3,185)</w:t>
            </w:r>
          </w:p>
        </w:tc>
        <w:tc>
          <w:tcPr>
            <w:tcW w:w="400" w:type="dxa"/>
            <w:vAlign w:val="bottom"/>
            <w:shd w:val="clear" w:color="auto" w:fill="E8EFF9"/>
          </w:tcPr>
          <w:p>
            <w:pPr>
              <w:spacing w:after="0"/>
              <w:rPr>
                <w:sz w:val="18"/>
                <w:szCs w:val="18"/>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2,125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260" w:type="dxa"/>
            <w:vAlign w:val="bottom"/>
            <w:shd w:val="clear" w:color="auto" w:fill="E8EFF9"/>
          </w:tcPr>
          <w:p>
            <w:pPr>
              <w:ind w:left="220"/>
              <w:spacing w:after="0"/>
              <w:rPr>
                <w:sz w:val="20"/>
                <w:szCs w:val="20"/>
                <w:color w:val="auto"/>
              </w:rPr>
            </w:pPr>
            <w:r>
              <w:rPr>
                <w:rFonts w:ascii="Times New Roman" w:cs="Times New Roman" w:eastAsia="Times New Roman" w:hAnsi="Times New Roman"/>
                <w:sz w:val="16"/>
                <w:szCs w:val="16"/>
                <w:color w:val="auto"/>
              </w:rPr>
              <w:t>Decrease (increase) in long-term receivables</w:t>
            </w:r>
          </w:p>
        </w:tc>
        <w:tc>
          <w:tcPr>
            <w:tcW w:w="300" w:type="dxa"/>
            <w:vAlign w:val="bottom"/>
            <w:shd w:val="clear" w:color="auto" w:fill="E8EFF9"/>
          </w:tcPr>
          <w:p>
            <w:pPr>
              <w:spacing w:after="0"/>
              <w:rPr>
                <w:sz w:val="18"/>
                <w:szCs w:val="18"/>
                <w:color w:val="auto"/>
              </w:rPr>
            </w:pPr>
          </w:p>
        </w:tc>
        <w:tc>
          <w:tcPr>
            <w:tcW w:w="7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114</w:t>
            </w:r>
          </w:p>
        </w:tc>
        <w:tc>
          <w:tcPr>
            <w:tcW w:w="160" w:type="dxa"/>
            <w:vAlign w:val="bottom"/>
            <w:tcBorders>
              <w:right w:val="single" w:sz="8" w:color="0077C0"/>
            </w:tcBorders>
            <w:shd w:val="clear" w:color="auto" w:fill="E8EFF9"/>
          </w:tcPr>
          <w:p>
            <w:pPr>
              <w:spacing w:after="0"/>
              <w:rPr>
                <w:sz w:val="18"/>
                <w:szCs w:val="18"/>
                <w:color w:val="auto"/>
              </w:rPr>
            </w:pPr>
          </w:p>
        </w:tc>
        <w:tc>
          <w:tcPr>
            <w:tcW w:w="300" w:type="dxa"/>
            <w:vAlign w:val="bottom"/>
            <w:shd w:val="clear" w:color="auto" w:fill="E8EFF9"/>
          </w:tcPr>
          <w:p>
            <w:pPr>
              <w:spacing w:after="0"/>
              <w:rPr>
                <w:sz w:val="18"/>
                <w:szCs w:val="18"/>
                <w:color w:val="auto"/>
              </w:rPr>
            </w:pPr>
          </w:p>
        </w:tc>
        <w:tc>
          <w:tcPr>
            <w:tcW w:w="78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400" w:type="dxa"/>
            <w:vAlign w:val="bottom"/>
            <w:shd w:val="clear" w:color="auto" w:fill="E8EFF9"/>
          </w:tcPr>
          <w:p>
            <w:pPr>
              <w:spacing w:after="0"/>
              <w:rPr>
                <w:sz w:val="18"/>
                <w:szCs w:val="18"/>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260" w:type="dxa"/>
            <w:vAlign w:val="bottom"/>
            <w:shd w:val="clear" w:color="auto" w:fill="E8EFF9"/>
          </w:tcPr>
          <w:p>
            <w:pPr>
              <w:ind w:left="220"/>
              <w:spacing w:after="0"/>
              <w:rPr>
                <w:sz w:val="20"/>
                <w:szCs w:val="20"/>
                <w:color w:val="auto"/>
              </w:rPr>
            </w:pPr>
            <w:r>
              <w:rPr>
                <w:rFonts w:ascii="Times New Roman" w:cs="Times New Roman" w:eastAsia="Times New Roman" w:hAnsi="Times New Roman"/>
                <w:sz w:val="16"/>
                <w:szCs w:val="16"/>
                <w:color w:val="auto"/>
              </w:rPr>
              <w:t>Net decrease (increase) in other deferred charges</w:t>
            </w:r>
          </w:p>
        </w:tc>
        <w:tc>
          <w:tcPr>
            <w:tcW w:w="300" w:type="dxa"/>
            <w:vAlign w:val="bottom"/>
            <w:shd w:val="clear" w:color="auto" w:fill="E8EFF9"/>
          </w:tcPr>
          <w:p>
            <w:pPr>
              <w:spacing w:after="0"/>
              <w:rPr>
                <w:sz w:val="18"/>
                <w:szCs w:val="18"/>
                <w:color w:val="auto"/>
              </w:rPr>
            </w:pPr>
          </w:p>
        </w:tc>
        <w:tc>
          <w:tcPr>
            <w:tcW w:w="7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(1,225)</w:t>
            </w:r>
          </w:p>
        </w:tc>
        <w:tc>
          <w:tcPr>
            <w:tcW w:w="160" w:type="dxa"/>
            <w:vAlign w:val="bottom"/>
            <w:tcBorders>
              <w:right w:val="single" w:sz="8" w:color="0077C0"/>
            </w:tcBorders>
            <w:shd w:val="clear" w:color="auto" w:fill="E8EFF9"/>
          </w:tcPr>
          <w:p>
            <w:pPr>
              <w:spacing w:after="0"/>
              <w:rPr>
                <w:sz w:val="18"/>
                <w:szCs w:val="18"/>
                <w:color w:val="auto"/>
              </w:rPr>
            </w:pPr>
          </w:p>
        </w:tc>
        <w:tc>
          <w:tcPr>
            <w:tcW w:w="300" w:type="dxa"/>
            <w:vAlign w:val="bottom"/>
            <w:shd w:val="clear" w:color="auto" w:fill="E8EFF9"/>
          </w:tcPr>
          <w:p>
            <w:pPr>
              <w:spacing w:after="0"/>
              <w:rPr>
                <w:sz w:val="18"/>
                <w:szCs w:val="18"/>
                <w:color w:val="auto"/>
              </w:rPr>
            </w:pPr>
          </w:p>
        </w:tc>
        <w:tc>
          <w:tcPr>
            <w:tcW w:w="78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400" w:type="dxa"/>
            <w:vAlign w:val="bottom"/>
            <w:shd w:val="clear" w:color="auto" w:fill="E8EFF9"/>
          </w:tcPr>
          <w:p>
            <w:pPr>
              <w:spacing w:after="0"/>
              <w:rPr>
                <w:sz w:val="18"/>
                <w:szCs w:val="18"/>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260" w:type="dxa"/>
            <w:vAlign w:val="bottom"/>
            <w:shd w:val="clear" w:color="auto" w:fill="E8EFF9"/>
          </w:tcPr>
          <w:p>
            <w:pPr>
              <w:ind w:left="220"/>
              <w:spacing w:after="0"/>
              <w:rPr>
                <w:sz w:val="20"/>
                <w:szCs w:val="20"/>
                <w:color w:val="auto"/>
              </w:rPr>
            </w:pPr>
            <w:r>
              <w:rPr>
                <w:rFonts w:ascii="Times New Roman" w:cs="Times New Roman" w:eastAsia="Times New Roman" w:hAnsi="Times New Roman"/>
                <w:sz w:val="16"/>
                <w:szCs w:val="16"/>
                <w:color w:val="auto"/>
              </w:rPr>
              <w:t>Cash contributions to employee pension plans</w:t>
            </w:r>
          </w:p>
        </w:tc>
        <w:tc>
          <w:tcPr>
            <w:tcW w:w="300" w:type="dxa"/>
            <w:vAlign w:val="bottom"/>
            <w:shd w:val="clear" w:color="auto" w:fill="E8EFF9"/>
          </w:tcPr>
          <w:p>
            <w:pPr>
              <w:spacing w:after="0"/>
              <w:rPr>
                <w:sz w:val="18"/>
                <w:szCs w:val="18"/>
                <w:color w:val="auto"/>
              </w:rPr>
            </w:pPr>
          </w:p>
        </w:tc>
        <w:tc>
          <w:tcPr>
            <w:tcW w:w="7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(844)</w:t>
            </w:r>
          </w:p>
        </w:tc>
        <w:tc>
          <w:tcPr>
            <w:tcW w:w="160" w:type="dxa"/>
            <w:vAlign w:val="bottom"/>
            <w:tcBorders>
              <w:right w:val="single" w:sz="8" w:color="0077C0"/>
            </w:tcBorders>
            <w:shd w:val="clear" w:color="auto" w:fill="E8EFF9"/>
          </w:tcPr>
          <w:p>
            <w:pPr>
              <w:spacing w:after="0"/>
              <w:rPr>
                <w:sz w:val="18"/>
                <w:szCs w:val="18"/>
                <w:color w:val="auto"/>
              </w:rPr>
            </w:pPr>
          </w:p>
        </w:tc>
        <w:tc>
          <w:tcPr>
            <w:tcW w:w="300" w:type="dxa"/>
            <w:vAlign w:val="bottom"/>
            <w:shd w:val="clear" w:color="auto" w:fill="E8EFF9"/>
          </w:tcPr>
          <w:p>
            <w:pPr>
              <w:spacing w:after="0"/>
              <w:rPr>
                <w:sz w:val="18"/>
                <w:szCs w:val="18"/>
                <w:color w:val="auto"/>
              </w:rPr>
            </w:pPr>
          </w:p>
        </w:tc>
        <w:tc>
          <w:tcPr>
            <w:tcW w:w="78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(1,120)</w:t>
            </w:r>
          </w:p>
        </w:tc>
        <w:tc>
          <w:tcPr>
            <w:tcW w:w="400" w:type="dxa"/>
            <w:vAlign w:val="bottom"/>
            <w:shd w:val="clear" w:color="auto" w:fill="E8EFF9"/>
          </w:tcPr>
          <w:p>
            <w:pPr>
              <w:spacing w:after="0"/>
              <w:rPr>
                <w:sz w:val="18"/>
                <w:szCs w:val="18"/>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(1,322)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0" w:type="dxa"/>
            <w:vAlign w:val="bottom"/>
          </w:tcPr>
          <w:p>
            <w:pPr>
              <w:spacing w:after="0"/>
              <w:rPr>
                <w:sz w:val="19"/>
                <w:szCs w:val="19"/>
                <w:color w:val="auto"/>
              </w:rPr>
            </w:pPr>
          </w:p>
        </w:tc>
        <w:tc>
          <w:tcPr>
            <w:tcW w:w="7260" w:type="dxa"/>
            <w:vAlign w:val="bottom"/>
            <w:tcBorders>
              <w:bottom w:val="single" w:sz="8" w:color="0077C0"/>
            </w:tcBorders>
            <w:shd w:val="clear" w:color="auto" w:fill="E8EFF9"/>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0077C0"/>
            </w:tcBorders>
            <w:shd w:val="clear" w:color="auto" w:fill="E8EFF9"/>
          </w:tcPr>
          <w:p>
            <w:pPr>
              <w:spacing w:after="0"/>
              <w:rPr>
                <w:sz w:val="19"/>
                <w:szCs w:val="19"/>
                <w:color w:val="auto"/>
              </w:rPr>
            </w:pPr>
          </w:p>
        </w:tc>
        <w:tc>
          <w:tcPr>
            <w:tcW w:w="74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(1,784)</w:t>
            </w:r>
          </w:p>
        </w:tc>
        <w:tc>
          <w:tcPr>
            <w:tcW w:w="160" w:type="dxa"/>
            <w:vAlign w:val="bottom"/>
            <w:tcBorders>
              <w:bottom w:val="single" w:sz="8" w:color="0077C0"/>
              <w:right w:val="single" w:sz="8" w:color="0077C0"/>
            </w:tcBorders>
            <w:shd w:val="clear" w:color="auto" w:fill="E8EFF9"/>
          </w:tcPr>
          <w:p>
            <w:pPr>
              <w:spacing w:after="0"/>
              <w:rPr>
                <w:sz w:val="19"/>
                <w:szCs w:val="19"/>
                <w:color w:val="auto"/>
              </w:rPr>
            </w:pPr>
          </w:p>
        </w:tc>
        <w:tc>
          <w:tcPr>
            <w:tcW w:w="300" w:type="dxa"/>
            <w:vAlign w:val="bottom"/>
            <w:tcBorders>
              <w:bottom w:val="single" w:sz="8" w:color="0077C0"/>
            </w:tcBorders>
            <w:shd w:val="clear" w:color="auto" w:fill="E8EFF9"/>
          </w:tcPr>
          <w:p>
            <w:pPr>
              <w:spacing w:after="0"/>
              <w:rPr>
                <w:sz w:val="19"/>
                <w:szCs w:val="19"/>
                <w:color w:val="auto"/>
              </w:rPr>
            </w:pPr>
          </w:p>
        </w:tc>
        <w:tc>
          <w:tcPr>
            <w:tcW w:w="78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1,038</w:t>
            </w:r>
          </w:p>
        </w:tc>
        <w:tc>
          <w:tcPr>
            <w:tcW w:w="400" w:type="dxa"/>
            <w:vAlign w:val="bottom"/>
            <w:tcBorders>
              <w:bottom w:val="single" w:sz="8" w:color="0077C0"/>
            </w:tcBorders>
            <w:shd w:val="clear" w:color="auto" w:fill="E8EFF9"/>
          </w:tcPr>
          <w:p>
            <w:pPr>
              <w:spacing w:after="0"/>
              <w:rPr>
                <w:sz w:val="19"/>
                <w:szCs w:val="19"/>
                <w:color w:val="auto"/>
              </w:rPr>
            </w:pPr>
          </w:p>
        </w:tc>
        <w:tc>
          <w:tcPr>
            <w:tcW w:w="8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7260" w:type="dxa"/>
            <w:vAlign w:val="bottom"/>
            <w:tcBorders>
              <w:bottom w:val="single" w:sz="8" w:color="0077C0"/>
            </w:tcBorders>
            <w:shd w:val="clear" w:color="auto" w:fill="E8EFF9"/>
          </w:tcPr>
          <w:p>
            <w:pPr>
              <w:ind w:left="20"/>
              <w:spacing w:after="0"/>
              <w:rPr>
                <w:sz w:val="20"/>
                <w:szCs w:val="20"/>
                <w:color w:val="auto"/>
              </w:rPr>
            </w:pPr>
            <w:r>
              <w:rPr>
                <w:rFonts w:ascii="Times New Roman" w:cs="Times New Roman" w:eastAsia="Times New Roman" w:hAnsi="Times New Roman"/>
                <w:sz w:val="16"/>
                <w:szCs w:val="16"/>
                <w:b w:val="1"/>
                <w:bCs w:val="1"/>
                <w:color w:val="0077C0"/>
              </w:rPr>
              <w:t>Net Cash Provided by Operating Activities</w:t>
            </w:r>
          </w:p>
        </w:tc>
        <w:tc>
          <w:tcPr>
            <w:tcW w:w="300" w:type="dxa"/>
            <w:vAlign w:val="bottom"/>
            <w:tcBorders>
              <w:bottom w:val="single" w:sz="8" w:color="0077C0"/>
            </w:tcBorders>
            <w:shd w:val="clear" w:color="auto" w:fill="E8EFF9"/>
          </w:tcPr>
          <w:p>
            <w:pPr>
              <w:spacing w:after="0"/>
              <w:rPr>
                <w:sz w:val="18"/>
                <w:szCs w:val="18"/>
                <w:color w:val="auto"/>
              </w:rPr>
            </w:pPr>
          </w:p>
        </w:tc>
        <w:tc>
          <w:tcPr>
            <w:tcW w:w="74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31,492</w:t>
            </w:r>
          </w:p>
        </w:tc>
        <w:tc>
          <w:tcPr>
            <w:tcW w:w="160" w:type="dxa"/>
            <w:vAlign w:val="bottom"/>
            <w:tcBorders>
              <w:bottom w:val="single" w:sz="8" w:color="0077C0"/>
              <w:right w:val="single" w:sz="8" w:color="0077C0"/>
            </w:tcBorders>
            <w:shd w:val="clear" w:color="auto" w:fill="E8EFF9"/>
          </w:tcPr>
          <w:p>
            <w:pPr>
              <w:spacing w:after="0"/>
              <w:rPr>
                <w:sz w:val="18"/>
                <w:szCs w:val="18"/>
                <w:color w:val="auto"/>
              </w:rPr>
            </w:pPr>
          </w:p>
        </w:tc>
        <w:tc>
          <w:tcPr>
            <w:tcW w:w="300" w:type="dxa"/>
            <w:vAlign w:val="bottom"/>
            <w:tcBorders>
              <w:bottom w:val="single" w:sz="8" w:color="0077C0"/>
            </w:tcBorders>
            <w:shd w:val="clear" w:color="auto" w:fill="E8EFF9"/>
          </w:tcPr>
          <w:p>
            <w:pPr>
              <w:spacing w:after="0"/>
              <w:rPr>
                <w:sz w:val="18"/>
                <w:szCs w:val="18"/>
                <w:color w:val="auto"/>
              </w:rPr>
            </w:pPr>
          </w:p>
        </w:tc>
        <w:tc>
          <w:tcPr>
            <w:tcW w:w="78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35,609</w:t>
            </w:r>
          </w:p>
        </w:tc>
        <w:tc>
          <w:tcPr>
            <w:tcW w:w="400" w:type="dxa"/>
            <w:vAlign w:val="bottom"/>
            <w:tcBorders>
              <w:bottom w:val="single" w:sz="8" w:color="0077C0"/>
            </w:tcBorders>
            <w:shd w:val="clear" w:color="auto" w:fill="E8EFF9"/>
          </w:tcPr>
          <w:p>
            <w:pPr>
              <w:spacing w:after="0"/>
              <w:rPr>
                <w:sz w:val="18"/>
                <w:szCs w:val="18"/>
                <w:color w:val="auto"/>
              </w:rPr>
            </w:pPr>
          </w:p>
        </w:tc>
        <w:tc>
          <w:tcPr>
            <w:tcW w:w="8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49,602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20" w:type="dxa"/>
            <w:vAlign w:val="bottom"/>
          </w:tcPr>
          <w:p>
            <w:pPr>
              <w:spacing w:after="0"/>
              <w:rPr>
                <w:sz w:val="18"/>
                <w:szCs w:val="18"/>
                <w:color w:val="auto"/>
              </w:rPr>
            </w:pPr>
          </w:p>
        </w:tc>
        <w:tc>
          <w:tcPr>
            <w:tcW w:w="7260" w:type="dxa"/>
            <w:vAlign w:val="bottom"/>
            <w:shd w:val="clear" w:color="auto" w:fill="E8EFF9"/>
          </w:tcPr>
          <w:p>
            <w:pPr>
              <w:ind w:left="20"/>
              <w:spacing w:after="0"/>
              <w:rPr>
                <w:sz w:val="20"/>
                <w:szCs w:val="20"/>
                <w:color w:val="auto"/>
              </w:rPr>
            </w:pPr>
            <w:r>
              <w:rPr>
                <w:rFonts w:ascii="Times New Roman" w:cs="Times New Roman" w:eastAsia="Times New Roman" w:hAnsi="Times New Roman"/>
                <w:sz w:val="16"/>
                <w:szCs w:val="16"/>
                <w:b w:val="1"/>
                <w:bCs w:val="1"/>
                <w:color w:val="0077C0"/>
              </w:rPr>
              <w:t>Investing Activities</w:t>
            </w:r>
          </w:p>
        </w:tc>
        <w:tc>
          <w:tcPr>
            <w:tcW w:w="300" w:type="dxa"/>
            <w:vAlign w:val="bottom"/>
            <w:shd w:val="clear" w:color="auto" w:fill="E8EFF9"/>
          </w:tcPr>
          <w:p>
            <w:pPr>
              <w:spacing w:after="0"/>
              <w:rPr>
                <w:sz w:val="18"/>
                <w:szCs w:val="18"/>
                <w:color w:val="auto"/>
              </w:rPr>
            </w:pPr>
          </w:p>
        </w:tc>
        <w:tc>
          <w:tcPr>
            <w:tcW w:w="740" w:type="dxa"/>
            <w:vAlign w:val="bottom"/>
            <w:shd w:val="clear" w:color="auto" w:fill="E8EFF9"/>
          </w:tcPr>
          <w:p>
            <w:pPr>
              <w:spacing w:after="0"/>
              <w:rPr>
                <w:sz w:val="18"/>
                <w:szCs w:val="18"/>
                <w:color w:val="auto"/>
              </w:rPr>
            </w:pPr>
          </w:p>
        </w:tc>
        <w:tc>
          <w:tcPr>
            <w:tcW w:w="160" w:type="dxa"/>
            <w:vAlign w:val="bottom"/>
            <w:tcBorders>
              <w:right w:val="single" w:sz="8" w:color="0077C0"/>
            </w:tcBorders>
            <w:shd w:val="clear" w:color="auto" w:fill="E8EFF9"/>
          </w:tcPr>
          <w:p>
            <w:pPr>
              <w:spacing w:after="0"/>
              <w:rPr>
                <w:sz w:val="18"/>
                <w:szCs w:val="18"/>
                <w:color w:val="auto"/>
              </w:rPr>
            </w:pPr>
          </w:p>
        </w:tc>
        <w:tc>
          <w:tcPr>
            <w:tcW w:w="300" w:type="dxa"/>
            <w:vAlign w:val="bottom"/>
            <w:shd w:val="clear" w:color="auto" w:fill="E8EFF9"/>
          </w:tcPr>
          <w:p>
            <w:pPr>
              <w:spacing w:after="0"/>
              <w:rPr>
                <w:sz w:val="18"/>
                <w:szCs w:val="18"/>
                <w:color w:val="auto"/>
              </w:rPr>
            </w:pPr>
          </w:p>
        </w:tc>
        <w:tc>
          <w:tcPr>
            <w:tcW w:w="780" w:type="dxa"/>
            <w:vAlign w:val="bottom"/>
            <w:shd w:val="clear" w:color="auto" w:fill="E8EFF9"/>
          </w:tcPr>
          <w:p>
            <w:pPr>
              <w:spacing w:after="0"/>
              <w:rPr>
                <w:sz w:val="18"/>
                <w:szCs w:val="18"/>
                <w:color w:val="auto"/>
              </w:rPr>
            </w:pPr>
          </w:p>
        </w:tc>
        <w:tc>
          <w:tcPr>
            <w:tcW w:w="400" w:type="dxa"/>
            <w:vAlign w:val="bottom"/>
            <w:shd w:val="clear" w:color="auto" w:fill="E8EFF9"/>
          </w:tcPr>
          <w:p>
            <w:pPr>
              <w:spacing w:after="0"/>
              <w:rPr>
                <w:sz w:val="18"/>
                <w:szCs w:val="18"/>
                <w:color w:val="auto"/>
              </w:rPr>
            </w:pPr>
          </w:p>
        </w:tc>
        <w:tc>
          <w:tcPr>
            <w:tcW w:w="800" w:type="dxa"/>
            <w:vAlign w:val="bottom"/>
            <w:shd w:val="clear" w:color="auto" w:fill="E8EFF9"/>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0" w:type="dxa"/>
            <w:vAlign w:val="bottom"/>
          </w:tcPr>
          <w:p>
            <w:pPr>
              <w:spacing w:after="0"/>
              <w:rPr>
                <w:sz w:val="18"/>
                <w:szCs w:val="18"/>
                <w:color w:val="auto"/>
              </w:rPr>
            </w:pPr>
          </w:p>
        </w:tc>
        <w:tc>
          <w:tcPr>
            <w:tcW w:w="7260" w:type="dxa"/>
            <w:vAlign w:val="bottom"/>
            <w:shd w:val="clear" w:color="auto" w:fill="E8EFF9"/>
          </w:tcPr>
          <w:p>
            <w:pPr>
              <w:ind w:left="220"/>
              <w:spacing w:after="0"/>
              <w:rPr>
                <w:sz w:val="20"/>
                <w:szCs w:val="20"/>
                <w:color w:val="auto"/>
              </w:rPr>
            </w:pPr>
            <w:r>
              <w:rPr>
                <w:rFonts w:ascii="Times New Roman" w:cs="Times New Roman" w:eastAsia="Times New Roman" w:hAnsi="Times New Roman"/>
                <w:sz w:val="16"/>
                <w:szCs w:val="16"/>
                <w:color w:val="auto"/>
              </w:rPr>
              <w:t>Acquisition of businesses, net of cash received</w:t>
            </w:r>
          </w:p>
        </w:tc>
        <w:tc>
          <w:tcPr>
            <w:tcW w:w="300" w:type="dxa"/>
            <w:vAlign w:val="bottom"/>
            <w:shd w:val="clear" w:color="auto" w:fill="E8EFF9"/>
          </w:tcPr>
          <w:p>
            <w:pPr>
              <w:spacing w:after="0"/>
              <w:rPr>
                <w:sz w:val="18"/>
                <w:szCs w:val="18"/>
                <w:color w:val="auto"/>
              </w:rPr>
            </w:pPr>
          </w:p>
        </w:tc>
        <w:tc>
          <w:tcPr>
            <w:tcW w:w="7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right w:val="single" w:sz="8" w:color="0077C0"/>
            </w:tcBorders>
            <w:shd w:val="clear" w:color="auto" w:fill="E8EFF9"/>
          </w:tcPr>
          <w:p>
            <w:pPr>
              <w:spacing w:after="0"/>
              <w:rPr>
                <w:sz w:val="18"/>
                <w:szCs w:val="18"/>
                <w:color w:val="auto"/>
              </w:rPr>
            </w:pPr>
          </w:p>
        </w:tc>
        <w:tc>
          <w:tcPr>
            <w:tcW w:w="300" w:type="dxa"/>
            <w:vAlign w:val="bottom"/>
            <w:shd w:val="clear" w:color="auto" w:fill="E8EFF9"/>
          </w:tcPr>
          <w:p>
            <w:pPr>
              <w:spacing w:after="0"/>
              <w:rPr>
                <w:sz w:val="18"/>
                <w:szCs w:val="18"/>
                <w:color w:val="auto"/>
              </w:rPr>
            </w:pPr>
          </w:p>
        </w:tc>
        <w:tc>
          <w:tcPr>
            <w:tcW w:w="78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400" w:type="dxa"/>
            <w:vAlign w:val="bottom"/>
            <w:shd w:val="clear" w:color="auto" w:fill="E8EFF9"/>
          </w:tcPr>
          <w:p>
            <w:pPr>
              <w:spacing w:after="0"/>
              <w:rPr>
                <w:sz w:val="18"/>
                <w:szCs w:val="18"/>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(2,862)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260" w:type="dxa"/>
            <w:vAlign w:val="bottom"/>
            <w:shd w:val="clear" w:color="auto" w:fill="E8EFF9"/>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300" w:type="dxa"/>
            <w:vAlign w:val="bottom"/>
            <w:shd w:val="clear" w:color="auto" w:fill="E8EFF9"/>
          </w:tcPr>
          <w:p>
            <w:pPr>
              <w:spacing w:after="0"/>
              <w:rPr>
                <w:sz w:val="18"/>
                <w:szCs w:val="18"/>
                <w:color w:val="auto"/>
              </w:rPr>
            </w:pPr>
          </w:p>
        </w:tc>
        <w:tc>
          <w:tcPr>
            <w:tcW w:w="7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(16,448)</w:t>
            </w:r>
          </w:p>
        </w:tc>
        <w:tc>
          <w:tcPr>
            <w:tcW w:w="160" w:type="dxa"/>
            <w:vAlign w:val="bottom"/>
            <w:tcBorders>
              <w:right w:val="single" w:sz="8" w:color="0077C0"/>
            </w:tcBorders>
            <w:shd w:val="clear" w:color="auto" w:fill="E8EFF9"/>
          </w:tcPr>
          <w:p>
            <w:pPr>
              <w:spacing w:after="0"/>
              <w:rPr>
                <w:sz w:val="18"/>
                <w:szCs w:val="18"/>
                <w:color w:val="auto"/>
              </w:rPr>
            </w:pPr>
          </w:p>
        </w:tc>
        <w:tc>
          <w:tcPr>
            <w:tcW w:w="300" w:type="dxa"/>
            <w:vAlign w:val="bottom"/>
            <w:shd w:val="clear" w:color="auto" w:fill="E8EFF9"/>
          </w:tcPr>
          <w:p>
            <w:pPr>
              <w:spacing w:after="0"/>
              <w:rPr>
                <w:sz w:val="18"/>
                <w:szCs w:val="18"/>
                <w:color w:val="auto"/>
              </w:rPr>
            </w:pPr>
          </w:p>
        </w:tc>
        <w:tc>
          <w:tcPr>
            <w:tcW w:w="78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(15,829)</w:t>
            </w:r>
          </w:p>
        </w:tc>
        <w:tc>
          <w:tcPr>
            <w:tcW w:w="400" w:type="dxa"/>
            <w:vAlign w:val="bottom"/>
            <w:shd w:val="clear" w:color="auto" w:fill="E8EFF9"/>
          </w:tcPr>
          <w:p>
            <w:pPr>
              <w:spacing w:after="0"/>
              <w:rPr>
                <w:sz w:val="18"/>
                <w:szCs w:val="18"/>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(11,974)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260" w:type="dxa"/>
            <w:vAlign w:val="bottom"/>
            <w:shd w:val="clear" w:color="auto" w:fill="E8EFF9"/>
          </w:tcPr>
          <w:p>
            <w:pPr>
              <w:ind w:left="220"/>
              <w:spacing w:after="0"/>
              <w:rPr>
                <w:sz w:val="20"/>
                <w:szCs w:val="20"/>
                <w:color w:val="auto"/>
              </w:rPr>
            </w:pPr>
            <w:r>
              <w:rPr>
                <w:rFonts w:ascii="Times New Roman" w:cs="Times New Roman" w:eastAsia="Times New Roman" w:hAnsi="Times New Roman"/>
                <w:sz w:val="16"/>
                <w:szCs w:val="16"/>
                <w:color w:val="auto"/>
              </w:rPr>
              <w:t>Proceeds and deposits related to asset sales and returns of investment</w:t>
            </w:r>
          </w:p>
        </w:tc>
        <w:tc>
          <w:tcPr>
            <w:tcW w:w="300" w:type="dxa"/>
            <w:vAlign w:val="bottom"/>
            <w:shd w:val="clear" w:color="auto" w:fill="E8EFF9"/>
          </w:tcPr>
          <w:p>
            <w:pPr>
              <w:spacing w:after="0"/>
              <w:rPr>
                <w:sz w:val="18"/>
                <w:szCs w:val="18"/>
                <w:color w:val="auto"/>
              </w:rPr>
            </w:pPr>
          </w:p>
        </w:tc>
        <w:tc>
          <w:tcPr>
            <w:tcW w:w="7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7,704</w:t>
            </w:r>
          </w:p>
        </w:tc>
        <w:tc>
          <w:tcPr>
            <w:tcW w:w="160" w:type="dxa"/>
            <w:vAlign w:val="bottom"/>
            <w:tcBorders>
              <w:right w:val="single" w:sz="8" w:color="0077C0"/>
            </w:tcBorders>
            <w:shd w:val="clear" w:color="auto" w:fill="E8EFF9"/>
          </w:tcPr>
          <w:p>
            <w:pPr>
              <w:spacing w:after="0"/>
              <w:rPr>
                <w:sz w:val="18"/>
                <w:szCs w:val="18"/>
                <w:color w:val="auto"/>
              </w:rPr>
            </w:pPr>
          </w:p>
        </w:tc>
        <w:tc>
          <w:tcPr>
            <w:tcW w:w="300" w:type="dxa"/>
            <w:vAlign w:val="bottom"/>
            <w:shd w:val="clear" w:color="auto" w:fill="E8EFF9"/>
          </w:tcPr>
          <w:p>
            <w:pPr>
              <w:spacing w:after="0"/>
              <w:rPr>
                <w:sz w:val="18"/>
                <w:szCs w:val="18"/>
                <w:color w:val="auto"/>
              </w:rPr>
            </w:pPr>
          </w:p>
        </w:tc>
        <w:tc>
          <w:tcPr>
            <w:tcW w:w="78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400" w:type="dxa"/>
            <w:vAlign w:val="bottom"/>
            <w:shd w:val="clear" w:color="auto" w:fill="E8EFF9"/>
          </w:tcPr>
          <w:p>
            <w:pPr>
              <w:spacing w:after="0"/>
              <w:rPr>
                <w:sz w:val="18"/>
                <w:szCs w:val="18"/>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2,635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260" w:type="dxa"/>
            <w:vAlign w:val="bottom"/>
            <w:shd w:val="clear" w:color="auto" w:fill="E8EFF9"/>
          </w:tcPr>
          <w:p>
            <w:pPr>
              <w:ind w:left="220"/>
              <w:spacing w:after="0"/>
              <w:rPr>
                <w:sz w:val="20"/>
                <w:szCs w:val="20"/>
                <w:color w:val="auto"/>
              </w:rPr>
            </w:pPr>
            <w:r>
              <w:rPr>
                <w:rFonts w:ascii="Times New Roman" w:cs="Times New Roman" w:eastAsia="Times New Roman" w:hAnsi="Times New Roman"/>
                <w:sz w:val="16"/>
                <w:szCs w:val="16"/>
                <w:color w:val="auto"/>
              </w:rPr>
              <w:t>Net maturities of (investments in) time deposits</w:t>
            </w:r>
          </w:p>
        </w:tc>
        <w:tc>
          <w:tcPr>
            <w:tcW w:w="300" w:type="dxa"/>
            <w:vAlign w:val="bottom"/>
            <w:shd w:val="clear" w:color="auto" w:fill="E8EFF9"/>
          </w:tcPr>
          <w:p>
            <w:pPr>
              <w:spacing w:after="0"/>
              <w:rPr>
                <w:sz w:val="18"/>
                <w:szCs w:val="18"/>
                <w:color w:val="auto"/>
              </w:rPr>
            </w:pPr>
          </w:p>
        </w:tc>
        <w:tc>
          <w:tcPr>
            <w:tcW w:w="7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160" w:type="dxa"/>
            <w:vAlign w:val="bottom"/>
            <w:tcBorders>
              <w:right w:val="single" w:sz="8" w:color="0077C0"/>
            </w:tcBorders>
            <w:shd w:val="clear" w:color="auto" w:fill="E8EFF9"/>
          </w:tcPr>
          <w:p>
            <w:pPr>
              <w:spacing w:after="0"/>
              <w:rPr>
                <w:sz w:val="18"/>
                <w:szCs w:val="18"/>
                <w:color w:val="auto"/>
              </w:rPr>
            </w:pPr>
          </w:p>
        </w:tc>
        <w:tc>
          <w:tcPr>
            <w:tcW w:w="300" w:type="dxa"/>
            <w:vAlign w:val="bottom"/>
            <w:shd w:val="clear" w:color="auto" w:fill="E8EFF9"/>
          </w:tcPr>
          <w:p>
            <w:pPr>
              <w:spacing w:after="0"/>
              <w:rPr>
                <w:sz w:val="18"/>
                <w:szCs w:val="18"/>
                <w:color w:val="auto"/>
              </w:rPr>
            </w:pPr>
          </w:p>
        </w:tc>
        <w:tc>
          <w:tcPr>
            <w:tcW w:w="78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E8EFF9"/>
          </w:tcPr>
          <w:p>
            <w:pPr>
              <w:spacing w:after="0"/>
              <w:rPr>
                <w:sz w:val="18"/>
                <w:szCs w:val="18"/>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260" w:type="dxa"/>
            <w:vAlign w:val="bottom"/>
            <w:shd w:val="clear" w:color="auto" w:fill="E8EFF9"/>
          </w:tcPr>
          <w:p>
            <w:pPr>
              <w:ind w:left="220"/>
              <w:spacing w:after="0"/>
              <w:rPr>
                <w:sz w:val="20"/>
                <w:szCs w:val="20"/>
                <w:color w:val="auto"/>
              </w:rPr>
            </w:pPr>
            <w:r>
              <w:rPr>
                <w:rFonts w:ascii="Times New Roman" w:cs="Times New Roman" w:eastAsia="Times New Roman" w:hAnsi="Times New Roman"/>
                <w:sz w:val="16"/>
                <w:szCs w:val="16"/>
                <w:color w:val="auto"/>
              </w:rPr>
              <w:t>Net sales (purchases) of marketable securities</w:t>
            </w:r>
          </w:p>
        </w:tc>
        <w:tc>
          <w:tcPr>
            <w:tcW w:w="300" w:type="dxa"/>
            <w:vAlign w:val="bottom"/>
            <w:shd w:val="clear" w:color="auto" w:fill="E8EFF9"/>
          </w:tcPr>
          <w:p>
            <w:pPr>
              <w:spacing w:after="0"/>
              <w:rPr>
                <w:sz w:val="18"/>
                <w:szCs w:val="18"/>
                <w:color w:val="auto"/>
              </w:rPr>
            </w:pPr>
          </w:p>
        </w:tc>
        <w:tc>
          <w:tcPr>
            <w:tcW w:w="7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45</w:t>
            </w:r>
          </w:p>
        </w:tc>
        <w:tc>
          <w:tcPr>
            <w:tcW w:w="160" w:type="dxa"/>
            <w:vAlign w:val="bottom"/>
            <w:tcBorders>
              <w:right w:val="single" w:sz="8" w:color="0077C0"/>
            </w:tcBorders>
            <w:shd w:val="clear" w:color="auto" w:fill="E8EFF9"/>
          </w:tcPr>
          <w:p>
            <w:pPr>
              <w:spacing w:after="0"/>
              <w:rPr>
                <w:sz w:val="18"/>
                <w:szCs w:val="18"/>
                <w:color w:val="auto"/>
              </w:rPr>
            </w:pPr>
          </w:p>
        </w:tc>
        <w:tc>
          <w:tcPr>
            <w:tcW w:w="300" w:type="dxa"/>
            <w:vAlign w:val="bottom"/>
            <w:shd w:val="clear" w:color="auto" w:fill="E8EFF9"/>
          </w:tcPr>
          <w:p>
            <w:pPr>
              <w:spacing w:after="0"/>
              <w:rPr>
                <w:sz w:val="18"/>
                <w:szCs w:val="18"/>
                <w:color w:val="auto"/>
              </w:rPr>
            </w:pPr>
          </w:p>
        </w:tc>
        <w:tc>
          <w:tcPr>
            <w:tcW w:w="78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400" w:type="dxa"/>
            <w:vAlign w:val="bottom"/>
            <w:shd w:val="clear" w:color="auto" w:fill="E8EFF9"/>
          </w:tcPr>
          <w:p>
            <w:pPr>
              <w:spacing w:after="0"/>
              <w:rPr>
                <w:sz w:val="18"/>
                <w:szCs w:val="18"/>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0" w:type="dxa"/>
            <w:vAlign w:val="bottom"/>
          </w:tcPr>
          <w:p>
            <w:pPr>
              <w:spacing w:after="0"/>
              <w:rPr>
                <w:sz w:val="19"/>
                <w:szCs w:val="19"/>
                <w:color w:val="auto"/>
              </w:rPr>
            </w:pPr>
          </w:p>
        </w:tc>
        <w:tc>
          <w:tcPr>
            <w:tcW w:w="7260" w:type="dxa"/>
            <w:vAlign w:val="bottom"/>
            <w:tcBorders>
              <w:bottom w:val="single" w:sz="8" w:color="0077C0"/>
            </w:tcBorders>
            <w:shd w:val="clear" w:color="auto" w:fill="E8EFF9"/>
          </w:tcPr>
          <w:p>
            <w:pPr>
              <w:ind w:left="220"/>
              <w:spacing w:after="0"/>
              <w:rPr>
                <w:sz w:val="20"/>
                <w:szCs w:val="20"/>
                <w:color w:val="auto"/>
              </w:rPr>
            </w:pPr>
            <w:r>
              <w:rPr>
                <w:rFonts w:ascii="Times New Roman" w:cs="Times New Roman" w:eastAsia="Times New Roman" w:hAnsi="Times New Roman"/>
                <w:sz w:val="16"/>
                <w:szCs w:val="16"/>
                <w:color w:val="auto"/>
              </w:rPr>
              <w:t>Net repayment (borrowing) of loans by equity affiliates</w:t>
            </w:r>
          </w:p>
        </w:tc>
        <w:tc>
          <w:tcPr>
            <w:tcW w:w="300" w:type="dxa"/>
            <w:vAlign w:val="bottom"/>
            <w:tcBorders>
              <w:bottom w:val="single" w:sz="8" w:color="0077C0"/>
            </w:tcBorders>
            <w:shd w:val="clear" w:color="auto" w:fill="E8EFF9"/>
          </w:tcPr>
          <w:p>
            <w:pPr>
              <w:spacing w:after="0"/>
              <w:rPr>
                <w:sz w:val="19"/>
                <w:szCs w:val="19"/>
                <w:color w:val="auto"/>
              </w:rPr>
            </w:pPr>
          </w:p>
        </w:tc>
        <w:tc>
          <w:tcPr>
            <w:tcW w:w="74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(233)</w:t>
            </w:r>
          </w:p>
        </w:tc>
        <w:tc>
          <w:tcPr>
            <w:tcW w:w="160" w:type="dxa"/>
            <w:vAlign w:val="bottom"/>
            <w:tcBorders>
              <w:bottom w:val="single" w:sz="8" w:color="0077C0"/>
              <w:right w:val="single" w:sz="8" w:color="0077C0"/>
            </w:tcBorders>
            <w:shd w:val="clear" w:color="auto" w:fill="E8EFF9"/>
          </w:tcPr>
          <w:p>
            <w:pPr>
              <w:spacing w:after="0"/>
              <w:rPr>
                <w:sz w:val="19"/>
                <w:szCs w:val="19"/>
                <w:color w:val="auto"/>
              </w:rPr>
            </w:pPr>
          </w:p>
        </w:tc>
        <w:tc>
          <w:tcPr>
            <w:tcW w:w="300" w:type="dxa"/>
            <w:vAlign w:val="bottom"/>
            <w:tcBorders>
              <w:bottom w:val="single" w:sz="8" w:color="0077C0"/>
            </w:tcBorders>
            <w:shd w:val="clear" w:color="auto" w:fill="E8EFF9"/>
          </w:tcPr>
          <w:p>
            <w:pPr>
              <w:spacing w:after="0"/>
              <w:rPr>
                <w:sz w:val="19"/>
                <w:szCs w:val="19"/>
                <w:color w:val="auto"/>
              </w:rPr>
            </w:pPr>
          </w:p>
        </w:tc>
        <w:tc>
          <w:tcPr>
            <w:tcW w:w="78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400" w:type="dxa"/>
            <w:vAlign w:val="bottom"/>
            <w:tcBorders>
              <w:bottom w:val="single" w:sz="8" w:color="0077C0"/>
            </w:tcBorders>
            <w:shd w:val="clear" w:color="auto" w:fill="E8EFF9"/>
          </w:tcPr>
          <w:p>
            <w:pPr>
              <w:spacing w:after="0"/>
              <w:rPr>
                <w:sz w:val="19"/>
                <w:szCs w:val="19"/>
                <w:color w:val="auto"/>
              </w:rPr>
            </w:pPr>
          </w:p>
        </w:tc>
        <w:tc>
          <w:tcPr>
            <w:tcW w:w="8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7260" w:type="dxa"/>
            <w:vAlign w:val="bottom"/>
            <w:tcBorders>
              <w:bottom w:val="single" w:sz="8" w:color="0077C0"/>
            </w:tcBorders>
            <w:shd w:val="clear" w:color="auto" w:fill="E8EFF9"/>
          </w:tcPr>
          <w:p>
            <w:pPr>
              <w:ind w:left="20"/>
              <w:spacing w:after="0"/>
              <w:rPr>
                <w:sz w:val="20"/>
                <w:szCs w:val="20"/>
                <w:color w:val="auto"/>
              </w:rPr>
            </w:pPr>
            <w:r>
              <w:rPr>
                <w:rFonts w:ascii="Times New Roman" w:cs="Times New Roman" w:eastAsia="Times New Roman" w:hAnsi="Times New Roman"/>
                <w:sz w:val="16"/>
                <w:szCs w:val="16"/>
                <w:b w:val="1"/>
                <w:bCs w:val="1"/>
                <w:color w:val="0077C0"/>
              </w:rPr>
              <w:t>Net Cash Used for Investing Activities</w:t>
            </w:r>
          </w:p>
        </w:tc>
        <w:tc>
          <w:tcPr>
            <w:tcW w:w="300" w:type="dxa"/>
            <w:vAlign w:val="bottom"/>
            <w:tcBorders>
              <w:bottom w:val="single" w:sz="8" w:color="0077C0"/>
            </w:tcBorders>
            <w:shd w:val="clear" w:color="auto" w:fill="E8EFF9"/>
          </w:tcPr>
          <w:p>
            <w:pPr>
              <w:spacing w:after="0"/>
              <w:rPr>
                <w:sz w:val="18"/>
                <w:szCs w:val="18"/>
                <w:color w:val="auto"/>
              </w:rPr>
            </w:pPr>
          </w:p>
        </w:tc>
        <w:tc>
          <w:tcPr>
            <w:tcW w:w="74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(8,936)</w:t>
            </w:r>
          </w:p>
        </w:tc>
        <w:tc>
          <w:tcPr>
            <w:tcW w:w="160" w:type="dxa"/>
            <w:vAlign w:val="bottom"/>
            <w:tcBorders>
              <w:bottom w:val="single" w:sz="8" w:color="0077C0"/>
              <w:right w:val="single" w:sz="8" w:color="0077C0"/>
            </w:tcBorders>
            <w:shd w:val="clear" w:color="auto" w:fill="E8EFF9"/>
          </w:tcPr>
          <w:p>
            <w:pPr>
              <w:spacing w:after="0"/>
              <w:rPr>
                <w:sz w:val="18"/>
                <w:szCs w:val="18"/>
                <w:color w:val="auto"/>
              </w:rPr>
            </w:pPr>
          </w:p>
        </w:tc>
        <w:tc>
          <w:tcPr>
            <w:tcW w:w="300" w:type="dxa"/>
            <w:vAlign w:val="bottom"/>
            <w:tcBorders>
              <w:bottom w:val="single" w:sz="8" w:color="0077C0"/>
            </w:tcBorders>
            <w:shd w:val="clear" w:color="auto" w:fill="E8EFF9"/>
          </w:tcPr>
          <w:p>
            <w:pPr>
              <w:spacing w:after="0"/>
              <w:rPr>
                <w:sz w:val="18"/>
                <w:szCs w:val="18"/>
                <w:color w:val="auto"/>
              </w:rPr>
            </w:pPr>
          </w:p>
        </w:tc>
        <w:tc>
          <w:tcPr>
            <w:tcW w:w="78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(15,232)</w:t>
            </w:r>
          </w:p>
        </w:tc>
        <w:tc>
          <w:tcPr>
            <w:tcW w:w="400" w:type="dxa"/>
            <w:vAlign w:val="bottom"/>
            <w:tcBorders>
              <w:bottom w:val="single" w:sz="8" w:color="0077C0"/>
            </w:tcBorders>
            <w:shd w:val="clear" w:color="auto" w:fill="E8EFF9"/>
          </w:tcPr>
          <w:p>
            <w:pPr>
              <w:spacing w:after="0"/>
              <w:rPr>
                <w:sz w:val="18"/>
                <w:szCs w:val="18"/>
                <w:color w:val="auto"/>
              </w:rPr>
            </w:pPr>
          </w:p>
        </w:tc>
        <w:tc>
          <w:tcPr>
            <w:tcW w:w="8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(12,108)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20" w:type="dxa"/>
            <w:vAlign w:val="bottom"/>
          </w:tcPr>
          <w:p>
            <w:pPr>
              <w:spacing w:after="0"/>
              <w:rPr>
                <w:sz w:val="18"/>
                <w:szCs w:val="18"/>
                <w:color w:val="auto"/>
              </w:rPr>
            </w:pPr>
          </w:p>
        </w:tc>
        <w:tc>
          <w:tcPr>
            <w:tcW w:w="7260" w:type="dxa"/>
            <w:vAlign w:val="bottom"/>
            <w:shd w:val="clear" w:color="auto" w:fill="E8EFF9"/>
          </w:tcPr>
          <w:p>
            <w:pPr>
              <w:ind w:left="20"/>
              <w:spacing w:after="0"/>
              <w:rPr>
                <w:sz w:val="20"/>
                <w:szCs w:val="20"/>
                <w:color w:val="auto"/>
              </w:rPr>
            </w:pPr>
            <w:r>
              <w:rPr>
                <w:rFonts w:ascii="Times New Roman" w:cs="Times New Roman" w:eastAsia="Times New Roman" w:hAnsi="Times New Roman"/>
                <w:sz w:val="16"/>
                <w:szCs w:val="16"/>
                <w:b w:val="1"/>
                <w:bCs w:val="1"/>
                <w:color w:val="0077C0"/>
              </w:rPr>
              <w:t>Financing Activities</w:t>
            </w:r>
          </w:p>
        </w:tc>
        <w:tc>
          <w:tcPr>
            <w:tcW w:w="300" w:type="dxa"/>
            <w:vAlign w:val="bottom"/>
            <w:shd w:val="clear" w:color="auto" w:fill="E8EFF9"/>
          </w:tcPr>
          <w:p>
            <w:pPr>
              <w:spacing w:after="0"/>
              <w:rPr>
                <w:sz w:val="18"/>
                <w:szCs w:val="18"/>
                <w:color w:val="auto"/>
              </w:rPr>
            </w:pPr>
          </w:p>
        </w:tc>
        <w:tc>
          <w:tcPr>
            <w:tcW w:w="740" w:type="dxa"/>
            <w:vAlign w:val="bottom"/>
            <w:shd w:val="clear" w:color="auto" w:fill="E8EFF9"/>
          </w:tcPr>
          <w:p>
            <w:pPr>
              <w:spacing w:after="0"/>
              <w:rPr>
                <w:sz w:val="18"/>
                <w:szCs w:val="18"/>
                <w:color w:val="auto"/>
              </w:rPr>
            </w:pPr>
          </w:p>
        </w:tc>
        <w:tc>
          <w:tcPr>
            <w:tcW w:w="160" w:type="dxa"/>
            <w:vAlign w:val="bottom"/>
            <w:tcBorders>
              <w:right w:val="single" w:sz="8" w:color="0077C0"/>
            </w:tcBorders>
            <w:shd w:val="clear" w:color="auto" w:fill="E8EFF9"/>
          </w:tcPr>
          <w:p>
            <w:pPr>
              <w:spacing w:after="0"/>
              <w:rPr>
                <w:sz w:val="18"/>
                <w:szCs w:val="18"/>
                <w:color w:val="auto"/>
              </w:rPr>
            </w:pPr>
          </w:p>
        </w:tc>
        <w:tc>
          <w:tcPr>
            <w:tcW w:w="300" w:type="dxa"/>
            <w:vAlign w:val="bottom"/>
            <w:shd w:val="clear" w:color="auto" w:fill="E8EFF9"/>
          </w:tcPr>
          <w:p>
            <w:pPr>
              <w:spacing w:after="0"/>
              <w:rPr>
                <w:sz w:val="18"/>
                <w:szCs w:val="18"/>
                <w:color w:val="auto"/>
              </w:rPr>
            </w:pPr>
          </w:p>
        </w:tc>
        <w:tc>
          <w:tcPr>
            <w:tcW w:w="780" w:type="dxa"/>
            <w:vAlign w:val="bottom"/>
            <w:shd w:val="clear" w:color="auto" w:fill="E8EFF9"/>
          </w:tcPr>
          <w:p>
            <w:pPr>
              <w:spacing w:after="0"/>
              <w:rPr>
                <w:sz w:val="18"/>
                <w:szCs w:val="18"/>
                <w:color w:val="auto"/>
              </w:rPr>
            </w:pPr>
          </w:p>
        </w:tc>
        <w:tc>
          <w:tcPr>
            <w:tcW w:w="400" w:type="dxa"/>
            <w:vAlign w:val="bottom"/>
            <w:shd w:val="clear" w:color="auto" w:fill="E8EFF9"/>
          </w:tcPr>
          <w:p>
            <w:pPr>
              <w:spacing w:after="0"/>
              <w:rPr>
                <w:sz w:val="18"/>
                <w:szCs w:val="18"/>
                <w:color w:val="auto"/>
              </w:rPr>
            </w:pPr>
          </w:p>
        </w:tc>
        <w:tc>
          <w:tcPr>
            <w:tcW w:w="800" w:type="dxa"/>
            <w:vAlign w:val="bottom"/>
            <w:shd w:val="clear" w:color="auto" w:fill="E8EFF9"/>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0" w:type="dxa"/>
            <w:vAlign w:val="bottom"/>
          </w:tcPr>
          <w:p>
            <w:pPr>
              <w:spacing w:after="0"/>
              <w:rPr>
                <w:sz w:val="18"/>
                <w:szCs w:val="18"/>
                <w:color w:val="auto"/>
              </w:rPr>
            </w:pPr>
          </w:p>
        </w:tc>
        <w:tc>
          <w:tcPr>
            <w:tcW w:w="7260" w:type="dxa"/>
            <w:vAlign w:val="bottom"/>
            <w:shd w:val="clear" w:color="auto" w:fill="E8EFF9"/>
          </w:tcPr>
          <w:p>
            <w:pPr>
              <w:ind w:left="220"/>
              <w:spacing w:after="0"/>
              <w:rPr>
                <w:sz w:val="20"/>
                <w:szCs w:val="20"/>
                <w:color w:val="auto"/>
              </w:rPr>
            </w:pPr>
            <w:r>
              <w:rPr>
                <w:rFonts w:ascii="Times New Roman" w:cs="Times New Roman" w:eastAsia="Times New Roman" w:hAnsi="Times New Roman"/>
                <w:sz w:val="16"/>
                <w:szCs w:val="16"/>
                <w:color w:val="auto"/>
              </w:rPr>
              <w:t>Net borrowings (repayments) of short-term obligations</w:t>
            </w:r>
          </w:p>
        </w:tc>
        <w:tc>
          <w:tcPr>
            <w:tcW w:w="300" w:type="dxa"/>
            <w:vAlign w:val="bottom"/>
            <w:shd w:val="clear" w:color="auto" w:fill="E8EFF9"/>
          </w:tcPr>
          <w:p>
            <w:pPr>
              <w:spacing w:after="0"/>
              <w:rPr>
                <w:sz w:val="18"/>
                <w:szCs w:val="18"/>
                <w:color w:val="auto"/>
              </w:rPr>
            </w:pPr>
          </w:p>
        </w:tc>
        <w:tc>
          <w:tcPr>
            <w:tcW w:w="7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4,868</w:t>
            </w:r>
          </w:p>
        </w:tc>
        <w:tc>
          <w:tcPr>
            <w:tcW w:w="160" w:type="dxa"/>
            <w:vAlign w:val="bottom"/>
            <w:tcBorders>
              <w:right w:val="single" w:sz="8" w:color="0077C0"/>
            </w:tcBorders>
            <w:shd w:val="clear" w:color="auto" w:fill="E8EFF9"/>
          </w:tcPr>
          <w:p>
            <w:pPr>
              <w:spacing w:after="0"/>
              <w:rPr>
                <w:sz w:val="18"/>
                <w:szCs w:val="18"/>
                <w:color w:val="auto"/>
              </w:rPr>
            </w:pPr>
          </w:p>
        </w:tc>
        <w:tc>
          <w:tcPr>
            <w:tcW w:w="300" w:type="dxa"/>
            <w:vAlign w:val="bottom"/>
            <w:shd w:val="clear" w:color="auto" w:fill="E8EFF9"/>
          </w:tcPr>
          <w:p>
            <w:pPr>
              <w:spacing w:after="0"/>
              <w:rPr>
                <w:sz w:val="18"/>
                <w:szCs w:val="18"/>
                <w:color w:val="auto"/>
              </w:rPr>
            </w:pPr>
          </w:p>
        </w:tc>
        <w:tc>
          <w:tcPr>
            <w:tcW w:w="78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400" w:type="dxa"/>
            <w:vAlign w:val="bottom"/>
            <w:shd w:val="clear" w:color="auto" w:fill="E8EFF9"/>
          </w:tcPr>
          <w:p>
            <w:pPr>
              <w:spacing w:after="0"/>
              <w:rPr>
                <w:sz w:val="18"/>
                <w:szCs w:val="18"/>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260" w:type="dxa"/>
            <w:vAlign w:val="bottom"/>
            <w:shd w:val="clear" w:color="auto" w:fill="E8EFF9"/>
          </w:tcPr>
          <w:p>
            <w:pPr>
              <w:ind w:left="220"/>
              <w:spacing w:after="0"/>
              <w:rPr>
                <w:sz w:val="20"/>
                <w:szCs w:val="20"/>
                <w:color w:val="auto"/>
              </w:rPr>
            </w:pPr>
            <w:r>
              <w:rPr>
                <w:rFonts w:ascii="Times New Roman" w:cs="Times New Roman" w:eastAsia="Times New Roman" w:hAnsi="Times New Roman"/>
                <w:sz w:val="16"/>
                <w:szCs w:val="16"/>
                <w:color w:val="auto"/>
              </w:rPr>
              <w:t>Proceeds from issuances of long-term debt</w:t>
            </w:r>
          </w:p>
        </w:tc>
        <w:tc>
          <w:tcPr>
            <w:tcW w:w="300" w:type="dxa"/>
            <w:vAlign w:val="bottom"/>
            <w:shd w:val="clear" w:color="auto" w:fill="E8EFF9"/>
          </w:tcPr>
          <w:p>
            <w:pPr>
              <w:spacing w:after="0"/>
              <w:rPr>
                <w:sz w:val="18"/>
                <w:szCs w:val="18"/>
                <w:color w:val="auto"/>
              </w:rPr>
            </w:pPr>
          </w:p>
        </w:tc>
        <w:tc>
          <w:tcPr>
            <w:tcW w:w="7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478</w:t>
            </w:r>
          </w:p>
        </w:tc>
        <w:tc>
          <w:tcPr>
            <w:tcW w:w="160" w:type="dxa"/>
            <w:vAlign w:val="bottom"/>
            <w:tcBorders>
              <w:right w:val="single" w:sz="8" w:color="0077C0"/>
            </w:tcBorders>
            <w:shd w:val="clear" w:color="auto" w:fill="E8EFF9"/>
          </w:tcPr>
          <w:p>
            <w:pPr>
              <w:spacing w:after="0"/>
              <w:rPr>
                <w:sz w:val="18"/>
                <w:szCs w:val="18"/>
                <w:color w:val="auto"/>
              </w:rPr>
            </w:pPr>
          </w:p>
        </w:tc>
        <w:tc>
          <w:tcPr>
            <w:tcW w:w="300" w:type="dxa"/>
            <w:vAlign w:val="bottom"/>
            <w:shd w:val="clear" w:color="auto" w:fill="E8EFF9"/>
          </w:tcPr>
          <w:p>
            <w:pPr>
              <w:spacing w:after="0"/>
              <w:rPr>
                <w:sz w:val="18"/>
                <w:szCs w:val="18"/>
                <w:color w:val="auto"/>
              </w:rPr>
            </w:pPr>
          </w:p>
        </w:tc>
        <w:tc>
          <w:tcPr>
            <w:tcW w:w="78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400" w:type="dxa"/>
            <w:vAlign w:val="bottom"/>
            <w:shd w:val="clear" w:color="auto" w:fill="E8EFF9"/>
          </w:tcPr>
          <w:p>
            <w:pPr>
              <w:spacing w:after="0"/>
              <w:rPr>
                <w:sz w:val="18"/>
                <w:szCs w:val="18"/>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260" w:type="dxa"/>
            <w:vAlign w:val="bottom"/>
            <w:shd w:val="clear" w:color="auto" w:fill="E8EFF9"/>
          </w:tcPr>
          <w:p>
            <w:pPr>
              <w:ind w:left="220"/>
              <w:spacing w:after="0"/>
              <w:rPr>
                <w:sz w:val="20"/>
                <w:szCs w:val="20"/>
                <w:color w:val="auto"/>
              </w:rPr>
            </w:pPr>
            <w:r>
              <w:rPr>
                <w:rFonts w:ascii="Times New Roman" w:cs="Times New Roman" w:eastAsia="Times New Roman" w:hAnsi="Times New Roman"/>
                <w:sz w:val="16"/>
                <w:szCs w:val="16"/>
                <w:color w:val="auto"/>
              </w:rPr>
              <w:t>Repayments of long-term debt and other financing obligations</w:t>
            </w:r>
          </w:p>
        </w:tc>
        <w:tc>
          <w:tcPr>
            <w:tcW w:w="300" w:type="dxa"/>
            <w:vAlign w:val="bottom"/>
            <w:shd w:val="clear" w:color="auto" w:fill="E8EFF9"/>
          </w:tcPr>
          <w:p>
            <w:pPr>
              <w:spacing w:after="0"/>
              <w:rPr>
                <w:sz w:val="18"/>
                <w:szCs w:val="18"/>
                <w:color w:val="auto"/>
              </w:rPr>
            </w:pPr>
          </w:p>
        </w:tc>
        <w:tc>
          <w:tcPr>
            <w:tcW w:w="7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(1,778)</w:t>
            </w:r>
          </w:p>
        </w:tc>
        <w:tc>
          <w:tcPr>
            <w:tcW w:w="160" w:type="dxa"/>
            <w:vAlign w:val="bottom"/>
            <w:tcBorders>
              <w:right w:val="single" w:sz="8" w:color="0077C0"/>
            </w:tcBorders>
            <w:shd w:val="clear" w:color="auto" w:fill="E8EFF9"/>
          </w:tcPr>
          <w:p>
            <w:pPr>
              <w:spacing w:after="0"/>
              <w:rPr>
                <w:sz w:val="18"/>
                <w:szCs w:val="18"/>
                <w:color w:val="auto"/>
              </w:rPr>
            </w:pPr>
          </w:p>
        </w:tc>
        <w:tc>
          <w:tcPr>
            <w:tcW w:w="300" w:type="dxa"/>
            <w:vAlign w:val="bottom"/>
            <w:shd w:val="clear" w:color="auto" w:fill="E8EFF9"/>
          </w:tcPr>
          <w:p>
            <w:pPr>
              <w:spacing w:after="0"/>
              <w:rPr>
                <w:sz w:val="18"/>
                <w:szCs w:val="18"/>
                <w:color w:val="auto"/>
              </w:rPr>
            </w:pPr>
          </w:p>
        </w:tc>
        <w:tc>
          <w:tcPr>
            <w:tcW w:w="78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(4,340)</w:t>
            </w:r>
          </w:p>
        </w:tc>
        <w:tc>
          <w:tcPr>
            <w:tcW w:w="400" w:type="dxa"/>
            <w:vAlign w:val="bottom"/>
            <w:shd w:val="clear" w:color="auto" w:fill="E8EFF9"/>
          </w:tcPr>
          <w:p>
            <w:pPr>
              <w:spacing w:after="0"/>
              <w:rPr>
                <w:sz w:val="18"/>
                <w:szCs w:val="18"/>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(8,742)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260" w:type="dxa"/>
            <w:vAlign w:val="bottom"/>
            <w:shd w:val="clear" w:color="auto" w:fill="E8EFF9"/>
          </w:tcPr>
          <w:p>
            <w:pPr>
              <w:ind w:left="220"/>
              <w:spacing w:after="0"/>
              <w:rPr>
                <w:sz w:val="20"/>
                <w:szCs w:val="20"/>
                <w:color w:val="auto"/>
              </w:rPr>
            </w:pPr>
            <w:r>
              <w:rPr>
                <w:rFonts w:ascii="Times New Roman" w:cs="Times New Roman" w:eastAsia="Times New Roman" w:hAnsi="Times New Roman"/>
                <w:sz w:val="16"/>
                <w:szCs w:val="16"/>
                <w:color w:val="auto"/>
              </w:rPr>
              <w:t>Cash dividends - common stock</w:t>
            </w:r>
          </w:p>
        </w:tc>
        <w:tc>
          <w:tcPr>
            <w:tcW w:w="300" w:type="dxa"/>
            <w:vAlign w:val="bottom"/>
            <w:shd w:val="clear" w:color="auto" w:fill="E8EFF9"/>
          </w:tcPr>
          <w:p>
            <w:pPr>
              <w:spacing w:after="0"/>
              <w:rPr>
                <w:sz w:val="18"/>
                <w:szCs w:val="18"/>
                <w:color w:val="auto"/>
              </w:rPr>
            </w:pPr>
          </w:p>
        </w:tc>
        <w:tc>
          <w:tcPr>
            <w:tcW w:w="7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(11,801)</w:t>
            </w:r>
          </w:p>
        </w:tc>
        <w:tc>
          <w:tcPr>
            <w:tcW w:w="160" w:type="dxa"/>
            <w:vAlign w:val="bottom"/>
            <w:tcBorders>
              <w:right w:val="single" w:sz="8" w:color="0077C0"/>
            </w:tcBorders>
            <w:shd w:val="clear" w:color="auto" w:fill="E8EFF9"/>
          </w:tcPr>
          <w:p>
            <w:pPr>
              <w:spacing w:after="0"/>
              <w:rPr>
                <w:sz w:val="18"/>
                <w:szCs w:val="18"/>
                <w:color w:val="auto"/>
              </w:rPr>
            </w:pPr>
          </w:p>
        </w:tc>
        <w:tc>
          <w:tcPr>
            <w:tcW w:w="300" w:type="dxa"/>
            <w:vAlign w:val="bottom"/>
            <w:shd w:val="clear" w:color="auto" w:fill="E8EFF9"/>
          </w:tcPr>
          <w:p>
            <w:pPr>
              <w:spacing w:after="0"/>
              <w:rPr>
                <w:sz w:val="18"/>
                <w:szCs w:val="18"/>
                <w:color w:val="auto"/>
              </w:rPr>
            </w:pPr>
          </w:p>
        </w:tc>
        <w:tc>
          <w:tcPr>
            <w:tcW w:w="78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(11,336)</w:t>
            </w:r>
          </w:p>
        </w:tc>
        <w:tc>
          <w:tcPr>
            <w:tcW w:w="400" w:type="dxa"/>
            <w:vAlign w:val="bottom"/>
            <w:shd w:val="clear" w:color="auto" w:fill="E8EFF9"/>
          </w:tcPr>
          <w:p>
            <w:pPr>
              <w:spacing w:after="0"/>
              <w:rPr>
                <w:sz w:val="18"/>
                <w:szCs w:val="18"/>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(10,968)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260" w:type="dxa"/>
            <w:vAlign w:val="bottom"/>
            <w:shd w:val="clear" w:color="auto" w:fill="E8EFF9"/>
          </w:tcPr>
          <w:p>
            <w:pPr>
              <w:ind w:left="220"/>
              <w:spacing w:after="0"/>
              <w:rPr>
                <w:sz w:val="20"/>
                <w:szCs w:val="20"/>
                <w:color w:val="auto"/>
              </w:rPr>
            </w:pPr>
            <w:r>
              <w:rPr>
                <w:rFonts w:ascii="Times New Roman" w:cs="Times New Roman" w:eastAsia="Times New Roman" w:hAnsi="Times New Roman"/>
                <w:sz w:val="16"/>
                <w:szCs w:val="16"/>
                <w:color w:val="auto"/>
              </w:rPr>
              <w:t>Net contributions from (distributions to) noncontrolling interests</w:t>
            </w:r>
          </w:p>
        </w:tc>
        <w:tc>
          <w:tcPr>
            <w:tcW w:w="300" w:type="dxa"/>
            <w:vAlign w:val="bottom"/>
            <w:shd w:val="clear" w:color="auto" w:fill="E8EFF9"/>
          </w:tcPr>
          <w:p>
            <w:pPr>
              <w:spacing w:after="0"/>
              <w:rPr>
                <w:sz w:val="18"/>
                <w:szCs w:val="18"/>
                <w:color w:val="auto"/>
              </w:rPr>
            </w:pPr>
          </w:p>
        </w:tc>
        <w:tc>
          <w:tcPr>
            <w:tcW w:w="7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(195)</w:t>
            </w:r>
          </w:p>
        </w:tc>
        <w:tc>
          <w:tcPr>
            <w:tcW w:w="160" w:type="dxa"/>
            <w:vAlign w:val="bottom"/>
            <w:tcBorders>
              <w:right w:val="single" w:sz="8" w:color="0077C0"/>
            </w:tcBorders>
            <w:shd w:val="clear" w:color="auto" w:fill="E8EFF9"/>
          </w:tcPr>
          <w:p>
            <w:pPr>
              <w:spacing w:after="0"/>
              <w:rPr>
                <w:sz w:val="18"/>
                <w:szCs w:val="18"/>
                <w:color w:val="auto"/>
              </w:rPr>
            </w:pPr>
          </w:p>
        </w:tc>
        <w:tc>
          <w:tcPr>
            <w:tcW w:w="300" w:type="dxa"/>
            <w:vAlign w:val="bottom"/>
            <w:shd w:val="clear" w:color="auto" w:fill="E8EFF9"/>
          </w:tcPr>
          <w:p>
            <w:pPr>
              <w:spacing w:after="0"/>
              <w:rPr>
                <w:sz w:val="18"/>
                <w:szCs w:val="18"/>
                <w:color w:val="auto"/>
              </w:rPr>
            </w:pPr>
          </w:p>
        </w:tc>
        <w:tc>
          <w:tcPr>
            <w:tcW w:w="78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400" w:type="dxa"/>
            <w:vAlign w:val="bottom"/>
            <w:shd w:val="clear" w:color="auto" w:fill="E8EFF9"/>
          </w:tcPr>
          <w:p>
            <w:pPr>
              <w:spacing w:after="0"/>
              <w:rPr>
                <w:sz w:val="18"/>
                <w:szCs w:val="18"/>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0" w:type="dxa"/>
            <w:vAlign w:val="bottom"/>
          </w:tcPr>
          <w:p>
            <w:pPr>
              <w:spacing w:after="0"/>
              <w:rPr>
                <w:sz w:val="19"/>
                <w:szCs w:val="19"/>
                <w:color w:val="auto"/>
              </w:rPr>
            </w:pPr>
          </w:p>
        </w:tc>
        <w:tc>
          <w:tcPr>
            <w:tcW w:w="7260" w:type="dxa"/>
            <w:vAlign w:val="bottom"/>
            <w:tcBorders>
              <w:bottom w:val="single" w:sz="8" w:color="0077C0"/>
            </w:tcBorders>
            <w:shd w:val="clear" w:color="auto" w:fill="E8EFF9"/>
          </w:tcPr>
          <w:p>
            <w:pPr>
              <w:ind w:left="220"/>
              <w:spacing w:after="0"/>
              <w:rPr>
                <w:sz w:val="20"/>
                <w:szCs w:val="20"/>
                <w:color w:val="auto"/>
              </w:rPr>
            </w:pPr>
            <w:r>
              <w:rPr>
                <w:rFonts w:ascii="Times New Roman" w:cs="Times New Roman" w:eastAsia="Times New Roman" w:hAnsi="Times New Roman"/>
                <w:sz w:val="16"/>
                <w:szCs w:val="16"/>
                <w:color w:val="auto"/>
              </w:rPr>
              <w:t>Net sales (purchases) of treasury shares</w:t>
            </w:r>
          </w:p>
        </w:tc>
        <w:tc>
          <w:tcPr>
            <w:tcW w:w="300" w:type="dxa"/>
            <w:vAlign w:val="bottom"/>
            <w:tcBorders>
              <w:bottom w:val="single" w:sz="8" w:color="0077C0"/>
            </w:tcBorders>
            <w:shd w:val="clear" w:color="auto" w:fill="E8EFF9"/>
          </w:tcPr>
          <w:p>
            <w:pPr>
              <w:spacing w:after="0"/>
              <w:rPr>
                <w:sz w:val="19"/>
                <w:szCs w:val="19"/>
                <w:color w:val="auto"/>
              </w:rPr>
            </w:pPr>
          </w:p>
        </w:tc>
        <w:tc>
          <w:tcPr>
            <w:tcW w:w="74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(15,044)</w:t>
            </w:r>
          </w:p>
        </w:tc>
        <w:tc>
          <w:tcPr>
            <w:tcW w:w="160" w:type="dxa"/>
            <w:vAlign w:val="bottom"/>
            <w:tcBorders>
              <w:bottom w:val="single" w:sz="8" w:color="0077C0"/>
              <w:right w:val="single" w:sz="8" w:color="0077C0"/>
            </w:tcBorders>
            <w:shd w:val="clear" w:color="auto" w:fill="E8EFF9"/>
          </w:tcPr>
          <w:p>
            <w:pPr>
              <w:spacing w:after="0"/>
              <w:rPr>
                <w:sz w:val="19"/>
                <w:szCs w:val="19"/>
                <w:color w:val="auto"/>
              </w:rPr>
            </w:pPr>
          </w:p>
        </w:tc>
        <w:tc>
          <w:tcPr>
            <w:tcW w:w="300" w:type="dxa"/>
            <w:vAlign w:val="bottom"/>
            <w:tcBorders>
              <w:bottom w:val="single" w:sz="8" w:color="0077C0"/>
            </w:tcBorders>
            <w:shd w:val="clear" w:color="auto" w:fill="E8EFF9"/>
          </w:tcPr>
          <w:p>
            <w:pPr>
              <w:spacing w:after="0"/>
              <w:rPr>
                <w:sz w:val="19"/>
                <w:szCs w:val="19"/>
                <w:color w:val="auto"/>
              </w:rPr>
            </w:pPr>
          </w:p>
        </w:tc>
        <w:tc>
          <w:tcPr>
            <w:tcW w:w="78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(14,678)</w:t>
            </w:r>
          </w:p>
        </w:tc>
        <w:tc>
          <w:tcPr>
            <w:tcW w:w="400" w:type="dxa"/>
            <w:vAlign w:val="bottom"/>
            <w:tcBorders>
              <w:bottom w:val="single" w:sz="8" w:color="0077C0"/>
            </w:tcBorders>
            <w:shd w:val="clear" w:color="auto" w:fill="E8EFF9"/>
          </w:tcPr>
          <w:p>
            <w:pPr>
              <w:spacing w:after="0"/>
              <w:rPr>
                <w:sz w:val="19"/>
                <w:szCs w:val="19"/>
                <w:color w:val="auto"/>
              </w:rPr>
            </w:pPr>
          </w:p>
        </w:tc>
        <w:tc>
          <w:tcPr>
            <w:tcW w:w="8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(5,417)</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7260" w:type="dxa"/>
            <w:vAlign w:val="bottom"/>
            <w:tcBorders>
              <w:bottom w:val="single" w:sz="8" w:color="0077C0"/>
            </w:tcBorders>
            <w:shd w:val="clear" w:color="auto" w:fill="E8EFF9"/>
          </w:tcPr>
          <w:p>
            <w:pPr>
              <w:ind w:left="20"/>
              <w:spacing w:after="0"/>
              <w:rPr>
                <w:sz w:val="20"/>
                <w:szCs w:val="20"/>
                <w:color w:val="auto"/>
              </w:rPr>
            </w:pPr>
            <w:r>
              <w:rPr>
                <w:rFonts w:ascii="Times New Roman" w:cs="Times New Roman" w:eastAsia="Times New Roman" w:hAnsi="Times New Roman"/>
                <w:sz w:val="16"/>
                <w:szCs w:val="16"/>
                <w:b w:val="1"/>
                <w:bCs w:val="1"/>
                <w:color w:val="0077C0"/>
              </w:rPr>
              <w:t>Net Cash Provided by (Used for) Financing Activities</w:t>
            </w:r>
          </w:p>
        </w:tc>
        <w:tc>
          <w:tcPr>
            <w:tcW w:w="300" w:type="dxa"/>
            <w:vAlign w:val="bottom"/>
            <w:tcBorders>
              <w:bottom w:val="single" w:sz="8" w:color="0077C0"/>
            </w:tcBorders>
            <w:shd w:val="clear" w:color="auto" w:fill="E8EFF9"/>
          </w:tcPr>
          <w:p>
            <w:pPr>
              <w:spacing w:after="0"/>
              <w:rPr>
                <w:sz w:val="18"/>
                <w:szCs w:val="18"/>
                <w:color w:val="auto"/>
              </w:rPr>
            </w:pPr>
          </w:p>
        </w:tc>
        <w:tc>
          <w:tcPr>
            <w:tcW w:w="74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(23,472)</w:t>
            </w:r>
          </w:p>
        </w:tc>
        <w:tc>
          <w:tcPr>
            <w:tcW w:w="160" w:type="dxa"/>
            <w:vAlign w:val="bottom"/>
            <w:tcBorders>
              <w:bottom w:val="single" w:sz="8" w:color="0077C0"/>
              <w:right w:val="single" w:sz="8" w:color="0077C0"/>
            </w:tcBorders>
            <w:shd w:val="clear" w:color="auto" w:fill="E8EFF9"/>
          </w:tcPr>
          <w:p>
            <w:pPr>
              <w:spacing w:after="0"/>
              <w:rPr>
                <w:sz w:val="18"/>
                <w:szCs w:val="18"/>
                <w:color w:val="auto"/>
              </w:rPr>
            </w:pPr>
          </w:p>
        </w:tc>
        <w:tc>
          <w:tcPr>
            <w:tcW w:w="300" w:type="dxa"/>
            <w:vAlign w:val="bottom"/>
            <w:tcBorders>
              <w:bottom w:val="single" w:sz="8" w:color="0077C0"/>
            </w:tcBorders>
            <w:shd w:val="clear" w:color="auto" w:fill="E8EFF9"/>
          </w:tcPr>
          <w:p>
            <w:pPr>
              <w:spacing w:after="0"/>
              <w:rPr>
                <w:sz w:val="18"/>
                <w:szCs w:val="18"/>
                <w:color w:val="auto"/>
              </w:rPr>
            </w:pPr>
          </w:p>
        </w:tc>
        <w:tc>
          <w:tcPr>
            <w:tcW w:w="78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(30,109)</w:t>
            </w:r>
          </w:p>
        </w:tc>
        <w:tc>
          <w:tcPr>
            <w:tcW w:w="400" w:type="dxa"/>
            <w:vAlign w:val="bottom"/>
            <w:tcBorders>
              <w:bottom w:val="single" w:sz="8" w:color="0077C0"/>
            </w:tcBorders>
            <w:shd w:val="clear" w:color="auto" w:fill="E8EFF9"/>
          </w:tcPr>
          <w:p>
            <w:pPr>
              <w:spacing w:after="0"/>
              <w:rPr>
                <w:sz w:val="18"/>
                <w:szCs w:val="18"/>
                <w:color w:val="auto"/>
              </w:rPr>
            </w:pPr>
          </w:p>
        </w:tc>
        <w:tc>
          <w:tcPr>
            <w:tcW w:w="8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(24,978)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7260" w:type="dxa"/>
            <w:vAlign w:val="bottom"/>
            <w:tcBorders>
              <w:bottom w:val="single" w:sz="8" w:color="0077C0"/>
            </w:tcBorders>
            <w:shd w:val="clear" w:color="auto" w:fill="E8EFF9"/>
          </w:tcPr>
          <w:p>
            <w:pPr>
              <w:ind w:left="20"/>
              <w:spacing w:after="0"/>
              <w:rPr>
                <w:sz w:val="20"/>
                <w:szCs w:val="20"/>
                <w:color w:val="auto"/>
              </w:rPr>
            </w:pPr>
            <w:r>
              <w:rPr>
                <w:rFonts w:ascii="Times New Roman" w:cs="Times New Roman" w:eastAsia="Times New Roman" w:hAnsi="Times New Roman"/>
                <w:sz w:val="16"/>
                <w:szCs w:val="16"/>
                <w:b w:val="1"/>
                <w:bCs w:val="1"/>
                <w:color w:val="0077C0"/>
              </w:rPr>
              <w:t>Effect of Exchange Rate Changes on Cash, Cash Equivalents and Restricted Cash</w:t>
            </w:r>
          </w:p>
        </w:tc>
        <w:tc>
          <w:tcPr>
            <w:tcW w:w="300" w:type="dxa"/>
            <w:vAlign w:val="bottom"/>
            <w:tcBorders>
              <w:bottom w:val="single" w:sz="8" w:color="0077C0"/>
            </w:tcBorders>
            <w:shd w:val="clear" w:color="auto" w:fill="E8EFF9"/>
          </w:tcPr>
          <w:p>
            <w:pPr>
              <w:spacing w:after="0"/>
              <w:rPr>
                <w:sz w:val="18"/>
                <w:szCs w:val="18"/>
                <w:color w:val="auto"/>
              </w:rPr>
            </w:pPr>
          </w:p>
        </w:tc>
        <w:tc>
          <w:tcPr>
            <w:tcW w:w="74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(97)</w:t>
            </w:r>
          </w:p>
        </w:tc>
        <w:tc>
          <w:tcPr>
            <w:tcW w:w="160" w:type="dxa"/>
            <w:vAlign w:val="bottom"/>
            <w:tcBorders>
              <w:bottom w:val="single" w:sz="8" w:color="0077C0"/>
              <w:right w:val="single" w:sz="8" w:color="0077C0"/>
            </w:tcBorders>
            <w:shd w:val="clear" w:color="auto" w:fill="E8EFF9"/>
          </w:tcPr>
          <w:p>
            <w:pPr>
              <w:spacing w:after="0"/>
              <w:rPr>
                <w:sz w:val="18"/>
                <w:szCs w:val="18"/>
                <w:color w:val="auto"/>
              </w:rPr>
            </w:pPr>
          </w:p>
        </w:tc>
        <w:tc>
          <w:tcPr>
            <w:tcW w:w="300" w:type="dxa"/>
            <w:vAlign w:val="bottom"/>
            <w:tcBorders>
              <w:bottom w:val="single" w:sz="8" w:color="0077C0"/>
            </w:tcBorders>
            <w:shd w:val="clear" w:color="auto" w:fill="E8EFF9"/>
          </w:tcPr>
          <w:p>
            <w:pPr>
              <w:spacing w:after="0"/>
              <w:rPr>
                <w:sz w:val="18"/>
                <w:szCs w:val="18"/>
                <w:color w:val="auto"/>
              </w:rPr>
            </w:pPr>
          </w:p>
        </w:tc>
        <w:tc>
          <w:tcPr>
            <w:tcW w:w="78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400" w:type="dxa"/>
            <w:vAlign w:val="bottom"/>
            <w:tcBorders>
              <w:bottom w:val="single" w:sz="8" w:color="0077C0"/>
            </w:tcBorders>
            <w:shd w:val="clear" w:color="auto" w:fill="E8EFF9"/>
          </w:tcPr>
          <w:p>
            <w:pPr>
              <w:spacing w:after="0"/>
              <w:rPr>
                <w:sz w:val="18"/>
                <w:szCs w:val="18"/>
                <w:color w:val="auto"/>
              </w:rPr>
            </w:pPr>
          </w:p>
        </w:tc>
        <w:tc>
          <w:tcPr>
            <w:tcW w:w="8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20" w:type="dxa"/>
            <w:vAlign w:val="bottom"/>
          </w:tcPr>
          <w:p>
            <w:pPr>
              <w:spacing w:after="0"/>
              <w:rPr>
                <w:sz w:val="18"/>
                <w:szCs w:val="18"/>
                <w:color w:val="auto"/>
              </w:rPr>
            </w:pPr>
          </w:p>
        </w:tc>
        <w:tc>
          <w:tcPr>
            <w:tcW w:w="7260" w:type="dxa"/>
            <w:vAlign w:val="bottom"/>
            <w:shd w:val="clear" w:color="auto" w:fill="E8EFF9"/>
          </w:tcPr>
          <w:p>
            <w:pPr>
              <w:ind w:left="20"/>
              <w:spacing w:after="0"/>
              <w:rPr>
                <w:sz w:val="20"/>
                <w:szCs w:val="20"/>
                <w:color w:val="auto"/>
              </w:rPr>
            </w:pPr>
            <w:r>
              <w:rPr>
                <w:rFonts w:ascii="Times New Roman" w:cs="Times New Roman" w:eastAsia="Times New Roman" w:hAnsi="Times New Roman"/>
                <w:sz w:val="16"/>
                <w:szCs w:val="16"/>
                <w:b w:val="1"/>
                <w:bCs w:val="1"/>
                <w:color w:val="0077C0"/>
              </w:rPr>
              <w:t>Net Change in Cash, Cash Equivalents and Restricted Cash</w:t>
            </w:r>
          </w:p>
        </w:tc>
        <w:tc>
          <w:tcPr>
            <w:tcW w:w="300" w:type="dxa"/>
            <w:vAlign w:val="bottom"/>
            <w:shd w:val="clear" w:color="auto" w:fill="E8EFF9"/>
          </w:tcPr>
          <w:p>
            <w:pPr>
              <w:spacing w:after="0"/>
              <w:rPr>
                <w:sz w:val="18"/>
                <w:szCs w:val="18"/>
                <w:color w:val="auto"/>
              </w:rPr>
            </w:pPr>
          </w:p>
        </w:tc>
        <w:tc>
          <w:tcPr>
            <w:tcW w:w="7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(1,013)</w:t>
            </w:r>
          </w:p>
        </w:tc>
        <w:tc>
          <w:tcPr>
            <w:tcW w:w="160" w:type="dxa"/>
            <w:vAlign w:val="bottom"/>
            <w:tcBorders>
              <w:right w:val="single" w:sz="8" w:color="0077C0"/>
            </w:tcBorders>
            <w:shd w:val="clear" w:color="auto" w:fill="E8EFF9"/>
          </w:tcPr>
          <w:p>
            <w:pPr>
              <w:spacing w:after="0"/>
              <w:rPr>
                <w:sz w:val="18"/>
                <w:szCs w:val="18"/>
                <w:color w:val="auto"/>
              </w:rPr>
            </w:pPr>
          </w:p>
        </w:tc>
        <w:tc>
          <w:tcPr>
            <w:tcW w:w="300" w:type="dxa"/>
            <w:vAlign w:val="bottom"/>
            <w:shd w:val="clear" w:color="auto" w:fill="E8EFF9"/>
          </w:tcPr>
          <w:p>
            <w:pPr>
              <w:spacing w:after="0"/>
              <w:rPr>
                <w:sz w:val="18"/>
                <w:szCs w:val="18"/>
                <w:color w:val="auto"/>
              </w:rPr>
            </w:pPr>
          </w:p>
        </w:tc>
        <w:tc>
          <w:tcPr>
            <w:tcW w:w="78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(9,846)</w:t>
            </w:r>
          </w:p>
        </w:tc>
        <w:tc>
          <w:tcPr>
            <w:tcW w:w="400" w:type="dxa"/>
            <w:vAlign w:val="bottom"/>
            <w:shd w:val="clear" w:color="auto" w:fill="E8EFF9"/>
          </w:tcPr>
          <w:p>
            <w:pPr>
              <w:spacing w:after="0"/>
              <w:rPr>
                <w:sz w:val="18"/>
                <w:szCs w:val="18"/>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12,326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20" w:type="dxa"/>
            <w:vAlign w:val="bottom"/>
          </w:tcPr>
          <w:p>
            <w:pPr>
              <w:spacing w:after="0"/>
              <w:rPr>
                <w:sz w:val="18"/>
                <w:szCs w:val="18"/>
                <w:color w:val="auto"/>
              </w:rPr>
            </w:pPr>
          </w:p>
        </w:tc>
        <w:tc>
          <w:tcPr>
            <w:tcW w:w="7260" w:type="dxa"/>
            <w:vAlign w:val="bottom"/>
            <w:tcBorders>
              <w:bottom w:val="single" w:sz="8" w:color="0077C0"/>
            </w:tcBorders>
            <w:shd w:val="clear" w:color="auto" w:fill="E8EFF9"/>
          </w:tcPr>
          <w:p>
            <w:pPr>
              <w:ind w:left="20"/>
              <w:spacing w:after="0"/>
              <w:rPr>
                <w:sz w:val="20"/>
                <w:szCs w:val="20"/>
                <w:color w:val="auto"/>
              </w:rPr>
            </w:pPr>
            <w:r>
              <w:rPr>
                <w:rFonts w:ascii="Times New Roman" w:cs="Times New Roman" w:eastAsia="Times New Roman" w:hAnsi="Times New Roman"/>
                <w:sz w:val="16"/>
                <w:szCs w:val="16"/>
                <w:b w:val="1"/>
                <w:bCs w:val="1"/>
                <w:color w:val="0077C0"/>
              </w:rPr>
              <w:t>Cash, Cash Equivalents and Restricted Cash at January 1</w:t>
            </w:r>
          </w:p>
        </w:tc>
        <w:tc>
          <w:tcPr>
            <w:tcW w:w="300" w:type="dxa"/>
            <w:vAlign w:val="bottom"/>
            <w:tcBorders>
              <w:bottom w:val="single" w:sz="8" w:color="0077C0"/>
            </w:tcBorders>
            <w:shd w:val="clear" w:color="auto" w:fill="E8EFF9"/>
          </w:tcPr>
          <w:p>
            <w:pPr>
              <w:spacing w:after="0"/>
              <w:rPr>
                <w:sz w:val="18"/>
                <w:szCs w:val="18"/>
                <w:color w:val="auto"/>
              </w:rPr>
            </w:pPr>
          </w:p>
        </w:tc>
        <w:tc>
          <w:tcPr>
            <w:tcW w:w="74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9,275</w:t>
            </w:r>
          </w:p>
        </w:tc>
        <w:tc>
          <w:tcPr>
            <w:tcW w:w="160" w:type="dxa"/>
            <w:vAlign w:val="bottom"/>
            <w:tcBorders>
              <w:bottom w:val="single" w:sz="8" w:color="0077C0"/>
              <w:right w:val="single" w:sz="8" w:color="0077C0"/>
            </w:tcBorders>
            <w:shd w:val="clear" w:color="auto" w:fill="E8EFF9"/>
          </w:tcPr>
          <w:p>
            <w:pPr>
              <w:spacing w:after="0"/>
              <w:rPr>
                <w:sz w:val="18"/>
                <w:szCs w:val="18"/>
                <w:color w:val="auto"/>
              </w:rPr>
            </w:pPr>
          </w:p>
        </w:tc>
        <w:tc>
          <w:tcPr>
            <w:tcW w:w="300" w:type="dxa"/>
            <w:vAlign w:val="bottom"/>
            <w:tcBorders>
              <w:bottom w:val="single" w:sz="8" w:color="0077C0"/>
            </w:tcBorders>
            <w:shd w:val="clear" w:color="auto" w:fill="E8EFF9"/>
          </w:tcPr>
          <w:p>
            <w:pPr>
              <w:spacing w:after="0"/>
              <w:rPr>
                <w:sz w:val="18"/>
                <w:szCs w:val="18"/>
                <w:color w:val="auto"/>
              </w:rPr>
            </w:pPr>
          </w:p>
        </w:tc>
        <w:tc>
          <w:tcPr>
            <w:tcW w:w="78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19,121</w:t>
            </w:r>
          </w:p>
        </w:tc>
        <w:tc>
          <w:tcPr>
            <w:tcW w:w="400" w:type="dxa"/>
            <w:vAlign w:val="bottom"/>
            <w:tcBorders>
              <w:bottom w:val="single" w:sz="8" w:color="0077C0"/>
            </w:tcBorders>
            <w:shd w:val="clear" w:color="auto" w:fill="E8EFF9"/>
          </w:tcPr>
          <w:p>
            <w:pPr>
              <w:spacing w:after="0"/>
              <w:rPr>
                <w:sz w:val="18"/>
                <w:szCs w:val="18"/>
                <w:color w:val="auto"/>
              </w:rPr>
            </w:pPr>
          </w:p>
        </w:tc>
        <w:tc>
          <w:tcPr>
            <w:tcW w:w="8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6,795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7260" w:type="dxa"/>
            <w:vAlign w:val="bottom"/>
            <w:tcBorders>
              <w:bottom w:val="single" w:sz="8" w:color="0077C0"/>
            </w:tcBorders>
            <w:shd w:val="clear" w:color="auto" w:fill="E8EFF9"/>
          </w:tcPr>
          <w:p>
            <w:pPr>
              <w:ind w:left="20"/>
              <w:spacing w:after="0"/>
              <w:rPr>
                <w:sz w:val="20"/>
                <w:szCs w:val="20"/>
                <w:color w:val="auto"/>
              </w:rPr>
            </w:pPr>
            <w:r>
              <w:rPr>
                <w:rFonts w:ascii="Times New Roman" w:cs="Times New Roman" w:eastAsia="Times New Roman" w:hAnsi="Times New Roman"/>
                <w:sz w:val="16"/>
                <w:szCs w:val="16"/>
                <w:b w:val="1"/>
                <w:bCs w:val="1"/>
                <w:color w:val="0077C0"/>
              </w:rPr>
              <w:t>Cash, Cash Equivalents and Restricted Cash at December 31</w:t>
            </w:r>
          </w:p>
        </w:tc>
        <w:tc>
          <w:tcPr>
            <w:tcW w:w="300" w:type="dxa"/>
            <w:vAlign w:val="bottom"/>
            <w:tcBorders>
              <w:bottom w:val="single" w:sz="8" w:color="0077C0"/>
            </w:tcBorders>
            <w:shd w:val="clear" w:color="auto" w:fill="E8EFF9"/>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b w:val="1"/>
                <w:bCs w:val="1"/>
                <w:color w:val="auto"/>
              </w:rPr>
              <w:t>8,262</w:t>
            </w:r>
          </w:p>
        </w:tc>
        <w:tc>
          <w:tcPr>
            <w:tcW w:w="160" w:type="dxa"/>
            <w:vAlign w:val="bottom"/>
            <w:tcBorders>
              <w:bottom w:val="single" w:sz="8" w:color="0077C0"/>
              <w:right w:val="single" w:sz="8" w:color="0077C0"/>
            </w:tcBorders>
            <w:shd w:val="clear" w:color="auto" w:fill="E8EFF9"/>
          </w:tcPr>
          <w:p>
            <w:pPr>
              <w:spacing w:after="0"/>
              <w:rPr>
                <w:sz w:val="18"/>
                <w:szCs w:val="18"/>
                <w:color w:val="auto"/>
              </w:rPr>
            </w:pPr>
          </w:p>
        </w:tc>
        <w:tc>
          <w:tcPr>
            <w:tcW w:w="300" w:type="dxa"/>
            <w:vAlign w:val="bottom"/>
            <w:tcBorders>
              <w:bottom w:val="single" w:sz="8" w:color="0077C0"/>
            </w:tcBorders>
            <w:shd w:val="clear" w:color="auto" w:fill="E8EFF9"/>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9,275</w:t>
            </w:r>
          </w:p>
        </w:tc>
        <w:tc>
          <w:tcPr>
            <w:tcW w:w="400" w:type="dxa"/>
            <w:vAlign w:val="bottom"/>
            <w:tcBorders>
              <w:bottom w:val="single" w:sz="8" w:color="0077C0"/>
            </w:tcBorders>
            <w:shd w:val="clear" w:color="auto" w:fill="E8EFF9"/>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6"/>
                <w:szCs w:val="16"/>
                <w:color w:val="auto"/>
              </w:rPr>
              <w:t>19,121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-5168265</wp:posOffset>
            </wp:positionV>
            <wp:extent cx="7132320" cy="71062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7106285"/>
                    </a:xfrm>
                    <a:prstGeom prst="rect">
                      <a:avLst/>
                    </a:prstGeom>
                    <a:noFill/>
                  </pic:spPr>
                </pic:pic>
              </a:graphicData>
            </a:graphic>
          </wp:anchor>
        </w:drawing>
      </w:r>
    </w:p>
    <w:p>
      <w:pPr>
        <w:ind w:left="240"/>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9"/>
        </w:trPr>
        <w:tc>
          <w:tcPr>
            <w:tcW w:w="2940" w:type="dxa"/>
            <w:vAlign w:val="bottom"/>
            <w:gridSpan w:val="2"/>
          </w:tcPr>
          <w:p>
            <w:pPr>
              <w:spacing w:after="0"/>
              <w:rPr>
                <w:sz w:val="20"/>
                <w:szCs w:val="20"/>
                <w:color w:val="auto"/>
              </w:rPr>
            </w:pPr>
            <w:r>
              <w:rPr>
                <w:rFonts w:ascii="Arial" w:cs="Arial" w:eastAsia="Arial" w:hAnsi="Arial"/>
                <w:sz w:val="18"/>
                <w:szCs w:val="18"/>
                <w:color w:val="0077C0"/>
              </w:rPr>
              <w:t>Consolidated Statement of Equity</w:t>
            </w: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gridSpan w:val="4"/>
          </w:tcPr>
          <w:p>
            <w:pPr>
              <w:jc w:val="right"/>
              <w:ind w:right="37"/>
              <w:spacing w:after="0"/>
              <w:rPr>
                <w:sz w:val="20"/>
                <w:szCs w:val="20"/>
                <w:color w:val="auto"/>
              </w:rPr>
            </w:pPr>
            <w:r>
              <w:rPr>
                <w:rFonts w:ascii="Arial" w:cs="Arial" w:eastAsia="Arial" w:hAnsi="Arial"/>
                <w:sz w:val="14"/>
                <w:szCs w:val="14"/>
                <w:color w:val="0077C0"/>
              </w:rPr>
              <w:t>Financial Table of Contents</w:t>
            </w:r>
          </w:p>
        </w:tc>
      </w:tr>
      <w:tr>
        <w:trPr>
          <w:trHeight w:val="190"/>
        </w:trPr>
        <w:tc>
          <w:tcPr>
            <w:tcW w:w="2940" w:type="dxa"/>
            <w:vAlign w:val="bottom"/>
            <w:gridSpan w:val="2"/>
          </w:tcPr>
          <w:p>
            <w:pPr>
              <w:spacing w:after="0"/>
              <w:rPr>
                <w:sz w:val="20"/>
                <w:szCs w:val="20"/>
                <w:color w:val="auto"/>
              </w:rPr>
            </w:pPr>
            <w:r>
              <w:rPr>
                <w:rFonts w:ascii="Arial" w:cs="Arial" w:eastAsia="Arial" w:hAnsi="Arial"/>
                <w:sz w:val="14"/>
                <w:szCs w:val="14"/>
                <w:color w:val="0077C0"/>
              </w:rPr>
              <w:t>Millions of dollars, except per-share amounts</w:t>
            </w: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548"/>
        </w:trPr>
        <w:tc>
          <w:tcPr>
            <w:tcW w:w="2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6"/>
        </w:trPr>
        <w:tc>
          <w:tcPr>
            <w:tcW w:w="2520" w:type="dxa"/>
            <w:vAlign w:val="bottom"/>
            <w:shd w:val="clear" w:color="auto" w:fill="E8EFF9"/>
          </w:tcPr>
          <w:p>
            <w:pPr>
              <w:spacing w:after="0"/>
              <w:rPr>
                <w:sz w:val="14"/>
                <w:szCs w:val="14"/>
                <w:color w:val="auto"/>
              </w:rPr>
            </w:pPr>
          </w:p>
        </w:tc>
        <w:tc>
          <w:tcPr>
            <w:tcW w:w="420" w:type="dxa"/>
            <w:vAlign w:val="bottom"/>
            <w:shd w:val="clear" w:color="auto" w:fill="E8EFF9"/>
          </w:tcPr>
          <w:p>
            <w:pPr>
              <w:spacing w:after="0"/>
              <w:rPr>
                <w:sz w:val="14"/>
                <w:szCs w:val="14"/>
                <w:color w:val="auto"/>
              </w:rPr>
            </w:pPr>
          </w:p>
        </w:tc>
        <w:tc>
          <w:tcPr>
            <w:tcW w:w="600" w:type="dxa"/>
            <w:vAlign w:val="bottom"/>
            <w:shd w:val="clear" w:color="auto" w:fill="E8EFF9"/>
          </w:tcPr>
          <w:p>
            <w:pPr>
              <w:spacing w:after="0"/>
              <w:rPr>
                <w:sz w:val="14"/>
                <w:szCs w:val="14"/>
                <w:color w:val="auto"/>
              </w:rPr>
            </w:pPr>
          </w:p>
        </w:tc>
        <w:tc>
          <w:tcPr>
            <w:tcW w:w="260" w:type="dxa"/>
            <w:vAlign w:val="bottom"/>
            <w:shd w:val="clear" w:color="auto" w:fill="E8EFF9"/>
          </w:tcPr>
          <w:p>
            <w:pPr>
              <w:spacing w:after="0"/>
              <w:rPr>
                <w:sz w:val="14"/>
                <w:szCs w:val="14"/>
                <w:color w:val="auto"/>
              </w:rPr>
            </w:pPr>
          </w:p>
        </w:tc>
        <w:tc>
          <w:tcPr>
            <w:tcW w:w="980" w:type="dxa"/>
            <w:vAlign w:val="bottom"/>
            <w:shd w:val="clear" w:color="auto" w:fill="E8EFF9"/>
          </w:tcPr>
          <w:p>
            <w:pPr>
              <w:spacing w:after="0"/>
              <w:rPr>
                <w:sz w:val="14"/>
                <w:szCs w:val="14"/>
                <w:color w:val="auto"/>
              </w:rPr>
            </w:pPr>
          </w:p>
        </w:tc>
        <w:tc>
          <w:tcPr>
            <w:tcW w:w="240" w:type="dxa"/>
            <w:vAlign w:val="bottom"/>
            <w:shd w:val="clear" w:color="auto" w:fill="E8EFF9"/>
          </w:tcPr>
          <w:p>
            <w:pPr>
              <w:spacing w:after="0"/>
              <w:rPr>
                <w:sz w:val="14"/>
                <w:szCs w:val="14"/>
                <w:color w:val="auto"/>
              </w:rPr>
            </w:pPr>
          </w:p>
        </w:tc>
        <w:tc>
          <w:tcPr>
            <w:tcW w:w="10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b w:val="1"/>
                <w:bCs w:val="1"/>
                <w:color w:val="auto"/>
              </w:rPr>
              <w:t>Acc. Other</w:t>
            </w:r>
          </w:p>
        </w:tc>
        <w:tc>
          <w:tcPr>
            <w:tcW w:w="300" w:type="dxa"/>
            <w:vAlign w:val="bottom"/>
            <w:shd w:val="clear" w:color="auto" w:fill="E8EFF9"/>
          </w:tcPr>
          <w:p>
            <w:pPr>
              <w:spacing w:after="0"/>
              <w:rPr>
                <w:sz w:val="14"/>
                <w:szCs w:val="14"/>
                <w:color w:val="auto"/>
              </w:rPr>
            </w:pPr>
          </w:p>
        </w:tc>
        <w:tc>
          <w:tcPr>
            <w:tcW w:w="9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300" w:type="dxa"/>
            <w:vAlign w:val="bottom"/>
            <w:shd w:val="clear" w:color="auto" w:fill="E8EFF9"/>
          </w:tcPr>
          <w:p>
            <w:pPr>
              <w:spacing w:after="0"/>
              <w:rPr>
                <w:sz w:val="14"/>
                <w:szCs w:val="14"/>
                <w:color w:val="auto"/>
              </w:rPr>
            </w:pPr>
          </w:p>
        </w:tc>
        <w:tc>
          <w:tcPr>
            <w:tcW w:w="1080" w:type="dxa"/>
            <w:vAlign w:val="bottom"/>
            <w:tcBorders>
              <w:right w:val="single" w:sz="8" w:color="E8EFF9"/>
            </w:tcBorders>
            <w:shd w:val="clear" w:color="auto" w:fill="E8EFF9"/>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Chevron Corp.</w:t>
            </w:r>
          </w:p>
        </w:tc>
        <w:tc>
          <w:tcPr>
            <w:tcW w:w="220" w:type="dxa"/>
            <w:vAlign w:val="bottom"/>
            <w:shd w:val="clear" w:color="auto" w:fill="E8EFF9"/>
          </w:tcPr>
          <w:p>
            <w:pPr>
              <w:spacing w:after="0"/>
              <w:rPr>
                <w:sz w:val="14"/>
                <w:szCs w:val="14"/>
                <w:color w:val="auto"/>
              </w:rPr>
            </w:pPr>
          </w:p>
        </w:tc>
        <w:tc>
          <w:tcPr>
            <w:tcW w:w="1000" w:type="dxa"/>
            <w:vAlign w:val="bottom"/>
            <w:shd w:val="clear" w:color="auto" w:fill="E8EFF9"/>
          </w:tcPr>
          <w:p>
            <w:pPr>
              <w:spacing w:after="0"/>
              <w:rPr>
                <w:sz w:val="14"/>
                <w:szCs w:val="14"/>
                <w:color w:val="auto"/>
              </w:rPr>
            </w:pPr>
          </w:p>
        </w:tc>
        <w:tc>
          <w:tcPr>
            <w:tcW w:w="120" w:type="dxa"/>
            <w:vAlign w:val="bottom"/>
            <w:tcBorders>
              <w:right w:val="single" w:sz="8" w:color="E8EFF9"/>
            </w:tcBorders>
            <w:shd w:val="clear" w:color="auto" w:fill="E8EFF9"/>
          </w:tcPr>
          <w:p>
            <w:pPr>
              <w:spacing w:after="0"/>
              <w:rPr>
                <w:sz w:val="14"/>
                <w:szCs w:val="14"/>
                <w:color w:val="auto"/>
              </w:rPr>
            </w:pPr>
          </w:p>
        </w:tc>
        <w:tc>
          <w:tcPr>
            <w:tcW w:w="420" w:type="dxa"/>
            <w:vAlign w:val="bottom"/>
            <w:shd w:val="clear" w:color="auto" w:fill="E8EFF9"/>
          </w:tcPr>
          <w:p>
            <w:pPr>
              <w:spacing w:after="0"/>
              <w:rPr>
                <w:sz w:val="14"/>
                <w:szCs w:val="14"/>
                <w:color w:val="auto"/>
              </w:rPr>
            </w:pPr>
          </w:p>
        </w:tc>
        <w:tc>
          <w:tcPr>
            <w:tcW w:w="800" w:type="dxa"/>
            <w:vAlign w:val="bottom"/>
            <w:shd w:val="clear" w:color="auto" w:fill="E8EFF9"/>
          </w:tcPr>
          <w:p>
            <w:pPr>
              <w:spacing w:after="0"/>
              <w:rPr>
                <w:sz w:val="14"/>
                <w:szCs w:val="14"/>
                <w:color w:val="auto"/>
              </w:rPr>
            </w:pPr>
          </w:p>
        </w:tc>
      </w:tr>
      <w:tr>
        <w:trPr>
          <w:trHeight w:val="169"/>
        </w:trPr>
        <w:tc>
          <w:tcPr>
            <w:tcW w:w="2520" w:type="dxa"/>
            <w:vAlign w:val="bottom"/>
            <w:shd w:val="clear" w:color="auto" w:fill="E8EFF9"/>
          </w:tcPr>
          <w:p>
            <w:pPr>
              <w:spacing w:after="0"/>
              <w:rPr>
                <w:sz w:val="14"/>
                <w:szCs w:val="14"/>
                <w:color w:val="auto"/>
              </w:rPr>
            </w:pPr>
          </w:p>
        </w:tc>
        <w:tc>
          <w:tcPr>
            <w:tcW w:w="420" w:type="dxa"/>
            <w:vAlign w:val="bottom"/>
            <w:shd w:val="clear" w:color="auto" w:fill="E8EFF9"/>
          </w:tcPr>
          <w:p>
            <w:pPr>
              <w:spacing w:after="0"/>
              <w:rPr>
                <w:sz w:val="14"/>
                <w:szCs w:val="14"/>
                <w:color w:val="auto"/>
              </w:rPr>
            </w:pPr>
          </w:p>
        </w:tc>
        <w:tc>
          <w:tcPr>
            <w:tcW w:w="6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260" w:type="dxa"/>
            <w:vAlign w:val="bottom"/>
            <w:shd w:val="clear" w:color="auto" w:fill="E8EFF9"/>
          </w:tcPr>
          <w:p>
            <w:pPr>
              <w:spacing w:after="0"/>
              <w:rPr>
                <w:sz w:val="14"/>
                <w:szCs w:val="14"/>
                <w:color w:val="auto"/>
              </w:rPr>
            </w:pPr>
          </w:p>
        </w:tc>
        <w:tc>
          <w:tcPr>
            <w:tcW w:w="98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240" w:type="dxa"/>
            <w:vAlign w:val="bottom"/>
            <w:shd w:val="clear" w:color="auto" w:fill="E8EFF9"/>
          </w:tcPr>
          <w:p>
            <w:pPr>
              <w:spacing w:after="0"/>
              <w:rPr>
                <w:sz w:val="14"/>
                <w:szCs w:val="14"/>
                <w:color w:val="auto"/>
              </w:rPr>
            </w:pPr>
          </w:p>
        </w:tc>
        <w:tc>
          <w:tcPr>
            <w:tcW w:w="10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300" w:type="dxa"/>
            <w:vAlign w:val="bottom"/>
            <w:shd w:val="clear" w:color="auto" w:fill="E8EFF9"/>
          </w:tcPr>
          <w:p>
            <w:pPr>
              <w:spacing w:after="0"/>
              <w:rPr>
                <w:sz w:val="14"/>
                <w:szCs w:val="14"/>
                <w:color w:val="auto"/>
              </w:rPr>
            </w:pPr>
          </w:p>
        </w:tc>
        <w:tc>
          <w:tcPr>
            <w:tcW w:w="9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b w:val="1"/>
                <w:bCs w:val="1"/>
                <w:color w:val="auto"/>
              </w:rPr>
              <w:t>Stock</w:t>
            </w:r>
          </w:p>
        </w:tc>
        <w:tc>
          <w:tcPr>
            <w:tcW w:w="300" w:type="dxa"/>
            <w:vAlign w:val="bottom"/>
            <w:shd w:val="clear" w:color="auto" w:fill="E8EFF9"/>
          </w:tcPr>
          <w:p>
            <w:pPr>
              <w:spacing w:after="0"/>
              <w:rPr>
                <w:sz w:val="14"/>
                <w:szCs w:val="14"/>
                <w:color w:val="auto"/>
              </w:rPr>
            </w:pPr>
          </w:p>
        </w:tc>
        <w:tc>
          <w:tcPr>
            <w:tcW w:w="1080" w:type="dxa"/>
            <w:vAlign w:val="bottom"/>
            <w:tcBorders>
              <w:right w:val="single" w:sz="8" w:color="E8EFF9"/>
            </w:tcBorders>
            <w:shd w:val="clear" w:color="auto" w:fill="E8EFF9"/>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220" w:type="dxa"/>
            <w:vAlign w:val="bottom"/>
            <w:shd w:val="clear" w:color="auto" w:fill="E8EFF9"/>
          </w:tcPr>
          <w:p>
            <w:pPr>
              <w:spacing w:after="0"/>
              <w:rPr>
                <w:sz w:val="14"/>
                <w:szCs w:val="14"/>
                <w:color w:val="auto"/>
              </w:rPr>
            </w:pPr>
          </w:p>
        </w:tc>
        <w:tc>
          <w:tcPr>
            <w:tcW w:w="10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120" w:type="dxa"/>
            <w:vAlign w:val="bottom"/>
            <w:tcBorders>
              <w:right w:val="single" w:sz="8" w:color="E8EFF9"/>
            </w:tcBorders>
            <w:shd w:val="clear" w:color="auto" w:fill="E8EFF9"/>
          </w:tcPr>
          <w:p>
            <w:pPr>
              <w:spacing w:after="0"/>
              <w:rPr>
                <w:sz w:val="14"/>
                <w:szCs w:val="14"/>
                <w:color w:val="auto"/>
              </w:rPr>
            </w:pPr>
          </w:p>
        </w:tc>
        <w:tc>
          <w:tcPr>
            <w:tcW w:w="420" w:type="dxa"/>
            <w:vAlign w:val="bottom"/>
            <w:shd w:val="clear" w:color="auto" w:fill="E8EFF9"/>
          </w:tcPr>
          <w:p>
            <w:pPr>
              <w:spacing w:after="0"/>
              <w:rPr>
                <w:sz w:val="14"/>
                <w:szCs w:val="14"/>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92"/>
        </w:trPr>
        <w:tc>
          <w:tcPr>
            <w:tcW w:w="2520" w:type="dxa"/>
            <w:vAlign w:val="bottom"/>
            <w:tcBorders>
              <w:bottom w:val="single" w:sz="8" w:color="0077C0"/>
            </w:tcBorders>
            <w:shd w:val="clear" w:color="auto" w:fill="E8EFF9"/>
          </w:tcPr>
          <w:p>
            <w:pPr>
              <w:spacing w:after="0"/>
              <w:rPr>
                <w:sz w:val="16"/>
                <w:szCs w:val="16"/>
                <w:color w:val="auto"/>
              </w:rPr>
            </w:pPr>
          </w:p>
        </w:tc>
        <w:tc>
          <w:tcPr>
            <w:tcW w:w="420" w:type="dxa"/>
            <w:vAlign w:val="bottom"/>
            <w:tcBorders>
              <w:bottom w:val="single" w:sz="8" w:color="0077C0"/>
            </w:tcBorders>
            <w:shd w:val="clear" w:color="auto" w:fill="E8EFF9"/>
          </w:tcPr>
          <w:p>
            <w:pPr>
              <w:spacing w:after="0"/>
              <w:rPr>
                <w:sz w:val="16"/>
                <w:szCs w:val="16"/>
                <w:color w:val="auto"/>
              </w:rPr>
            </w:pPr>
          </w:p>
        </w:tc>
        <w:tc>
          <w:tcPr>
            <w:tcW w:w="6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b w:val="1"/>
                <w:bCs w:val="1"/>
                <w:color w:val="auto"/>
              </w:rPr>
              <w:t>Stock</w:t>
            </w:r>
            <w:r>
              <w:rPr>
                <w:rFonts w:ascii="Times New Roman" w:cs="Times New Roman" w:eastAsia="Times New Roman" w:hAnsi="Times New Roman"/>
                <w:sz w:val="16"/>
                <w:szCs w:val="16"/>
                <w:b w:val="1"/>
                <w:bCs w:val="1"/>
                <w:color w:val="auto"/>
                <w:vertAlign w:val="superscript"/>
              </w:rPr>
              <w:t>1</w:t>
            </w:r>
          </w:p>
        </w:tc>
        <w:tc>
          <w:tcPr>
            <w:tcW w:w="260" w:type="dxa"/>
            <w:vAlign w:val="bottom"/>
            <w:tcBorders>
              <w:bottom w:val="single" w:sz="8" w:color="0077C0"/>
            </w:tcBorders>
            <w:shd w:val="clear" w:color="auto" w:fill="E8EFF9"/>
          </w:tcPr>
          <w:p>
            <w:pPr>
              <w:spacing w:after="0"/>
              <w:rPr>
                <w:sz w:val="16"/>
                <w:szCs w:val="16"/>
                <w:color w:val="auto"/>
              </w:rPr>
            </w:pPr>
          </w:p>
        </w:tc>
        <w:tc>
          <w:tcPr>
            <w:tcW w:w="98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40" w:type="dxa"/>
            <w:vAlign w:val="bottom"/>
            <w:tcBorders>
              <w:bottom w:val="single" w:sz="8" w:color="0077C0"/>
            </w:tcBorders>
            <w:shd w:val="clear" w:color="auto" w:fill="E8EFF9"/>
          </w:tcPr>
          <w:p>
            <w:pPr>
              <w:spacing w:after="0"/>
              <w:rPr>
                <w:sz w:val="16"/>
                <w:szCs w:val="16"/>
                <w:color w:val="auto"/>
              </w:rPr>
            </w:pPr>
          </w:p>
        </w:tc>
        <w:tc>
          <w:tcPr>
            <w:tcW w:w="10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300" w:type="dxa"/>
            <w:vAlign w:val="bottom"/>
            <w:tcBorders>
              <w:bottom w:val="single" w:sz="8" w:color="0077C0"/>
            </w:tcBorders>
            <w:shd w:val="clear" w:color="auto" w:fill="E8EFF9"/>
          </w:tcPr>
          <w:p>
            <w:pPr>
              <w:spacing w:after="0"/>
              <w:rPr>
                <w:sz w:val="16"/>
                <w:szCs w:val="16"/>
                <w:color w:val="auto"/>
              </w:rPr>
            </w:pPr>
          </w:p>
        </w:tc>
        <w:tc>
          <w:tcPr>
            <w:tcW w:w="94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b w:val="1"/>
                <w:bCs w:val="1"/>
                <w:i w:val="1"/>
                <w:iCs w:val="1"/>
                <w:color w:val="auto"/>
              </w:rPr>
              <w:t>at cost</w:t>
            </w:r>
            <w:r>
              <w:rPr>
                <w:rFonts w:ascii="Times New Roman" w:cs="Times New Roman" w:eastAsia="Times New Roman" w:hAnsi="Times New Roman"/>
                <w:sz w:val="13"/>
                <w:szCs w:val="13"/>
                <w:b w:val="1"/>
                <w:bCs w:val="1"/>
                <w:color w:val="auto"/>
              </w:rPr>
              <w:t>)</w:t>
            </w:r>
          </w:p>
        </w:tc>
        <w:tc>
          <w:tcPr>
            <w:tcW w:w="300" w:type="dxa"/>
            <w:vAlign w:val="bottom"/>
            <w:tcBorders>
              <w:bottom w:val="single" w:sz="8" w:color="0077C0"/>
            </w:tcBorders>
            <w:shd w:val="clear" w:color="auto" w:fill="E8EFF9"/>
          </w:tcPr>
          <w:p>
            <w:pPr>
              <w:spacing w:after="0"/>
              <w:rPr>
                <w:sz w:val="16"/>
                <w:szCs w:val="16"/>
                <w:color w:val="auto"/>
              </w:rPr>
            </w:pPr>
          </w:p>
        </w:tc>
        <w:tc>
          <w:tcPr>
            <w:tcW w:w="1080" w:type="dxa"/>
            <w:vAlign w:val="bottom"/>
            <w:tcBorders>
              <w:bottom w:val="single" w:sz="8" w:color="0077C0"/>
              <w:right w:val="single" w:sz="8" w:color="E8EFF9"/>
            </w:tcBorders>
            <w:shd w:val="clear" w:color="auto" w:fill="E8EFF9"/>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220" w:type="dxa"/>
            <w:vAlign w:val="bottom"/>
            <w:tcBorders>
              <w:bottom w:val="single" w:sz="8" w:color="0077C0"/>
            </w:tcBorders>
            <w:shd w:val="clear" w:color="auto" w:fill="E8EFF9"/>
          </w:tcPr>
          <w:p>
            <w:pPr>
              <w:spacing w:after="0"/>
              <w:rPr>
                <w:sz w:val="16"/>
                <w:szCs w:val="16"/>
                <w:color w:val="auto"/>
              </w:rPr>
            </w:pPr>
          </w:p>
        </w:tc>
        <w:tc>
          <w:tcPr>
            <w:tcW w:w="10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120" w:type="dxa"/>
            <w:vAlign w:val="bottom"/>
            <w:tcBorders>
              <w:bottom w:val="single" w:sz="8" w:color="0077C0"/>
              <w:right w:val="single" w:sz="8" w:color="E8EFF9"/>
            </w:tcBorders>
            <w:shd w:val="clear" w:color="auto" w:fill="E8EFF9"/>
          </w:tcPr>
          <w:p>
            <w:pPr>
              <w:spacing w:after="0"/>
              <w:rPr>
                <w:sz w:val="16"/>
                <w:szCs w:val="16"/>
                <w:color w:val="auto"/>
              </w:rPr>
            </w:pPr>
          </w:p>
        </w:tc>
        <w:tc>
          <w:tcPr>
            <w:tcW w:w="420" w:type="dxa"/>
            <w:vAlign w:val="bottom"/>
            <w:tcBorders>
              <w:bottom w:val="single" w:sz="8" w:color="0077C0"/>
            </w:tcBorders>
            <w:shd w:val="clear" w:color="auto" w:fill="E8EFF9"/>
          </w:tcPr>
          <w:p>
            <w:pPr>
              <w:spacing w:after="0"/>
              <w:rPr>
                <w:sz w:val="16"/>
                <w:szCs w:val="16"/>
                <w:color w:val="auto"/>
              </w:rPr>
            </w:pPr>
          </w:p>
        </w:tc>
        <w:tc>
          <w:tcPr>
            <w:tcW w:w="8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64"/>
        </w:trPr>
        <w:tc>
          <w:tcPr>
            <w:tcW w:w="2520" w:type="dxa"/>
            <w:vAlign w:val="bottom"/>
            <w:tcBorders>
              <w:bottom w:val="single" w:sz="8" w:color="0077C0"/>
            </w:tcBorders>
            <w:shd w:val="clear" w:color="auto" w:fill="E8EFF9"/>
          </w:tcPr>
          <w:p>
            <w:pPr>
              <w:ind w:left="20"/>
              <w:spacing w:after="0"/>
              <w:rPr>
                <w:sz w:val="20"/>
                <w:szCs w:val="20"/>
                <w:color w:val="auto"/>
              </w:rPr>
            </w:pPr>
            <w:r>
              <w:rPr>
                <w:rFonts w:ascii="Times New Roman" w:cs="Times New Roman" w:eastAsia="Times New Roman" w:hAnsi="Times New Roman"/>
                <w:sz w:val="13"/>
                <w:szCs w:val="13"/>
                <w:b w:val="1"/>
                <w:bCs w:val="1"/>
                <w:color w:val="0077C0"/>
              </w:rPr>
              <w:t>Balance at December 31, 2021</w:t>
            </w:r>
          </w:p>
        </w:tc>
        <w:tc>
          <w:tcPr>
            <w:tcW w:w="420" w:type="dxa"/>
            <w:vAlign w:val="bottom"/>
            <w:tcBorders>
              <w:bottom w:val="single" w:sz="8" w:color="0077C0"/>
            </w:tcBorders>
            <w:shd w:val="clear" w:color="auto" w:fill="E8EFF9"/>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b w:val="1"/>
                <w:bCs w:val="1"/>
                <w:color w:val="auto"/>
              </w:rPr>
              <w:t>18,874</w:t>
            </w:r>
          </w:p>
        </w:tc>
        <w:tc>
          <w:tcPr>
            <w:tcW w:w="260" w:type="dxa"/>
            <w:vAlign w:val="bottom"/>
            <w:tcBorders>
              <w:bottom w:val="single" w:sz="8" w:color="0077C0"/>
            </w:tcBorders>
            <w:shd w:val="clear" w:color="auto" w:fill="E8EFF9"/>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b w:val="1"/>
                <w:bCs w:val="1"/>
                <w:color w:val="auto"/>
              </w:rPr>
              <w:t>165,546</w:t>
            </w:r>
          </w:p>
        </w:tc>
        <w:tc>
          <w:tcPr>
            <w:tcW w:w="240" w:type="dxa"/>
            <w:vAlign w:val="bottom"/>
            <w:tcBorders>
              <w:bottom w:val="single" w:sz="8" w:color="0077C0"/>
            </w:tcBorders>
            <w:shd w:val="clear" w:color="auto" w:fill="E8EFF9"/>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b w:val="1"/>
                <w:bCs w:val="1"/>
                <w:color w:val="auto"/>
              </w:rPr>
              <w:t>(3,889)</w:t>
            </w:r>
          </w:p>
        </w:tc>
        <w:tc>
          <w:tcPr>
            <w:tcW w:w="300" w:type="dxa"/>
            <w:vAlign w:val="bottom"/>
            <w:tcBorders>
              <w:bottom w:val="single" w:sz="8" w:color="0077C0"/>
            </w:tcBorders>
            <w:shd w:val="clear" w:color="auto" w:fill="E8EFF9"/>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b w:val="1"/>
                <w:bCs w:val="1"/>
                <w:color w:val="auto"/>
              </w:rPr>
              <w:t>(41,464)</w:t>
            </w:r>
          </w:p>
        </w:tc>
        <w:tc>
          <w:tcPr>
            <w:tcW w:w="300" w:type="dxa"/>
            <w:vAlign w:val="bottom"/>
            <w:tcBorders>
              <w:bottom w:val="single" w:sz="8" w:color="0077C0"/>
            </w:tcBorders>
            <w:shd w:val="clear" w:color="auto" w:fill="E8EFF9"/>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bottom w:val="single" w:sz="8" w:color="0077C0"/>
              <w:right w:val="single" w:sz="8" w:color="0077C0"/>
            </w:tcBorders>
            <w:shd w:val="clear" w:color="auto" w:fill="E8EFF9"/>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139,067</w:t>
            </w:r>
          </w:p>
        </w:tc>
        <w:tc>
          <w:tcPr>
            <w:tcW w:w="220" w:type="dxa"/>
            <w:vAlign w:val="bottom"/>
            <w:tcBorders>
              <w:bottom w:val="single" w:sz="8" w:color="0077C0"/>
            </w:tcBorders>
            <w:shd w:val="clear" w:color="auto" w:fill="E8EFF9"/>
          </w:tcPr>
          <w:p>
            <w:pPr>
              <w:jc w:val="right"/>
              <w:ind w:right="10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b w:val="1"/>
                <w:bCs w:val="1"/>
                <w:color w:val="auto"/>
              </w:rPr>
              <w:t>873</w:t>
            </w:r>
          </w:p>
        </w:tc>
        <w:tc>
          <w:tcPr>
            <w:tcW w:w="120" w:type="dxa"/>
            <w:vAlign w:val="bottom"/>
            <w:tcBorders>
              <w:bottom w:val="single" w:sz="8" w:color="0077C0"/>
              <w:right w:val="single" w:sz="8" w:color="0077C0"/>
            </w:tcBorders>
            <w:shd w:val="clear" w:color="auto" w:fill="E8EFF9"/>
          </w:tcPr>
          <w:p>
            <w:pPr>
              <w:spacing w:after="0"/>
              <w:rPr>
                <w:sz w:val="14"/>
                <w:szCs w:val="14"/>
                <w:color w:val="auto"/>
              </w:rPr>
            </w:pPr>
          </w:p>
        </w:tc>
        <w:tc>
          <w:tcPr>
            <w:tcW w:w="420" w:type="dxa"/>
            <w:vAlign w:val="bottom"/>
            <w:tcBorders>
              <w:bottom w:val="single" w:sz="8" w:color="0077C0"/>
            </w:tcBorders>
            <w:shd w:val="clear" w:color="auto" w:fill="E8EFF9"/>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b w:val="1"/>
                <w:bCs w:val="1"/>
                <w:color w:val="auto"/>
              </w:rPr>
              <w:t>139,940</w:t>
            </w:r>
          </w:p>
        </w:tc>
      </w:tr>
      <w:tr>
        <w:trPr>
          <w:trHeight w:val="162"/>
        </w:trPr>
        <w:tc>
          <w:tcPr>
            <w:tcW w:w="2520" w:type="dxa"/>
            <w:vAlign w:val="bottom"/>
            <w:shd w:val="clear" w:color="auto" w:fill="E8EFF9"/>
          </w:tcPr>
          <w:p>
            <w:pPr>
              <w:ind w:left="140"/>
              <w:spacing w:after="0"/>
              <w:rPr>
                <w:sz w:val="20"/>
                <w:szCs w:val="20"/>
                <w:color w:val="auto"/>
              </w:rPr>
            </w:pPr>
            <w:r>
              <w:rPr>
                <w:rFonts w:ascii="Times New Roman" w:cs="Times New Roman" w:eastAsia="Times New Roman" w:hAnsi="Times New Roman"/>
                <w:sz w:val="13"/>
                <w:szCs w:val="13"/>
                <w:color w:val="auto"/>
              </w:rPr>
              <w:t>Treasury stock transactions</w:t>
            </w:r>
          </w:p>
        </w:tc>
        <w:tc>
          <w:tcPr>
            <w:tcW w:w="420" w:type="dxa"/>
            <w:vAlign w:val="bottom"/>
            <w:shd w:val="clear" w:color="auto" w:fill="E8EFF9"/>
          </w:tcPr>
          <w:p>
            <w:pPr>
              <w:spacing w:after="0"/>
              <w:rPr>
                <w:sz w:val="14"/>
                <w:szCs w:val="14"/>
                <w:color w:val="auto"/>
              </w:rPr>
            </w:pPr>
          </w:p>
        </w:tc>
        <w:tc>
          <w:tcPr>
            <w:tcW w:w="6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260" w:type="dxa"/>
            <w:vAlign w:val="bottom"/>
            <w:shd w:val="clear" w:color="auto" w:fill="E8EFF9"/>
          </w:tcPr>
          <w:p>
            <w:pPr>
              <w:spacing w:after="0"/>
              <w:rPr>
                <w:sz w:val="14"/>
                <w:szCs w:val="14"/>
                <w:color w:val="auto"/>
              </w:rPr>
            </w:pPr>
          </w:p>
        </w:tc>
        <w:tc>
          <w:tcPr>
            <w:tcW w:w="98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E8EFF9"/>
          </w:tcPr>
          <w:p>
            <w:pPr>
              <w:spacing w:after="0"/>
              <w:rPr>
                <w:sz w:val="14"/>
                <w:szCs w:val="14"/>
                <w:color w:val="auto"/>
              </w:rPr>
            </w:pPr>
          </w:p>
        </w:tc>
        <w:tc>
          <w:tcPr>
            <w:tcW w:w="10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E8EFF9"/>
          </w:tcPr>
          <w:p>
            <w:pPr>
              <w:spacing w:after="0"/>
              <w:rPr>
                <w:sz w:val="14"/>
                <w:szCs w:val="14"/>
                <w:color w:val="auto"/>
              </w:rPr>
            </w:pPr>
          </w:p>
        </w:tc>
        <w:tc>
          <w:tcPr>
            <w:tcW w:w="9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E8EFF9"/>
          </w:tcPr>
          <w:p>
            <w:pPr>
              <w:spacing w:after="0"/>
              <w:rPr>
                <w:sz w:val="14"/>
                <w:szCs w:val="14"/>
                <w:color w:val="auto"/>
              </w:rPr>
            </w:pPr>
          </w:p>
        </w:tc>
        <w:tc>
          <w:tcPr>
            <w:tcW w:w="1080" w:type="dxa"/>
            <w:vAlign w:val="bottom"/>
            <w:tcBorders>
              <w:right w:val="single" w:sz="8" w:color="0077C0"/>
            </w:tcBorders>
            <w:shd w:val="clear" w:color="auto" w:fill="E8EFF9"/>
          </w:tcPr>
          <w:p>
            <w:pPr>
              <w:jc w:val="right"/>
              <w:ind w:right="137"/>
              <w:spacing w:after="0"/>
              <w:rPr>
                <w:sz w:val="20"/>
                <w:szCs w:val="20"/>
                <w:color w:val="auto"/>
              </w:rPr>
            </w:pPr>
            <w:r>
              <w:rPr>
                <w:rFonts w:ascii="Times New Roman" w:cs="Times New Roman" w:eastAsia="Times New Roman" w:hAnsi="Times New Roman"/>
                <w:sz w:val="13"/>
                <w:szCs w:val="13"/>
                <w:color w:val="auto"/>
              </w:rPr>
              <w:t>63</w:t>
            </w:r>
          </w:p>
        </w:tc>
        <w:tc>
          <w:tcPr>
            <w:tcW w:w="220" w:type="dxa"/>
            <w:vAlign w:val="bottom"/>
            <w:shd w:val="clear" w:color="auto" w:fill="E8EFF9"/>
          </w:tcPr>
          <w:p>
            <w:pPr>
              <w:spacing w:after="0"/>
              <w:rPr>
                <w:sz w:val="14"/>
                <w:szCs w:val="14"/>
                <w:color w:val="auto"/>
              </w:rPr>
            </w:pPr>
          </w:p>
        </w:tc>
        <w:tc>
          <w:tcPr>
            <w:tcW w:w="10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0077C0"/>
            </w:tcBorders>
            <w:shd w:val="clear" w:color="auto" w:fill="E8EFF9"/>
          </w:tcPr>
          <w:p>
            <w:pPr>
              <w:spacing w:after="0"/>
              <w:rPr>
                <w:sz w:val="14"/>
                <w:szCs w:val="14"/>
                <w:color w:val="auto"/>
              </w:rPr>
            </w:pPr>
          </w:p>
        </w:tc>
        <w:tc>
          <w:tcPr>
            <w:tcW w:w="420" w:type="dxa"/>
            <w:vAlign w:val="bottom"/>
            <w:shd w:val="clear" w:color="auto" w:fill="E8EFF9"/>
          </w:tcPr>
          <w:p>
            <w:pPr>
              <w:spacing w:after="0"/>
              <w:rPr>
                <w:sz w:val="14"/>
                <w:szCs w:val="14"/>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171"/>
        </w:trPr>
        <w:tc>
          <w:tcPr>
            <w:tcW w:w="2520" w:type="dxa"/>
            <w:vAlign w:val="bottom"/>
            <w:shd w:val="clear" w:color="auto" w:fill="E8EFF9"/>
          </w:tcPr>
          <w:p>
            <w:pPr>
              <w:ind w:left="140"/>
              <w:spacing w:after="0"/>
              <w:rPr>
                <w:sz w:val="20"/>
                <w:szCs w:val="20"/>
                <w:color w:val="auto"/>
              </w:rPr>
            </w:pPr>
            <w:r>
              <w:rPr>
                <w:rFonts w:ascii="Times New Roman" w:cs="Times New Roman" w:eastAsia="Times New Roman" w:hAnsi="Times New Roman"/>
                <w:sz w:val="13"/>
                <w:szCs w:val="13"/>
                <w:color w:val="auto"/>
              </w:rPr>
              <w:t>Net income (loss)</w:t>
            </w:r>
          </w:p>
        </w:tc>
        <w:tc>
          <w:tcPr>
            <w:tcW w:w="420" w:type="dxa"/>
            <w:vAlign w:val="bottom"/>
            <w:shd w:val="clear" w:color="auto" w:fill="E8EFF9"/>
          </w:tcPr>
          <w:p>
            <w:pPr>
              <w:spacing w:after="0"/>
              <w:rPr>
                <w:sz w:val="14"/>
                <w:szCs w:val="14"/>
                <w:color w:val="auto"/>
              </w:rPr>
            </w:pPr>
          </w:p>
        </w:tc>
        <w:tc>
          <w:tcPr>
            <w:tcW w:w="6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E8EFF9"/>
          </w:tcPr>
          <w:p>
            <w:pPr>
              <w:spacing w:after="0"/>
              <w:rPr>
                <w:sz w:val="14"/>
                <w:szCs w:val="14"/>
                <w:color w:val="auto"/>
              </w:rPr>
            </w:pPr>
          </w:p>
        </w:tc>
        <w:tc>
          <w:tcPr>
            <w:tcW w:w="98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35,465</w:t>
            </w:r>
          </w:p>
        </w:tc>
        <w:tc>
          <w:tcPr>
            <w:tcW w:w="240" w:type="dxa"/>
            <w:vAlign w:val="bottom"/>
            <w:shd w:val="clear" w:color="auto" w:fill="E8EFF9"/>
          </w:tcPr>
          <w:p>
            <w:pPr>
              <w:spacing w:after="0"/>
              <w:rPr>
                <w:sz w:val="14"/>
                <w:szCs w:val="14"/>
                <w:color w:val="auto"/>
              </w:rPr>
            </w:pPr>
          </w:p>
        </w:tc>
        <w:tc>
          <w:tcPr>
            <w:tcW w:w="10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E8EFF9"/>
          </w:tcPr>
          <w:p>
            <w:pPr>
              <w:spacing w:after="0"/>
              <w:rPr>
                <w:sz w:val="14"/>
                <w:szCs w:val="14"/>
                <w:color w:val="auto"/>
              </w:rPr>
            </w:pPr>
          </w:p>
        </w:tc>
        <w:tc>
          <w:tcPr>
            <w:tcW w:w="9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E8EFF9"/>
          </w:tcPr>
          <w:p>
            <w:pPr>
              <w:spacing w:after="0"/>
              <w:rPr>
                <w:sz w:val="14"/>
                <w:szCs w:val="14"/>
                <w:color w:val="auto"/>
              </w:rPr>
            </w:pPr>
          </w:p>
        </w:tc>
        <w:tc>
          <w:tcPr>
            <w:tcW w:w="1080" w:type="dxa"/>
            <w:vAlign w:val="bottom"/>
            <w:tcBorders>
              <w:right w:val="single" w:sz="8" w:color="0077C0"/>
            </w:tcBorders>
            <w:shd w:val="clear" w:color="auto" w:fill="E8EFF9"/>
          </w:tcPr>
          <w:p>
            <w:pPr>
              <w:jc w:val="right"/>
              <w:ind w:right="137"/>
              <w:spacing w:after="0"/>
              <w:rPr>
                <w:sz w:val="20"/>
                <w:szCs w:val="20"/>
                <w:color w:val="auto"/>
              </w:rPr>
            </w:pPr>
            <w:r>
              <w:rPr>
                <w:rFonts w:ascii="Times New Roman" w:cs="Times New Roman" w:eastAsia="Times New Roman" w:hAnsi="Times New Roman"/>
                <w:sz w:val="13"/>
                <w:szCs w:val="13"/>
                <w:color w:val="auto"/>
              </w:rPr>
              <w:t>35,465</w:t>
            </w:r>
          </w:p>
        </w:tc>
        <w:tc>
          <w:tcPr>
            <w:tcW w:w="220" w:type="dxa"/>
            <w:vAlign w:val="bottom"/>
            <w:shd w:val="clear" w:color="auto" w:fill="E8EFF9"/>
          </w:tcPr>
          <w:p>
            <w:pPr>
              <w:spacing w:after="0"/>
              <w:rPr>
                <w:sz w:val="14"/>
                <w:szCs w:val="14"/>
                <w:color w:val="auto"/>
              </w:rPr>
            </w:pPr>
          </w:p>
        </w:tc>
        <w:tc>
          <w:tcPr>
            <w:tcW w:w="10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120" w:type="dxa"/>
            <w:vAlign w:val="bottom"/>
            <w:tcBorders>
              <w:right w:val="single" w:sz="8" w:color="0077C0"/>
            </w:tcBorders>
            <w:shd w:val="clear" w:color="auto" w:fill="E8EFF9"/>
          </w:tcPr>
          <w:p>
            <w:pPr>
              <w:spacing w:after="0"/>
              <w:rPr>
                <w:sz w:val="14"/>
                <w:szCs w:val="14"/>
                <w:color w:val="auto"/>
              </w:rPr>
            </w:pPr>
          </w:p>
        </w:tc>
        <w:tc>
          <w:tcPr>
            <w:tcW w:w="420" w:type="dxa"/>
            <w:vAlign w:val="bottom"/>
            <w:shd w:val="clear" w:color="auto" w:fill="E8EFF9"/>
          </w:tcPr>
          <w:p>
            <w:pPr>
              <w:spacing w:after="0"/>
              <w:rPr>
                <w:sz w:val="14"/>
                <w:szCs w:val="14"/>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35,608</w:t>
            </w:r>
          </w:p>
        </w:tc>
      </w:tr>
      <w:tr>
        <w:trPr>
          <w:trHeight w:val="176"/>
        </w:trPr>
        <w:tc>
          <w:tcPr>
            <w:tcW w:w="2520" w:type="dxa"/>
            <w:vAlign w:val="bottom"/>
            <w:shd w:val="clear" w:color="auto" w:fill="E8EFF9"/>
          </w:tcPr>
          <w:p>
            <w:pPr>
              <w:ind w:left="140"/>
              <w:spacing w:after="0"/>
              <w:rPr>
                <w:sz w:val="20"/>
                <w:szCs w:val="20"/>
                <w:color w:val="auto"/>
              </w:rPr>
            </w:pPr>
            <w:r>
              <w:rPr>
                <w:rFonts w:ascii="Times New Roman" w:cs="Times New Roman" w:eastAsia="Times New Roman" w:hAnsi="Times New Roman"/>
                <w:sz w:val="13"/>
                <w:szCs w:val="13"/>
                <w:color w:val="auto"/>
              </w:rPr>
              <w:t>Cash dividends ($5.68 per share)</w:t>
            </w:r>
          </w:p>
        </w:tc>
        <w:tc>
          <w:tcPr>
            <w:tcW w:w="420" w:type="dxa"/>
            <w:vAlign w:val="bottom"/>
            <w:shd w:val="clear" w:color="auto" w:fill="E8EFF9"/>
          </w:tcPr>
          <w:p>
            <w:pPr>
              <w:spacing w:after="0"/>
              <w:rPr>
                <w:sz w:val="15"/>
                <w:szCs w:val="15"/>
                <w:color w:val="auto"/>
              </w:rPr>
            </w:pPr>
          </w:p>
        </w:tc>
        <w:tc>
          <w:tcPr>
            <w:tcW w:w="6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E8EFF9"/>
          </w:tcPr>
          <w:p>
            <w:pPr>
              <w:spacing w:after="0"/>
              <w:rPr>
                <w:sz w:val="15"/>
                <w:szCs w:val="15"/>
                <w:color w:val="auto"/>
              </w:rPr>
            </w:pPr>
          </w:p>
        </w:tc>
        <w:tc>
          <w:tcPr>
            <w:tcW w:w="98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(10,968)</w:t>
            </w:r>
          </w:p>
        </w:tc>
        <w:tc>
          <w:tcPr>
            <w:tcW w:w="240" w:type="dxa"/>
            <w:vAlign w:val="bottom"/>
            <w:shd w:val="clear" w:color="auto" w:fill="E8EFF9"/>
          </w:tcPr>
          <w:p>
            <w:pPr>
              <w:spacing w:after="0"/>
              <w:rPr>
                <w:sz w:val="15"/>
                <w:szCs w:val="15"/>
                <w:color w:val="auto"/>
              </w:rPr>
            </w:pPr>
          </w:p>
        </w:tc>
        <w:tc>
          <w:tcPr>
            <w:tcW w:w="10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E8EFF9"/>
          </w:tcPr>
          <w:p>
            <w:pPr>
              <w:spacing w:after="0"/>
              <w:rPr>
                <w:sz w:val="15"/>
                <w:szCs w:val="15"/>
                <w:color w:val="auto"/>
              </w:rPr>
            </w:pPr>
          </w:p>
        </w:tc>
        <w:tc>
          <w:tcPr>
            <w:tcW w:w="9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E8EFF9"/>
          </w:tcPr>
          <w:p>
            <w:pPr>
              <w:spacing w:after="0"/>
              <w:rPr>
                <w:sz w:val="15"/>
                <w:szCs w:val="15"/>
                <w:color w:val="auto"/>
              </w:rPr>
            </w:pPr>
          </w:p>
        </w:tc>
        <w:tc>
          <w:tcPr>
            <w:tcW w:w="1080" w:type="dxa"/>
            <w:vAlign w:val="bottom"/>
            <w:tcBorders>
              <w:right w:val="single" w:sz="8" w:color="0077C0"/>
            </w:tcBorders>
            <w:shd w:val="clear" w:color="auto" w:fill="E8EFF9"/>
          </w:tcPr>
          <w:p>
            <w:pPr>
              <w:jc w:val="right"/>
              <w:ind w:right="97"/>
              <w:spacing w:after="0"/>
              <w:rPr>
                <w:sz w:val="20"/>
                <w:szCs w:val="20"/>
                <w:color w:val="auto"/>
              </w:rPr>
            </w:pPr>
            <w:r>
              <w:rPr>
                <w:rFonts w:ascii="Times New Roman" w:cs="Times New Roman" w:eastAsia="Times New Roman" w:hAnsi="Times New Roman"/>
                <w:sz w:val="13"/>
                <w:szCs w:val="13"/>
                <w:color w:val="auto"/>
              </w:rPr>
              <w:t>(10,968)</w:t>
            </w:r>
          </w:p>
        </w:tc>
        <w:tc>
          <w:tcPr>
            <w:tcW w:w="220" w:type="dxa"/>
            <w:vAlign w:val="bottom"/>
            <w:shd w:val="clear" w:color="auto" w:fill="E8EFF9"/>
          </w:tcPr>
          <w:p>
            <w:pPr>
              <w:spacing w:after="0"/>
              <w:rPr>
                <w:sz w:val="15"/>
                <w:szCs w:val="15"/>
                <w:color w:val="auto"/>
              </w:rPr>
            </w:pPr>
          </w:p>
        </w:tc>
        <w:tc>
          <w:tcPr>
            <w:tcW w:w="10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20" w:type="dxa"/>
            <w:vAlign w:val="bottom"/>
            <w:tcBorders>
              <w:right w:val="single" w:sz="8" w:color="0077C0"/>
            </w:tcBorders>
            <w:shd w:val="clear" w:color="auto" w:fill="E8EFF9"/>
          </w:tcPr>
          <w:p>
            <w:pPr>
              <w:spacing w:after="0"/>
              <w:rPr>
                <w:sz w:val="15"/>
                <w:szCs w:val="15"/>
                <w:color w:val="auto"/>
              </w:rPr>
            </w:pPr>
          </w:p>
        </w:tc>
        <w:tc>
          <w:tcPr>
            <w:tcW w:w="420" w:type="dxa"/>
            <w:vAlign w:val="bottom"/>
            <w:shd w:val="clear" w:color="auto" w:fill="E8EFF9"/>
          </w:tcPr>
          <w:p>
            <w:pPr>
              <w:spacing w:after="0"/>
              <w:rPr>
                <w:sz w:val="15"/>
                <w:szCs w:val="15"/>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(11,086)</w:t>
            </w:r>
          </w:p>
        </w:tc>
      </w:tr>
      <w:tr>
        <w:trPr>
          <w:trHeight w:val="175"/>
        </w:trPr>
        <w:tc>
          <w:tcPr>
            <w:tcW w:w="2520" w:type="dxa"/>
            <w:vAlign w:val="bottom"/>
            <w:shd w:val="clear" w:color="auto" w:fill="E8EFF9"/>
          </w:tcPr>
          <w:p>
            <w:pPr>
              <w:ind w:left="140"/>
              <w:spacing w:after="0"/>
              <w:rPr>
                <w:sz w:val="20"/>
                <w:szCs w:val="20"/>
                <w:color w:val="auto"/>
              </w:rPr>
            </w:pPr>
            <w:r>
              <w:rPr>
                <w:rFonts w:ascii="Times New Roman" w:cs="Times New Roman" w:eastAsia="Times New Roman" w:hAnsi="Times New Roman"/>
                <w:sz w:val="13"/>
                <w:szCs w:val="13"/>
                <w:color w:val="auto"/>
              </w:rPr>
              <w:t>Stock dividends</w:t>
            </w:r>
          </w:p>
        </w:tc>
        <w:tc>
          <w:tcPr>
            <w:tcW w:w="420" w:type="dxa"/>
            <w:vAlign w:val="bottom"/>
            <w:shd w:val="clear" w:color="auto" w:fill="E8EFF9"/>
          </w:tcPr>
          <w:p>
            <w:pPr>
              <w:spacing w:after="0"/>
              <w:rPr>
                <w:sz w:val="15"/>
                <w:szCs w:val="15"/>
                <w:color w:val="auto"/>
              </w:rPr>
            </w:pPr>
          </w:p>
        </w:tc>
        <w:tc>
          <w:tcPr>
            <w:tcW w:w="6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E8EFF9"/>
          </w:tcPr>
          <w:p>
            <w:pPr>
              <w:spacing w:after="0"/>
              <w:rPr>
                <w:sz w:val="15"/>
                <w:szCs w:val="15"/>
                <w:color w:val="auto"/>
              </w:rPr>
            </w:pPr>
          </w:p>
        </w:tc>
        <w:tc>
          <w:tcPr>
            <w:tcW w:w="98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40" w:type="dxa"/>
            <w:vAlign w:val="bottom"/>
            <w:shd w:val="clear" w:color="auto" w:fill="E8EFF9"/>
          </w:tcPr>
          <w:p>
            <w:pPr>
              <w:spacing w:after="0"/>
              <w:rPr>
                <w:sz w:val="15"/>
                <w:szCs w:val="15"/>
                <w:color w:val="auto"/>
              </w:rPr>
            </w:pPr>
          </w:p>
        </w:tc>
        <w:tc>
          <w:tcPr>
            <w:tcW w:w="10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E8EFF9"/>
          </w:tcPr>
          <w:p>
            <w:pPr>
              <w:spacing w:after="0"/>
              <w:rPr>
                <w:sz w:val="15"/>
                <w:szCs w:val="15"/>
                <w:color w:val="auto"/>
              </w:rPr>
            </w:pPr>
          </w:p>
        </w:tc>
        <w:tc>
          <w:tcPr>
            <w:tcW w:w="9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E8EFF9"/>
          </w:tcPr>
          <w:p>
            <w:pPr>
              <w:spacing w:after="0"/>
              <w:rPr>
                <w:sz w:val="15"/>
                <w:szCs w:val="15"/>
                <w:color w:val="auto"/>
              </w:rPr>
            </w:pPr>
          </w:p>
        </w:tc>
        <w:tc>
          <w:tcPr>
            <w:tcW w:w="1080" w:type="dxa"/>
            <w:vAlign w:val="bottom"/>
            <w:tcBorders>
              <w:right w:val="single" w:sz="8" w:color="0077C0"/>
            </w:tcBorders>
            <w:shd w:val="clear" w:color="auto" w:fill="E8EFF9"/>
          </w:tcPr>
          <w:p>
            <w:pPr>
              <w:jc w:val="right"/>
              <w:ind w:right="97"/>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shd w:val="clear" w:color="auto" w:fill="E8EFF9"/>
          </w:tcPr>
          <w:p>
            <w:pPr>
              <w:spacing w:after="0"/>
              <w:rPr>
                <w:sz w:val="15"/>
                <w:szCs w:val="15"/>
                <w:color w:val="auto"/>
              </w:rPr>
            </w:pPr>
          </w:p>
        </w:tc>
        <w:tc>
          <w:tcPr>
            <w:tcW w:w="10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0077C0"/>
            </w:tcBorders>
            <w:shd w:val="clear" w:color="auto" w:fill="E8EFF9"/>
          </w:tcPr>
          <w:p>
            <w:pPr>
              <w:spacing w:after="0"/>
              <w:rPr>
                <w:sz w:val="15"/>
                <w:szCs w:val="15"/>
                <w:color w:val="auto"/>
              </w:rPr>
            </w:pPr>
          </w:p>
        </w:tc>
        <w:tc>
          <w:tcPr>
            <w:tcW w:w="420" w:type="dxa"/>
            <w:vAlign w:val="bottom"/>
            <w:shd w:val="clear" w:color="auto" w:fill="E8EFF9"/>
          </w:tcPr>
          <w:p>
            <w:pPr>
              <w:spacing w:after="0"/>
              <w:rPr>
                <w:sz w:val="15"/>
                <w:szCs w:val="15"/>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76"/>
        </w:trPr>
        <w:tc>
          <w:tcPr>
            <w:tcW w:w="2520" w:type="dxa"/>
            <w:vAlign w:val="bottom"/>
            <w:shd w:val="clear" w:color="auto" w:fill="E8EFF9"/>
          </w:tcPr>
          <w:p>
            <w:pPr>
              <w:ind w:left="14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420" w:type="dxa"/>
            <w:vAlign w:val="bottom"/>
            <w:shd w:val="clear" w:color="auto" w:fill="E8EFF9"/>
          </w:tcPr>
          <w:p>
            <w:pPr>
              <w:spacing w:after="0"/>
              <w:rPr>
                <w:sz w:val="15"/>
                <w:szCs w:val="15"/>
                <w:color w:val="auto"/>
              </w:rPr>
            </w:pPr>
          </w:p>
        </w:tc>
        <w:tc>
          <w:tcPr>
            <w:tcW w:w="6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E8EFF9"/>
          </w:tcPr>
          <w:p>
            <w:pPr>
              <w:spacing w:after="0"/>
              <w:rPr>
                <w:sz w:val="15"/>
                <w:szCs w:val="15"/>
                <w:color w:val="auto"/>
              </w:rPr>
            </w:pPr>
          </w:p>
        </w:tc>
        <w:tc>
          <w:tcPr>
            <w:tcW w:w="98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E8EFF9"/>
          </w:tcPr>
          <w:p>
            <w:pPr>
              <w:spacing w:after="0"/>
              <w:rPr>
                <w:sz w:val="15"/>
                <w:szCs w:val="15"/>
                <w:color w:val="auto"/>
              </w:rPr>
            </w:pPr>
          </w:p>
        </w:tc>
        <w:tc>
          <w:tcPr>
            <w:tcW w:w="10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1,091</w:t>
            </w:r>
          </w:p>
        </w:tc>
        <w:tc>
          <w:tcPr>
            <w:tcW w:w="300" w:type="dxa"/>
            <w:vAlign w:val="bottom"/>
            <w:shd w:val="clear" w:color="auto" w:fill="E8EFF9"/>
          </w:tcPr>
          <w:p>
            <w:pPr>
              <w:spacing w:after="0"/>
              <w:rPr>
                <w:sz w:val="15"/>
                <w:szCs w:val="15"/>
                <w:color w:val="auto"/>
              </w:rPr>
            </w:pPr>
          </w:p>
        </w:tc>
        <w:tc>
          <w:tcPr>
            <w:tcW w:w="9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E8EFF9"/>
          </w:tcPr>
          <w:p>
            <w:pPr>
              <w:spacing w:after="0"/>
              <w:rPr>
                <w:sz w:val="15"/>
                <w:szCs w:val="15"/>
                <w:color w:val="auto"/>
              </w:rPr>
            </w:pPr>
          </w:p>
        </w:tc>
        <w:tc>
          <w:tcPr>
            <w:tcW w:w="1080" w:type="dxa"/>
            <w:vAlign w:val="bottom"/>
            <w:tcBorders>
              <w:right w:val="single" w:sz="8" w:color="0077C0"/>
            </w:tcBorders>
            <w:shd w:val="clear" w:color="auto" w:fill="E8EFF9"/>
          </w:tcPr>
          <w:p>
            <w:pPr>
              <w:jc w:val="right"/>
              <w:ind w:right="137"/>
              <w:spacing w:after="0"/>
              <w:rPr>
                <w:sz w:val="20"/>
                <w:szCs w:val="20"/>
                <w:color w:val="auto"/>
              </w:rPr>
            </w:pPr>
            <w:r>
              <w:rPr>
                <w:rFonts w:ascii="Times New Roman" w:cs="Times New Roman" w:eastAsia="Times New Roman" w:hAnsi="Times New Roman"/>
                <w:sz w:val="13"/>
                <w:szCs w:val="13"/>
                <w:color w:val="auto"/>
              </w:rPr>
              <w:t>1,091</w:t>
            </w:r>
          </w:p>
        </w:tc>
        <w:tc>
          <w:tcPr>
            <w:tcW w:w="220" w:type="dxa"/>
            <w:vAlign w:val="bottom"/>
            <w:shd w:val="clear" w:color="auto" w:fill="E8EFF9"/>
          </w:tcPr>
          <w:p>
            <w:pPr>
              <w:spacing w:after="0"/>
              <w:rPr>
                <w:sz w:val="15"/>
                <w:szCs w:val="15"/>
                <w:color w:val="auto"/>
              </w:rPr>
            </w:pPr>
          </w:p>
        </w:tc>
        <w:tc>
          <w:tcPr>
            <w:tcW w:w="10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0077C0"/>
            </w:tcBorders>
            <w:shd w:val="clear" w:color="auto" w:fill="E8EFF9"/>
          </w:tcPr>
          <w:p>
            <w:pPr>
              <w:spacing w:after="0"/>
              <w:rPr>
                <w:sz w:val="15"/>
                <w:szCs w:val="15"/>
                <w:color w:val="auto"/>
              </w:rPr>
            </w:pPr>
          </w:p>
        </w:tc>
        <w:tc>
          <w:tcPr>
            <w:tcW w:w="420" w:type="dxa"/>
            <w:vAlign w:val="bottom"/>
            <w:shd w:val="clear" w:color="auto" w:fill="E8EFF9"/>
          </w:tcPr>
          <w:p>
            <w:pPr>
              <w:spacing w:after="0"/>
              <w:rPr>
                <w:sz w:val="15"/>
                <w:szCs w:val="15"/>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1,091</w:t>
            </w:r>
          </w:p>
        </w:tc>
      </w:tr>
      <w:tr>
        <w:trPr>
          <w:trHeight w:val="175"/>
        </w:trPr>
        <w:tc>
          <w:tcPr>
            <w:tcW w:w="2520" w:type="dxa"/>
            <w:vAlign w:val="bottom"/>
            <w:shd w:val="clear" w:color="auto" w:fill="E8EFF9"/>
          </w:tcPr>
          <w:p>
            <w:pPr>
              <w:ind w:left="140"/>
              <w:spacing w:after="0"/>
              <w:rPr>
                <w:sz w:val="20"/>
                <w:szCs w:val="20"/>
                <w:color w:val="auto"/>
              </w:rPr>
            </w:pPr>
            <w:r>
              <w:rPr>
                <w:rFonts w:ascii="Times New Roman" w:cs="Times New Roman" w:eastAsia="Times New Roman" w:hAnsi="Times New Roman"/>
                <w:sz w:val="13"/>
                <w:szCs w:val="13"/>
                <w:color w:val="auto"/>
              </w:rPr>
              <w:t>Purchases of treasury shares</w:t>
            </w:r>
          </w:p>
        </w:tc>
        <w:tc>
          <w:tcPr>
            <w:tcW w:w="420" w:type="dxa"/>
            <w:vAlign w:val="bottom"/>
            <w:shd w:val="clear" w:color="auto" w:fill="E8EFF9"/>
          </w:tcPr>
          <w:p>
            <w:pPr>
              <w:spacing w:after="0"/>
              <w:rPr>
                <w:sz w:val="15"/>
                <w:szCs w:val="15"/>
                <w:color w:val="auto"/>
              </w:rPr>
            </w:pPr>
          </w:p>
        </w:tc>
        <w:tc>
          <w:tcPr>
            <w:tcW w:w="6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E8EFF9"/>
          </w:tcPr>
          <w:p>
            <w:pPr>
              <w:spacing w:after="0"/>
              <w:rPr>
                <w:sz w:val="15"/>
                <w:szCs w:val="15"/>
                <w:color w:val="auto"/>
              </w:rPr>
            </w:pPr>
          </w:p>
        </w:tc>
        <w:tc>
          <w:tcPr>
            <w:tcW w:w="98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E8EFF9"/>
          </w:tcPr>
          <w:p>
            <w:pPr>
              <w:spacing w:after="0"/>
              <w:rPr>
                <w:sz w:val="15"/>
                <w:szCs w:val="15"/>
                <w:color w:val="auto"/>
              </w:rPr>
            </w:pPr>
          </w:p>
        </w:tc>
        <w:tc>
          <w:tcPr>
            <w:tcW w:w="10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E8EFF9"/>
          </w:tcPr>
          <w:p>
            <w:pPr>
              <w:spacing w:after="0"/>
              <w:rPr>
                <w:sz w:val="15"/>
                <w:szCs w:val="15"/>
                <w:color w:val="auto"/>
              </w:rPr>
            </w:pPr>
          </w:p>
        </w:tc>
        <w:tc>
          <w:tcPr>
            <w:tcW w:w="9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(11,255)</w:t>
            </w:r>
          </w:p>
        </w:tc>
        <w:tc>
          <w:tcPr>
            <w:tcW w:w="300" w:type="dxa"/>
            <w:vAlign w:val="bottom"/>
            <w:shd w:val="clear" w:color="auto" w:fill="E8EFF9"/>
          </w:tcPr>
          <w:p>
            <w:pPr>
              <w:spacing w:after="0"/>
              <w:rPr>
                <w:sz w:val="15"/>
                <w:szCs w:val="15"/>
                <w:color w:val="auto"/>
              </w:rPr>
            </w:pPr>
          </w:p>
        </w:tc>
        <w:tc>
          <w:tcPr>
            <w:tcW w:w="1080" w:type="dxa"/>
            <w:vAlign w:val="bottom"/>
            <w:tcBorders>
              <w:right w:val="single" w:sz="8" w:color="0077C0"/>
            </w:tcBorders>
            <w:shd w:val="clear" w:color="auto" w:fill="E8EFF9"/>
          </w:tcPr>
          <w:p>
            <w:pPr>
              <w:jc w:val="right"/>
              <w:ind w:right="97"/>
              <w:spacing w:after="0"/>
              <w:rPr>
                <w:sz w:val="20"/>
                <w:szCs w:val="20"/>
                <w:color w:val="auto"/>
              </w:rPr>
            </w:pPr>
            <w:r>
              <w:rPr>
                <w:rFonts w:ascii="Times New Roman" w:cs="Times New Roman" w:eastAsia="Times New Roman" w:hAnsi="Times New Roman"/>
                <w:sz w:val="13"/>
                <w:szCs w:val="13"/>
                <w:color w:val="auto"/>
              </w:rPr>
              <w:t>(11,255)</w:t>
            </w:r>
          </w:p>
        </w:tc>
        <w:tc>
          <w:tcPr>
            <w:tcW w:w="220" w:type="dxa"/>
            <w:vAlign w:val="bottom"/>
            <w:shd w:val="clear" w:color="auto" w:fill="E8EFF9"/>
          </w:tcPr>
          <w:p>
            <w:pPr>
              <w:spacing w:after="0"/>
              <w:rPr>
                <w:sz w:val="15"/>
                <w:szCs w:val="15"/>
                <w:color w:val="auto"/>
              </w:rPr>
            </w:pPr>
          </w:p>
        </w:tc>
        <w:tc>
          <w:tcPr>
            <w:tcW w:w="10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0077C0"/>
            </w:tcBorders>
            <w:shd w:val="clear" w:color="auto" w:fill="E8EFF9"/>
          </w:tcPr>
          <w:p>
            <w:pPr>
              <w:spacing w:after="0"/>
              <w:rPr>
                <w:sz w:val="15"/>
                <w:szCs w:val="15"/>
                <w:color w:val="auto"/>
              </w:rPr>
            </w:pPr>
          </w:p>
        </w:tc>
        <w:tc>
          <w:tcPr>
            <w:tcW w:w="420" w:type="dxa"/>
            <w:vAlign w:val="bottom"/>
            <w:shd w:val="clear" w:color="auto" w:fill="E8EFF9"/>
          </w:tcPr>
          <w:p>
            <w:pPr>
              <w:spacing w:after="0"/>
              <w:rPr>
                <w:sz w:val="15"/>
                <w:szCs w:val="15"/>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(11,255)</w:t>
            </w:r>
          </w:p>
        </w:tc>
      </w:tr>
      <w:tr>
        <w:trPr>
          <w:trHeight w:val="176"/>
        </w:trPr>
        <w:tc>
          <w:tcPr>
            <w:tcW w:w="2520" w:type="dxa"/>
            <w:vAlign w:val="bottom"/>
            <w:shd w:val="clear" w:color="auto" w:fill="E8EFF9"/>
          </w:tcPr>
          <w:p>
            <w:pPr>
              <w:ind w:left="140"/>
              <w:spacing w:after="0"/>
              <w:rPr>
                <w:sz w:val="20"/>
                <w:szCs w:val="20"/>
                <w:color w:val="auto"/>
              </w:rPr>
            </w:pPr>
            <w:r>
              <w:rPr>
                <w:rFonts w:ascii="Times New Roman" w:cs="Times New Roman" w:eastAsia="Times New Roman" w:hAnsi="Times New Roman"/>
                <w:sz w:val="13"/>
                <w:szCs w:val="13"/>
                <w:color w:val="auto"/>
              </w:rPr>
              <w:t>Issuances of treasury shares</w:t>
            </w:r>
          </w:p>
        </w:tc>
        <w:tc>
          <w:tcPr>
            <w:tcW w:w="420" w:type="dxa"/>
            <w:vAlign w:val="bottom"/>
            <w:shd w:val="clear" w:color="auto" w:fill="E8EFF9"/>
          </w:tcPr>
          <w:p>
            <w:pPr>
              <w:spacing w:after="0"/>
              <w:rPr>
                <w:sz w:val="15"/>
                <w:szCs w:val="15"/>
                <w:color w:val="auto"/>
              </w:rPr>
            </w:pPr>
          </w:p>
        </w:tc>
        <w:tc>
          <w:tcPr>
            <w:tcW w:w="6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1,315</w:t>
            </w:r>
          </w:p>
        </w:tc>
        <w:tc>
          <w:tcPr>
            <w:tcW w:w="260" w:type="dxa"/>
            <w:vAlign w:val="bottom"/>
            <w:shd w:val="clear" w:color="auto" w:fill="E8EFF9"/>
          </w:tcPr>
          <w:p>
            <w:pPr>
              <w:spacing w:after="0"/>
              <w:rPr>
                <w:sz w:val="15"/>
                <w:szCs w:val="15"/>
                <w:color w:val="auto"/>
              </w:rPr>
            </w:pPr>
          </w:p>
        </w:tc>
        <w:tc>
          <w:tcPr>
            <w:tcW w:w="98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E8EFF9"/>
          </w:tcPr>
          <w:p>
            <w:pPr>
              <w:spacing w:after="0"/>
              <w:rPr>
                <w:sz w:val="15"/>
                <w:szCs w:val="15"/>
                <w:color w:val="auto"/>
              </w:rPr>
            </w:pPr>
          </w:p>
        </w:tc>
        <w:tc>
          <w:tcPr>
            <w:tcW w:w="10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E8EFF9"/>
          </w:tcPr>
          <w:p>
            <w:pPr>
              <w:spacing w:after="0"/>
              <w:rPr>
                <w:sz w:val="15"/>
                <w:szCs w:val="15"/>
                <w:color w:val="auto"/>
              </w:rPr>
            </w:pPr>
          </w:p>
        </w:tc>
        <w:tc>
          <w:tcPr>
            <w:tcW w:w="9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4,523</w:t>
            </w:r>
          </w:p>
        </w:tc>
        <w:tc>
          <w:tcPr>
            <w:tcW w:w="300" w:type="dxa"/>
            <w:vAlign w:val="bottom"/>
            <w:shd w:val="clear" w:color="auto" w:fill="E8EFF9"/>
          </w:tcPr>
          <w:p>
            <w:pPr>
              <w:spacing w:after="0"/>
              <w:rPr>
                <w:sz w:val="15"/>
                <w:szCs w:val="15"/>
                <w:color w:val="auto"/>
              </w:rPr>
            </w:pPr>
          </w:p>
        </w:tc>
        <w:tc>
          <w:tcPr>
            <w:tcW w:w="1080" w:type="dxa"/>
            <w:vAlign w:val="bottom"/>
            <w:tcBorders>
              <w:right w:val="single" w:sz="8" w:color="0077C0"/>
            </w:tcBorders>
            <w:shd w:val="clear" w:color="auto" w:fill="E8EFF9"/>
          </w:tcPr>
          <w:p>
            <w:pPr>
              <w:jc w:val="right"/>
              <w:ind w:right="137"/>
              <w:spacing w:after="0"/>
              <w:rPr>
                <w:sz w:val="20"/>
                <w:szCs w:val="20"/>
                <w:color w:val="auto"/>
              </w:rPr>
            </w:pPr>
            <w:r>
              <w:rPr>
                <w:rFonts w:ascii="Times New Roman" w:cs="Times New Roman" w:eastAsia="Times New Roman" w:hAnsi="Times New Roman"/>
                <w:sz w:val="13"/>
                <w:szCs w:val="13"/>
                <w:color w:val="auto"/>
              </w:rPr>
              <w:t>5,838</w:t>
            </w:r>
          </w:p>
        </w:tc>
        <w:tc>
          <w:tcPr>
            <w:tcW w:w="220" w:type="dxa"/>
            <w:vAlign w:val="bottom"/>
            <w:shd w:val="clear" w:color="auto" w:fill="E8EFF9"/>
          </w:tcPr>
          <w:p>
            <w:pPr>
              <w:spacing w:after="0"/>
              <w:rPr>
                <w:sz w:val="15"/>
                <w:szCs w:val="15"/>
                <w:color w:val="auto"/>
              </w:rPr>
            </w:pPr>
          </w:p>
        </w:tc>
        <w:tc>
          <w:tcPr>
            <w:tcW w:w="10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0077C0"/>
            </w:tcBorders>
            <w:shd w:val="clear" w:color="auto" w:fill="E8EFF9"/>
          </w:tcPr>
          <w:p>
            <w:pPr>
              <w:spacing w:after="0"/>
              <w:rPr>
                <w:sz w:val="15"/>
                <w:szCs w:val="15"/>
                <w:color w:val="auto"/>
              </w:rPr>
            </w:pPr>
          </w:p>
        </w:tc>
        <w:tc>
          <w:tcPr>
            <w:tcW w:w="420" w:type="dxa"/>
            <w:vAlign w:val="bottom"/>
            <w:shd w:val="clear" w:color="auto" w:fill="E8EFF9"/>
          </w:tcPr>
          <w:p>
            <w:pPr>
              <w:spacing w:after="0"/>
              <w:rPr>
                <w:sz w:val="15"/>
                <w:szCs w:val="15"/>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5,838</w:t>
            </w:r>
          </w:p>
        </w:tc>
      </w:tr>
      <w:tr>
        <w:trPr>
          <w:trHeight w:val="185"/>
        </w:trPr>
        <w:tc>
          <w:tcPr>
            <w:tcW w:w="2520" w:type="dxa"/>
            <w:vAlign w:val="bottom"/>
            <w:tcBorders>
              <w:bottom w:val="single" w:sz="8" w:color="0077C0"/>
            </w:tcBorders>
            <w:shd w:val="clear" w:color="auto" w:fill="E8EFF9"/>
          </w:tcPr>
          <w:p>
            <w:pPr>
              <w:ind w:left="140"/>
              <w:spacing w:after="0"/>
              <w:rPr>
                <w:sz w:val="20"/>
                <w:szCs w:val="20"/>
                <w:color w:val="auto"/>
              </w:rPr>
            </w:pPr>
            <w:r>
              <w:rPr>
                <w:rFonts w:ascii="Times New Roman" w:cs="Times New Roman" w:eastAsia="Times New Roman" w:hAnsi="Times New Roman"/>
                <w:sz w:val="13"/>
                <w:szCs w:val="13"/>
                <w:color w:val="auto"/>
              </w:rPr>
              <w:t>Other changes, net</w:t>
            </w:r>
          </w:p>
        </w:tc>
        <w:tc>
          <w:tcPr>
            <w:tcW w:w="420" w:type="dxa"/>
            <w:vAlign w:val="bottom"/>
            <w:tcBorders>
              <w:bottom w:val="single" w:sz="8" w:color="0077C0"/>
            </w:tcBorders>
            <w:shd w:val="clear" w:color="auto" w:fill="E8EFF9"/>
          </w:tcPr>
          <w:p>
            <w:pPr>
              <w:spacing w:after="0"/>
              <w:rPr>
                <w:sz w:val="16"/>
                <w:szCs w:val="16"/>
                <w:color w:val="auto"/>
              </w:rPr>
            </w:pPr>
          </w:p>
        </w:tc>
        <w:tc>
          <w:tcPr>
            <w:tcW w:w="6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0077C0"/>
            </w:tcBorders>
            <w:shd w:val="clear" w:color="auto" w:fill="E8EFF9"/>
          </w:tcPr>
          <w:p>
            <w:pPr>
              <w:spacing w:after="0"/>
              <w:rPr>
                <w:sz w:val="16"/>
                <w:szCs w:val="16"/>
                <w:color w:val="auto"/>
              </w:rPr>
            </w:pPr>
          </w:p>
        </w:tc>
        <w:tc>
          <w:tcPr>
            <w:tcW w:w="98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40" w:type="dxa"/>
            <w:vAlign w:val="bottom"/>
            <w:tcBorders>
              <w:bottom w:val="single" w:sz="8" w:color="0077C0"/>
            </w:tcBorders>
            <w:shd w:val="clear" w:color="auto" w:fill="E8EFF9"/>
          </w:tcPr>
          <w:p>
            <w:pPr>
              <w:spacing w:after="0"/>
              <w:rPr>
                <w:sz w:val="16"/>
                <w:szCs w:val="16"/>
                <w:color w:val="auto"/>
              </w:rPr>
            </w:pPr>
          </w:p>
        </w:tc>
        <w:tc>
          <w:tcPr>
            <w:tcW w:w="10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0077C0"/>
            </w:tcBorders>
            <w:shd w:val="clear" w:color="auto" w:fill="E8EFF9"/>
          </w:tcPr>
          <w:p>
            <w:pPr>
              <w:spacing w:after="0"/>
              <w:rPr>
                <w:sz w:val="16"/>
                <w:szCs w:val="16"/>
                <w:color w:val="auto"/>
              </w:rPr>
            </w:pPr>
          </w:p>
        </w:tc>
        <w:tc>
          <w:tcPr>
            <w:tcW w:w="94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0077C0"/>
            </w:tcBorders>
            <w:shd w:val="clear" w:color="auto" w:fill="E8EFF9"/>
          </w:tcPr>
          <w:p>
            <w:pPr>
              <w:spacing w:after="0"/>
              <w:rPr>
                <w:sz w:val="16"/>
                <w:szCs w:val="16"/>
                <w:color w:val="auto"/>
              </w:rPr>
            </w:pPr>
          </w:p>
        </w:tc>
        <w:tc>
          <w:tcPr>
            <w:tcW w:w="1080" w:type="dxa"/>
            <w:vAlign w:val="bottom"/>
            <w:tcBorders>
              <w:bottom w:val="single" w:sz="8" w:color="0077C0"/>
              <w:right w:val="single" w:sz="8" w:color="0077C0"/>
            </w:tcBorders>
            <w:shd w:val="clear" w:color="auto" w:fill="E8EFF9"/>
          </w:tcPr>
          <w:p>
            <w:pPr>
              <w:jc w:val="right"/>
              <w:ind w:right="97"/>
              <w:spacing w:after="0"/>
              <w:rPr>
                <w:sz w:val="20"/>
                <w:szCs w:val="20"/>
                <w:color w:val="auto"/>
              </w:rPr>
            </w:pPr>
            <w:r>
              <w:rPr>
                <w:rFonts w:ascii="Times New Roman" w:cs="Times New Roman" w:eastAsia="Times New Roman" w:hAnsi="Times New Roman"/>
                <w:sz w:val="13"/>
                <w:szCs w:val="13"/>
                <w:color w:val="auto"/>
              </w:rPr>
              <w:t>(16)</w:t>
            </w:r>
          </w:p>
        </w:tc>
        <w:tc>
          <w:tcPr>
            <w:tcW w:w="220" w:type="dxa"/>
            <w:vAlign w:val="bottom"/>
            <w:tcBorders>
              <w:bottom w:val="single" w:sz="8" w:color="0077C0"/>
            </w:tcBorders>
            <w:shd w:val="clear" w:color="auto" w:fill="E8EFF9"/>
          </w:tcPr>
          <w:p>
            <w:pPr>
              <w:spacing w:after="0"/>
              <w:rPr>
                <w:sz w:val="16"/>
                <w:szCs w:val="16"/>
                <w:color w:val="auto"/>
              </w:rPr>
            </w:pPr>
          </w:p>
        </w:tc>
        <w:tc>
          <w:tcPr>
            <w:tcW w:w="10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20" w:type="dxa"/>
            <w:vAlign w:val="bottom"/>
            <w:tcBorders>
              <w:bottom w:val="single" w:sz="8" w:color="0077C0"/>
              <w:right w:val="single" w:sz="8" w:color="0077C0"/>
            </w:tcBorders>
            <w:shd w:val="clear" w:color="auto" w:fill="E8EFF9"/>
          </w:tcPr>
          <w:p>
            <w:pPr>
              <w:spacing w:after="0"/>
              <w:rPr>
                <w:sz w:val="16"/>
                <w:szCs w:val="16"/>
                <w:color w:val="auto"/>
              </w:rPr>
            </w:pPr>
          </w:p>
        </w:tc>
        <w:tc>
          <w:tcPr>
            <w:tcW w:w="420" w:type="dxa"/>
            <w:vAlign w:val="bottom"/>
            <w:tcBorders>
              <w:bottom w:val="single" w:sz="8" w:color="0077C0"/>
            </w:tcBorders>
            <w:shd w:val="clear" w:color="auto" w:fill="E8EFF9"/>
          </w:tcPr>
          <w:p>
            <w:pPr>
              <w:spacing w:after="0"/>
              <w:rPr>
                <w:sz w:val="16"/>
                <w:szCs w:val="16"/>
                <w:color w:val="auto"/>
              </w:rPr>
            </w:pPr>
          </w:p>
        </w:tc>
        <w:tc>
          <w:tcPr>
            <w:tcW w:w="8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46</w:t>
            </w:r>
          </w:p>
        </w:tc>
      </w:tr>
      <w:tr>
        <w:trPr>
          <w:trHeight w:val="171"/>
        </w:trPr>
        <w:tc>
          <w:tcPr>
            <w:tcW w:w="2520" w:type="dxa"/>
            <w:vAlign w:val="bottom"/>
            <w:tcBorders>
              <w:bottom w:val="single" w:sz="8" w:color="0077C0"/>
            </w:tcBorders>
            <w:shd w:val="clear" w:color="auto" w:fill="E8EFF9"/>
          </w:tcPr>
          <w:p>
            <w:pPr>
              <w:ind w:left="20"/>
              <w:spacing w:after="0"/>
              <w:rPr>
                <w:sz w:val="20"/>
                <w:szCs w:val="20"/>
                <w:color w:val="auto"/>
              </w:rPr>
            </w:pPr>
            <w:r>
              <w:rPr>
                <w:rFonts w:ascii="Times New Roman" w:cs="Times New Roman" w:eastAsia="Times New Roman" w:hAnsi="Times New Roman"/>
                <w:sz w:val="13"/>
                <w:szCs w:val="13"/>
                <w:b w:val="1"/>
                <w:bCs w:val="1"/>
                <w:color w:val="0077C0"/>
              </w:rPr>
              <w:t>Balance at December 31, 2022</w:t>
            </w:r>
          </w:p>
        </w:tc>
        <w:tc>
          <w:tcPr>
            <w:tcW w:w="420" w:type="dxa"/>
            <w:vAlign w:val="bottom"/>
            <w:tcBorders>
              <w:bottom w:val="single" w:sz="8" w:color="0077C0"/>
            </w:tcBorders>
            <w:shd w:val="clear" w:color="auto" w:fill="E8EFF9"/>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b w:val="1"/>
                <w:bCs w:val="1"/>
                <w:color w:val="auto"/>
              </w:rPr>
              <w:t>20,252</w:t>
            </w:r>
          </w:p>
        </w:tc>
        <w:tc>
          <w:tcPr>
            <w:tcW w:w="260" w:type="dxa"/>
            <w:vAlign w:val="bottom"/>
            <w:tcBorders>
              <w:bottom w:val="single" w:sz="8" w:color="0077C0"/>
            </w:tcBorders>
            <w:shd w:val="clear" w:color="auto" w:fill="E8EFF9"/>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b w:val="1"/>
                <w:bCs w:val="1"/>
                <w:color w:val="auto"/>
              </w:rPr>
              <w:t>190,024</w:t>
            </w:r>
          </w:p>
        </w:tc>
        <w:tc>
          <w:tcPr>
            <w:tcW w:w="240" w:type="dxa"/>
            <w:vAlign w:val="bottom"/>
            <w:tcBorders>
              <w:bottom w:val="single" w:sz="8" w:color="0077C0"/>
            </w:tcBorders>
            <w:shd w:val="clear" w:color="auto" w:fill="E8EFF9"/>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b w:val="1"/>
                <w:bCs w:val="1"/>
                <w:color w:val="auto"/>
              </w:rPr>
              <w:t>(2,798)</w:t>
            </w:r>
          </w:p>
        </w:tc>
        <w:tc>
          <w:tcPr>
            <w:tcW w:w="300" w:type="dxa"/>
            <w:vAlign w:val="bottom"/>
            <w:tcBorders>
              <w:bottom w:val="single" w:sz="8" w:color="0077C0"/>
            </w:tcBorders>
            <w:shd w:val="clear" w:color="auto" w:fill="E8EFF9"/>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b w:val="1"/>
                <w:bCs w:val="1"/>
                <w:color w:val="auto"/>
              </w:rPr>
              <w:t>(48,196)</w:t>
            </w:r>
          </w:p>
        </w:tc>
        <w:tc>
          <w:tcPr>
            <w:tcW w:w="300" w:type="dxa"/>
            <w:vAlign w:val="bottom"/>
            <w:tcBorders>
              <w:bottom w:val="single" w:sz="8" w:color="0077C0"/>
            </w:tcBorders>
            <w:shd w:val="clear" w:color="auto" w:fill="E8EFF9"/>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bottom w:val="single" w:sz="8" w:color="0077C0"/>
              <w:right w:val="single" w:sz="8" w:color="0077C0"/>
            </w:tcBorders>
            <w:shd w:val="clear" w:color="auto" w:fill="E8EFF9"/>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159,282</w:t>
            </w:r>
          </w:p>
        </w:tc>
        <w:tc>
          <w:tcPr>
            <w:tcW w:w="220" w:type="dxa"/>
            <w:vAlign w:val="bottom"/>
            <w:tcBorders>
              <w:bottom w:val="single" w:sz="8" w:color="0077C0"/>
            </w:tcBorders>
            <w:shd w:val="clear" w:color="auto" w:fill="E8EFF9"/>
          </w:tcPr>
          <w:p>
            <w:pPr>
              <w:jc w:val="right"/>
              <w:ind w:right="10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b w:val="1"/>
                <w:bCs w:val="1"/>
                <w:color w:val="auto"/>
              </w:rPr>
              <w:t>960</w:t>
            </w:r>
          </w:p>
        </w:tc>
        <w:tc>
          <w:tcPr>
            <w:tcW w:w="120" w:type="dxa"/>
            <w:vAlign w:val="bottom"/>
            <w:tcBorders>
              <w:bottom w:val="single" w:sz="8" w:color="0077C0"/>
              <w:right w:val="single" w:sz="8" w:color="0077C0"/>
            </w:tcBorders>
            <w:shd w:val="clear" w:color="auto" w:fill="E8EFF9"/>
          </w:tcPr>
          <w:p>
            <w:pPr>
              <w:spacing w:after="0"/>
              <w:rPr>
                <w:sz w:val="14"/>
                <w:szCs w:val="14"/>
                <w:color w:val="auto"/>
              </w:rPr>
            </w:pPr>
          </w:p>
        </w:tc>
        <w:tc>
          <w:tcPr>
            <w:tcW w:w="420" w:type="dxa"/>
            <w:vAlign w:val="bottom"/>
            <w:tcBorders>
              <w:bottom w:val="single" w:sz="8" w:color="0077C0"/>
            </w:tcBorders>
            <w:shd w:val="clear" w:color="auto" w:fill="E8EFF9"/>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b w:val="1"/>
                <w:bCs w:val="1"/>
                <w:color w:val="auto"/>
              </w:rPr>
              <w:t>160,242</w:t>
            </w:r>
          </w:p>
        </w:tc>
      </w:tr>
      <w:tr>
        <w:trPr>
          <w:trHeight w:val="162"/>
        </w:trPr>
        <w:tc>
          <w:tcPr>
            <w:tcW w:w="2520" w:type="dxa"/>
            <w:vAlign w:val="bottom"/>
            <w:shd w:val="clear" w:color="auto" w:fill="E8EFF9"/>
          </w:tcPr>
          <w:p>
            <w:pPr>
              <w:ind w:left="140"/>
              <w:spacing w:after="0"/>
              <w:rPr>
                <w:sz w:val="20"/>
                <w:szCs w:val="20"/>
                <w:color w:val="auto"/>
              </w:rPr>
            </w:pPr>
            <w:r>
              <w:rPr>
                <w:rFonts w:ascii="Times New Roman" w:cs="Times New Roman" w:eastAsia="Times New Roman" w:hAnsi="Times New Roman"/>
                <w:sz w:val="13"/>
                <w:szCs w:val="13"/>
                <w:color w:val="auto"/>
              </w:rPr>
              <w:t>Treasury stock transactions</w:t>
            </w:r>
          </w:p>
        </w:tc>
        <w:tc>
          <w:tcPr>
            <w:tcW w:w="420" w:type="dxa"/>
            <w:vAlign w:val="bottom"/>
            <w:shd w:val="clear" w:color="auto" w:fill="E8EFF9"/>
          </w:tcPr>
          <w:p>
            <w:pPr>
              <w:spacing w:after="0"/>
              <w:rPr>
                <w:sz w:val="14"/>
                <w:szCs w:val="14"/>
                <w:color w:val="auto"/>
              </w:rPr>
            </w:pPr>
          </w:p>
        </w:tc>
        <w:tc>
          <w:tcPr>
            <w:tcW w:w="6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260" w:type="dxa"/>
            <w:vAlign w:val="bottom"/>
            <w:shd w:val="clear" w:color="auto" w:fill="E8EFF9"/>
          </w:tcPr>
          <w:p>
            <w:pPr>
              <w:spacing w:after="0"/>
              <w:rPr>
                <w:sz w:val="14"/>
                <w:szCs w:val="14"/>
                <w:color w:val="auto"/>
              </w:rPr>
            </w:pPr>
          </w:p>
        </w:tc>
        <w:tc>
          <w:tcPr>
            <w:tcW w:w="98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E8EFF9"/>
          </w:tcPr>
          <w:p>
            <w:pPr>
              <w:spacing w:after="0"/>
              <w:rPr>
                <w:sz w:val="14"/>
                <w:szCs w:val="14"/>
                <w:color w:val="auto"/>
              </w:rPr>
            </w:pPr>
          </w:p>
        </w:tc>
        <w:tc>
          <w:tcPr>
            <w:tcW w:w="10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E8EFF9"/>
          </w:tcPr>
          <w:p>
            <w:pPr>
              <w:spacing w:after="0"/>
              <w:rPr>
                <w:sz w:val="14"/>
                <w:szCs w:val="14"/>
                <w:color w:val="auto"/>
              </w:rPr>
            </w:pPr>
          </w:p>
        </w:tc>
        <w:tc>
          <w:tcPr>
            <w:tcW w:w="9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E8EFF9"/>
          </w:tcPr>
          <w:p>
            <w:pPr>
              <w:spacing w:after="0"/>
              <w:rPr>
                <w:sz w:val="14"/>
                <w:szCs w:val="14"/>
                <w:color w:val="auto"/>
              </w:rPr>
            </w:pPr>
          </w:p>
        </w:tc>
        <w:tc>
          <w:tcPr>
            <w:tcW w:w="1080" w:type="dxa"/>
            <w:vAlign w:val="bottom"/>
            <w:tcBorders>
              <w:right w:val="single" w:sz="8" w:color="0077C0"/>
            </w:tcBorders>
            <w:shd w:val="clear" w:color="auto" w:fill="E8EFF9"/>
          </w:tcPr>
          <w:p>
            <w:pPr>
              <w:jc w:val="right"/>
              <w:ind w:right="137"/>
              <w:spacing w:after="0"/>
              <w:rPr>
                <w:sz w:val="20"/>
                <w:szCs w:val="20"/>
                <w:color w:val="auto"/>
              </w:rPr>
            </w:pPr>
            <w:r>
              <w:rPr>
                <w:rFonts w:ascii="Times New Roman" w:cs="Times New Roman" w:eastAsia="Times New Roman" w:hAnsi="Times New Roman"/>
                <w:sz w:val="13"/>
                <w:szCs w:val="13"/>
                <w:color w:val="auto"/>
              </w:rPr>
              <w:t>174</w:t>
            </w:r>
          </w:p>
        </w:tc>
        <w:tc>
          <w:tcPr>
            <w:tcW w:w="220" w:type="dxa"/>
            <w:vAlign w:val="bottom"/>
            <w:shd w:val="clear" w:color="auto" w:fill="E8EFF9"/>
          </w:tcPr>
          <w:p>
            <w:pPr>
              <w:spacing w:after="0"/>
              <w:rPr>
                <w:sz w:val="14"/>
                <w:szCs w:val="14"/>
                <w:color w:val="auto"/>
              </w:rPr>
            </w:pPr>
          </w:p>
        </w:tc>
        <w:tc>
          <w:tcPr>
            <w:tcW w:w="10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0077C0"/>
            </w:tcBorders>
            <w:shd w:val="clear" w:color="auto" w:fill="E8EFF9"/>
          </w:tcPr>
          <w:p>
            <w:pPr>
              <w:spacing w:after="0"/>
              <w:rPr>
                <w:sz w:val="14"/>
                <w:szCs w:val="14"/>
                <w:color w:val="auto"/>
              </w:rPr>
            </w:pPr>
          </w:p>
        </w:tc>
        <w:tc>
          <w:tcPr>
            <w:tcW w:w="420" w:type="dxa"/>
            <w:vAlign w:val="bottom"/>
            <w:shd w:val="clear" w:color="auto" w:fill="E8EFF9"/>
          </w:tcPr>
          <w:p>
            <w:pPr>
              <w:spacing w:after="0"/>
              <w:rPr>
                <w:sz w:val="14"/>
                <w:szCs w:val="14"/>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174</w:t>
            </w:r>
          </w:p>
        </w:tc>
      </w:tr>
      <w:tr>
        <w:trPr>
          <w:trHeight w:val="171"/>
        </w:trPr>
        <w:tc>
          <w:tcPr>
            <w:tcW w:w="2520" w:type="dxa"/>
            <w:vAlign w:val="bottom"/>
            <w:shd w:val="clear" w:color="auto" w:fill="E8EFF9"/>
          </w:tcPr>
          <w:p>
            <w:pPr>
              <w:ind w:left="140"/>
              <w:spacing w:after="0"/>
              <w:rPr>
                <w:sz w:val="20"/>
                <w:szCs w:val="20"/>
                <w:color w:val="auto"/>
              </w:rPr>
            </w:pPr>
            <w:r>
              <w:rPr>
                <w:rFonts w:ascii="Times New Roman" w:cs="Times New Roman" w:eastAsia="Times New Roman" w:hAnsi="Times New Roman"/>
                <w:sz w:val="13"/>
                <w:szCs w:val="13"/>
                <w:color w:val="auto"/>
              </w:rPr>
              <w:t>PDC Energy, Inc. acquisition</w:t>
            </w:r>
          </w:p>
        </w:tc>
        <w:tc>
          <w:tcPr>
            <w:tcW w:w="420" w:type="dxa"/>
            <w:vAlign w:val="bottom"/>
            <w:shd w:val="clear" w:color="auto" w:fill="E8EFF9"/>
          </w:tcPr>
          <w:p>
            <w:pPr>
              <w:spacing w:after="0"/>
              <w:rPr>
                <w:sz w:val="14"/>
                <w:szCs w:val="14"/>
                <w:color w:val="auto"/>
              </w:rPr>
            </w:pPr>
          </w:p>
        </w:tc>
        <w:tc>
          <w:tcPr>
            <w:tcW w:w="6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2,550</w:t>
            </w:r>
          </w:p>
        </w:tc>
        <w:tc>
          <w:tcPr>
            <w:tcW w:w="260" w:type="dxa"/>
            <w:vAlign w:val="bottom"/>
            <w:shd w:val="clear" w:color="auto" w:fill="E8EFF9"/>
          </w:tcPr>
          <w:p>
            <w:pPr>
              <w:spacing w:after="0"/>
              <w:rPr>
                <w:sz w:val="14"/>
                <w:szCs w:val="14"/>
                <w:color w:val="auto"/>
              </w:rPr>
            </w:pPr>
          </w:p>
        </w:tc>
        <w:tc>
          <w:tcPr>
            <w:tcW w:w="98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E8EFF9"/>
          </w:tcPr>
          <w:p>
            <w:pPr>
              <w:spacing w:after="0"/>
              <w:rPr>
                <w:sz w:val="14"/>
                <w:szCs w:val="14"/>
                <w:color w:val="auto"/>
              </w:rPr>
            </w:pPr>
          </w:p>
        </w:tc>
        <w:tc>
          <w:tcPr>
            <w:tcW w:w="10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E8EFF9"/>
          </w:tcPr>
          <w:p>
            <w:pPr>
              <w:spacing w:after="0"/>
              <w:rPr>
                <w:sz w:val="14"/>
                <w:szCs w:val="14"/>
                <w:color w:val="auto"/>
              </w:rPr>
            </w:pPr>
          </w:p>
        </w:tc>
        <w:tc>
          <w:tcPr>
            <w:tcW w:w="9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3,970</w:t>
            </w:r>
          </w:p>
        </w:tc>
        <w:tc>
          <w:tcPr>
            <w:tcW w:w="300" w:type="dxa"/>
            <w:vAlign w:val="bottom"/>
            <w:shd w:val="clear" w:color="auto" w:fill="E8EFF9"/>
          </w:tcPr>
          <w:p>
            <w:pPr>
              <w:spacing w:after="0"/>
              <w:rPr>
                <w:sz w:val="14"/>
                <w:szCs w:val="14"/>
                <w:color w:val="auto"/>
              </w:rPr>
            </w:pPr>
          </w:p>
        </w:tc>
        <w:tc>
          <w:tcPr>
            <w:tcW w:w="1080" w:type="dxa"/>
            <w:vAlign w:val="bottom"/>
            <w:tcBorders>
              <w:right w:val="single" w:sz="8" w:color="0077C0"/>
            </w:tcBorders>
            <w:shd w:val="clear" w:color="auto" w:fill="E8EFF9"/>
          </w:tcPr>
          <w:p>
            <w:pPr>
              <w:jc w:val="right"/>
              <w:ind w:right="137"/>
              <w:spacing w:after="0"/>
              <w:rPr>
                <w:sz w:val="20"/>
                <w:szCs w:val="20"/>
                <w:color w:val="auto"/>
              </w:rPr>
            </w:pPr>
            <w:r>
              <w:rPr>
                <w:rFonts w:ascii="Times New Roman" w:cs="Times New Roman" w:eastAsia="Times New Roman" w:hAnsi="Times New Roman"/>
                <w:sz w:val="13"/>
                <w:szCs w:val="13"/>
                <w:color w:val="auto"/>
              </w:rPr>
              <w:t>6,520</w:t>
            </w:r>
          </w:p>
        </w:tc>
        <w:tc>
          <w:tcPr>
            <w:tcW w:w="220" w:type="dxa"/>
            <w:vAlign w:val="bottom"/>
            <w:shd w:val="clear" w:color="auto" w:fill="E8EFF9"/>
          </w:tcPr>
          <w:p>
            <w:pPr>
              <w:spacing w:after="0"/>
              <w:rPr>
                <w:sz w:val="14"/>
                <w:szCs w:val="14"/>
                <w:color w:val="auto"/>
              </w:rPr>
            </w:pPr>
          </w:p>
        </w:tc>
        <w:tc>
          <w:tcPr>
            <w:tcW w:w="10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0077C0"/>
            </w:tcBorders>
            <w:shd w:val="clear" w:color="auto" w:fill="E8EFF9"/>
          </w:tcPr>
          <w:p>
            <w:pPr>
              <w:spacing w:after="0"/>
              <w:rPr>
                <w:sz w:val="14"/>
                <w:szCs w:val="14"/>
                <w:color w:val="auto"/>
              </w:rPr>
            </w:pPr>
          </w:p>
        </w:tc>
        <w:tc>
          <w:tcPr>
            <w:tcW w:w="420" w:type="dxa"/>
            <w:vAlign w:val="bottom"/>
            <w:shd w:val="clear" w:color="auto" w:fill="E8EFF9"/>
          </w:tcPr>
          <w:p>
            <w:pPr>
              <w:spacing w:after="0"/>
              <w:rPr>
                <w:sz w:val="14"/>
                <w:szCs w:val="14"/>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6,520</w:t>
            </w:r>
          </w:p>
        </w:tc>
      </w:tr>
      <w:tr>
        <w:trPr>
          <w:trHeight w:val="175"/>
        </w:trPr>
        <w:tc>
          <w:tcPr>
            <w:tcW w:w="2520" w:type="dxa"/>
            <w:vAlign w:val="bottom"/>
            <w:shd w:val="clear" w:color="auto" w:fill="E8EFF9"/>
          </w:tcPr>
          <w:p>
            <w:pPr>
              <w:ind w:left="140"/>
              <w:spacing w:after="0"/>
              <w:rPr>
                <w:sz w:val="20"/>
                <w:szCs w:val="20"/>
                <w:color w:val="auto"/>
              </w:rPr>
            </w:pPr>
            <w:r>
              <w:rPr>
                <w:rFonts w:ascii="Times New Roman" w:cs="Times New Roman" w:eastAsia="Times New Roman" w:hAnsi="Times New Roman"/>
                <w:sz w:val="13"/>
                <w:szCs w:val="13"/>
                <w:color w:val="auto"/>
              </w:rPr>
              <w:t>Net income (loss)</w:t>
            </w:r>
          </w:p>
        </w:tc>
        <w:tc>
          <w:tcPr>
            <w:tcW w:w="420" w:type="dxa"/>
            <w:vAlign w:val="bottom"/>
            <w:shd w:val="clear" w:color="auto" w:fill="E8EFF9"/>
          </w:tcPr>
          <w:p>
            <w:pPr>
              <w:spacing w:after="0"/>
              <w:rPr>
                <w:sz w:val="15"/>
                <w:szCs w:val="15"/>
                <w:color w:val="auto"/>
              </w:rPr>
            </w:pPr>
          </w:p>
        </w:tc>
        <w:tc>
          <w:tcPr>
            <w:tcW w:w="6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E8EFF9"/>
          </w:tcPr>
          <w:p>
            <w:pPr>
              <w:spacing w:after="0"/>
              <w:rPr>
                <w:sz w:val="15"/>
                <w:szCs w:val="15"/>
                <w:color w:val="auto"/>
              </w:rPr>
            </w:pPr>
          </w:p>
        </w:tc>
        <w:tc>
          <w:tcPr>
            <w:tcW w:w="98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21,369</w:t>
            </w:r>
          </w:p>
        </w:tc>
        <w:tc>
          <w:tcPr>
            <w:tcW w:w="240" w:type="dxa"/>
            <w:vAlign w:val="bottom"/>
            <w:shd w:val="clear" w:color="auto" w:fill="E8EFF9"/>
          </w:tcPr>
          <w:p>
            <w:pPr>
              <w:spacing w:after="0"/>
              <w:rPr>
                <w:sz w:val="15"/>
                <w:szCs w:val="15"/>
                <w:color w:val="auto"/>
              </w:rPr>
            </w:pPr>
          </w:p>
        </w:tc>
        <w:tc>
          <w:tcPr>
            <w:tcW w:w="10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E8EFF9"/>
          </w:tcPr>
          <w:p>
            <w:pPr>
              <w:spacing w:after="0"/>
              <w:rPr>
                <w:sz w:val="15"/>
                <w:szCs w:val="15"/>
                <w:color w:val="auto"/>
              </w:rPr>
            </w:pPr>
          </w:p>
        </w:tc>
        <w:tc>
          <w:tcPr>
            <w:tcW w:w="9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E8EFF9"/>
          </w:tcPr>
          <w:p>
            <w:pPr>
              <w:spacing w:after="0"/>
              <w:rPr>
                <w:sz w:val="15"/>
                <w:szCs w:val="15"/>
                <w:color w:val="auto"/>
              </w:rPr>
            </w:pPr>
          </w:p>
        </w:tc>
        <w:tc>
          <w:tcPr>
            <w:tcW w:w="1080" w:type="dxa"/>
            <w:vAlign w:val="bottom"/>
            <w:tcBorders>
              <w:right w:val="single" w:sz="8" w:color="0077C0"/>
            </w:tcBorders>
            <w:shd w:val="clear" w:color="auto" w:fill="E8EFF9"/>
          </w:tcPr>
          <w:p>
            <w:pPr>
              <w:jc w:val="right"/>
              <w:ind w:right="137"/>
              <w:spacing w:after="0"/>
              <w:rPr>
                <w:sz w:val="20"/>
                <w:szCs w:val="20"/>
                <w:color w:val="auto"/>
              </w:rPr>
            </w:pPr>
            <w:r>
              <w:rPr>
                <w:rFonts w:ascii="Times New Roman" w:cs="Times New Roman" w:eastAsia="Times New Roman" w:hAnsi="Times New Roman"/>
                <w:sz w:val="13"/>
                <w:szCs w:val="13"/>
                <w:color w:val="auto"/>
              </w:rPr>
              <w:t>21,369</w:t>
            </w:r>
          </w:p>
        </w:tc>
        <w:tc>
          <w:tcPr>
            <w:tcW w:w="220" w:type="dxa"/>
            <w:vAlign w:val="bottom"/>
            <w:shd w:val="clear" w:color="auto" w:fill="E8EFF9"/>
          </w:tcPr>
          <w:p>
            <w:pPr>
              <w:spacing w:after="0"/>
              <w:rPr>
                <w:sz w:val="15"/>
                <w:szCs w:val="15"/>
                <w:color w:val="auto"/>
              </w:rPr>
            </w:pPr>
          </w:p>
        </w:tc>
        <w:tc>
          <w:tcPr>
            <w:tcW w:w="10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20" w:type="dxa"/>
            <w:vAlign w:val="bottom"/>
            <w:tcBorders>
              <w:right w:val="single" w:sz="8" w:color="0077C0"/>
            </w:tcBorders>
            <w:shd w:val="clear" w:color="auto" w:fill="E8EFF9"/>
          </w:tcPr>
          <w:p>
            <w:pPr>
              <w:spacing w:after="0"/>
              <w:rPr>
                <w:sz w:val="15"/>
                <w:szCs w:val="15"/>
                <w:color w:val="auto"/>
              </w:rPr>
            </w:pPr>
          </w:p>
        </w:tc>
        <w:tc>
          <w:tcPr>
            <w:tcW w:w="420" w:type="dxa"/>
            <w:vAlign w:val="bottom"/>
            <w:shd w:val="clear" w:color="auto" w:fill="E8EFF9"/>
          </w:tcPr>
          <w:p>
            <w:pPr>
              <w:spacing w:after="0"/>
              <w:rPr>
                <w:sz w:val="15"/>
                <w:szCs w:val="15"/>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21,411</w:t>
            </w:r>
          </w:p>
        </w:tc>
      </w:tr>
      <w:tr>
        <w:trPr>
          <w:trHeight w:val="176"/>
        </w:trPr>
        <w:tc>
          <w:tcPr>
            <w:tcW w:w="2520" w:type="dxa"/>
            <w:vAlign w:val="bottom"/>
            <w:shd w:val="clear" w:color="auto" w:fill="E8EFF9"/>
          </w:tcPr>
          <w:p>
            <w:pPr>
              <w:ind w:left="140"/>
              <w:spacing w:after="0"/>
              <w:rPr>
                <w:sz w:val="20"/>
                <w:szCs w:val="20"/>
                <w:color w:val="auto"/>
              </w:rPr>
            </w:pPr>
            <w:r>
              <w:rPr>
                <w:rFonts w:ascii="Times New Roman" w:cs="Times New Roman" w:eastAsia="Times New Roman" w:hAnsi="Times New Roman"/>
                <w:sz w:val="13"/>
                <w:szCs w:val="13"/>
                <w:color w:val="auto"/>
              </w:rPr>
              <w:t>Cash dividends ($6.04 per share)</w:t>
            </w:r>
          </w:p>
        </w:tc>
        <w:tc>
          <w:tcPr>
            <w:tcW w:w="420" w:type="dxa"/>
            <w:vAlign w:val="bottom"/>
            <w:shd w:val="clear" w:color="auto" w:fill="E8EFF9"/>
          </w:tcPr>
          <w:p>
            <w:pPr>
              <w:spacing w:after="0"/>
              <w:rPr>
                <w:sz w:val="15"/>
                <w:szCs w:val="15"/>
                <w:color w:val="auto"/>
              </w:rPr>
            </w:pPr>
          </w:p>
        </w:tc>
        <w:tc>
          <w:tcPr>
            <w:tcW w:w="6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E8EFF9"/>
          </w:tcPr>
          <w:p>
            <w:pPr>
              <w:spacing w:after="0"/>
              <w:rPr>
                <w:sz w:val="15"/>
                <w:szCs w:val="15"/>
                <w:color w:val="auto"/>
              </w:rPr>
            </w:pPr>
          </w:p>
        </w:tc>
        <w:tc>
          <w:tcPr>
            <w:tcW w:w="98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(11,336)</w:t>
            </w:r>
          </w:p>
        </w:tc>
        <w:tc>
          <w:tcPr>
            <w:tcW w:w="240" w:type="dxa"/>
            <w:vAlign w:val="bottom"/>
            <w:shd w:val="clear" w:color="auto" w:fill="E8EFF9"/>
          </w:tcPr>
          <w:p>
            <w:pPr>
              <w:spacing w:after="0"/>
              <w:rPr>
                <w:sz w:val="15"/>
                <w:szCs w:val="15"/>
                <w:color w:val="auto"/>
              </w:rPr>
            </w:pPr>
          </w:p>
        </w:tc>
        <w:tc>
          <w:tcPr>
            <w:tcW w:w="10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E8EFF9"/>
          </w:tcPr>
          <w:p>
            <w:pPr>
              <w:spacing w:after="0"/>
              <w:rPr>
                <w:sz w:val="15"/>
                <w:szCs w:val="15"/>
                <w:color w:val="auto"/>
              </w:rPr>
            </w:pPr>
          </w:p>
        </w:tc>
        <w:tc>
          <w:tcPr>
            <w:tcW w:w="9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E8EFF9"/>
          </w:tcPr>
          <w:p>
            <w:pPr>
              <w:spacing w:after="0"/>
              <w:rPr>
                <w:sz w:val="15"/>
                <w:szCs w:val="15"/>
                <w:color w:val="auto"/>
              </w:rPr>
            </w:pPr>
          </w:p>
        </w:tc>
        <w:tc>
          <w:tcPr>
            <w:tcW w:w="1080" w:type="dxa"/>
            <w:vAlign w:val="bottom"/>
            <w:tcBorders>
              <w:right w:val="single" w:sz="8" w:color="0077C0"/>
            </w:tcBorders>
            <w:shd w:val="clear" w:color="auto" w:fill="E8EFF9"/>
          </w:tcPr>
          <w:p>
            <w:pPr>
              <w:jc w:val="right"/>
              <w:ind w:right="97"/>
              <w:spacing w:after="0"/>
              <w:rPr>
                <w:sz w:val="20"/>
                <w:szCs w:val="20"/>
                <w:color w:val="auto"/>
              </w:rPr>
            </w:pPr>
            <w:r>
              <w:rPr>
                <w:rFonts w:ascii="Times New Roman" w:cs="Times New Roman" w:eastAsia="Times New Roman" w:hAnsi="Times New Roman"/>
                <w:sz w:val="13"/>
                <w:szCs w:val="13"/>
                <w:color w:val="auto"/>
              </w:rPr>
              <w:t>(11,336)</w:t>
            </w:r>
          </w:p>
        </w:tc>
        <w:tc>
          <w:tcPr>
            <w:tcW w:w="220" w:type="dxa"/>
            <w:vAlign w:val="bottom"/>
            <w:shd w:val="clear" w:color="auto" w:fill="E8EFF9"/>
          </w:tcPr>
          <w:p>
            <w:pPr>
              <w:spacing w:after="0"/>
              <w:rPr>
                <w:sz w:val="15"/>
                <w:szCs w:val="15"/>
                <w:color w:val="auto"/>
              </w:rPr>
            </w:pPr>
          </w:p>
        </w:tc>
        <w:tc>
          <w:tcPr>
            <w:tcW w:w="10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20" w:type="dxa"/>
            <w:vAlign w:val="bottom"/>
            <w:tcBorders>
              <w:right w:val="single" w:sz="8" w:color="0077C0"/>
            </w:tcBorders>
            <w:shd w:val="clear" w:color="auto" w:fill="E8EFF9"/>
          </w:tcPr>
          <w:p>
            <w:pPr>
              <w:spacing w:after="0"/>
              <w:rPr>
                <w:sz w:val="15"/>
                <w:szCs w:val="15"/>
                <w:color w:val="auto"/>
              </w:rPr>
            </w:pPr>
          </w:p>
        </w:tc>
        <w:tc>
          <w:tcPr>
            <w:tcW w:w="420" w:type="dxa"/>
            <w:vAlign w:val="bottom"/>
            <w:shd w:val="clear" w:color="auto" w:fill="E8EFF9"/>
          </w:tcPr>
          <w:p>
            <w:pPr>
              <w:spacing w:after="0"/>
              <w:rPr>
                <w:sz w:val="15"/>
                <w:szCs w:val="15"/>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(11,390)</w:t>
            </w:r>
          </w:p>
        </w:tc>
      </w:tr>
      <w:tr>
        <w:trPr>
          <w:trHeight w:val="175"/>
        </w:trPr>
        <w:tc>
          <w:tcPr>
            <w:tcW w:w="2520" w:type="dxa"/>
            <w:vAlign w:val="bottom"/>
            <w:shd w:val="clear" w:color="auto" w:fill="E8EFF9"/>
          </w:tcPr>
          <w:p>
            <w:pPr>
              <w:ind w:left="140"/>
              <w:spacing w:after="0"/>
              <w:rPr>
                <w:sz w:val="20"/>
                <w:szCs w:val="20"/>
                <w:color w:val="auto"/>
              </w:rPr>
            </w:pPr>
            <w:r>
              <w:rPr>
                <w:rFonts w:ascii="Times New Roman" w:cs="Times New Roman" w:eastAsia="Times New Roman" w:hAnsi="Times New Roman"/>
                <w:sz w:val="13"/>
                <w:szCs w:val="13"/>
                <w:color w:val="auto"/>
              </w:rPr>
              <w:t>Stock dividends</w:t>
            </w:r>
          </w:p>
        </w:tc>
        <w:tc>
          <w:tcPr>
            <w:tcW w:w="420" w:type="dxa"/>
            <w:vAlign w:val="bottom"/>
            <w:shd w:val="clear" w:color="auto" w:fill="E8EFF9"/>
          </w:tcPr>
          <w:p>
            <w:pPr>
              <w:spacing w:after="0"/>
              <w:rPr>
                <w:sz w:val="15"/>
                <w:szCs w:val="15"/>
                <w:color w:val="auto"/>
              </w:rPr>
            </w:pPr>
          </w:p>
        </w:tc>
        <w:tc>
          <w:tcPr>
            <w:tcW w:w="6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E8EFF9"/>
          </w:tcPr>
          <w:p>
            <w:pPr>
              <w:spacing w:after="0"/>
              <w:rPr>
                <w:sz w:val="15"/>
                <w:szCs w:val="15"/>
                <w:color w:val="auto"/>
              </w:rPr>
            </w:pPr>
          </w:p>
        </w:tc>
        <w:tc>
          <w:tcPr>
            <w:tcW w:w="98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40" w:type="dxa"/>
            <w:vAlign w:val="bottom"/>
            <w:shd w:val="clear" w:color="auto" w:fill="E8EFF9"/>
          </w:tcPr>
          <w:p>
            <w:pPr>
              <w:spacing w:after="0"/>
              <w:rPr>
                <w:sz w:val="15"/>
                <w:szCs w:val="15"/>
                <w:color w:val="auto"/>
              </w:rPr>
            </w:pPr>
          </w:p>
        </w:tc>
        <w:tc>
          <w:tcPr>
            <w:tcW w:w="10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E8EFF9"/>
          </w:tcPr>
          <w:p>
            <w:pPr>
              <w:spacing w:after="0"/>
              <w:rPr>
                <w:sz w:val="15"/>
                <w:szCs w:val="15"/>
                <w:color w:val="auto"/>
              </w:rPr>
            </w:pPr>
          </w:p>
        </w:tc>
        <w:tc>
          <w:tcPr>
            <w:tcW w:w="9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E8EFF9"/>
          </w:tcPr>
          <w:p>
            <w:pPr>
              <w:spacing w:after="0"/>
              <w:rPr>
                <w:sz w:val="15"/>
                <w:szCs w:val="15"/>
                <w:color w:val="auto"/>
              </w:rPr>
            </w:pPr>
          </w:p>
        </w:tc>
        <w:tc>
          <w:tcPr>
            <w:tcW w:w="1080" w:type="dxa"/>
            <w:vAlign w:val="bottom"/>
            <w:tcBorders>
              <w:right w:val="single" w:sz="8" w:color="0077C0"/>
            </w:tcBorders>
            <w:shd w:val="clear" w:color="auto" w:fill="E8EFF9"/>
          </w:tcPr>
          <w:p>
            <w:pPr>
              <w:jc w:val="right"/>
              <w:ind w:right="97"/>
              <w:spacing w:after="0"/>
              <w:rPr>
                <w:sz w:val="20"/>
                <w:szCs w:val="20"/>
                <w:color w:val="auto"/>
              </w:rPr>
            </w:pPr>
            <w:r>
              <w:rPr>
                <w:rFonts w:ascii="Times New Roman" w:cs="Times New Roman" w:eastAsia="Times New Roman" w:hAnsi="Times New Roman"/>
                <w:sz w:val="13"/>
                <w:szCs w:val="13"/>
                <w:color w:val="auto"/>
              </w:rPr>
              <w:t>(9)</w:t>
            </w:r>
          </w:p>
        </w:tc>
        <w:tc>
          <w:tcPr>
            <w:tcW w:w="220" w:type="dxa"/>
            <w:vAlign w:val="bottom"/>
            <w:shd w:val="clear" w:color="auto" w:fill="E8EFF9"/>
          </w:tcPr>
          <w:p>
            <w:pPr>
              <w:spacing w:after="0"/>
              <w:rPr>
                <w:sz w:val="15"/>
                <w:szCs w:val="15"/>
                <w:color w:val="auto"/>
              </w:rPr>
            </w:pPr>
          </w:p>
        </w:tc>
        <w:tc>
          <w:tcPr>
            <w:tcW w:w="10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0077C0"/>
            </w:tcBorders>
            <w:shd w:val="clear" w:color="auto" w:fill="E8EFF9"/>
          </w:tcPr>
          <w:p>
            <w:pPr>
              <w:spacing w:after="0"/>
              <w:rPr>
                <w:sz w:val="15"/>
                <w:szCs w:val="15"/>
                <w:color w:val="auto"/>
              </w:rPr>
            </w:pPr>
          </w:p>
        </w:tc>
        <w:tc>
          <w:tcPr>
            <w:tcW w:w="420" w:type="dxa"/>
            <w:vAlign w:val="bottom"/>
            <w:shd w:val="clear" w:color="auto" w:fill="E8EFF9"/>
          </w:tcPr>
          <w:p>
            <w:pPr>
              <w:spacing w:after="0"/>
              <w:rPr>
                <w:sz w:val="15"/>
                <w:szCs w:val="15"/>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76"/>
        </w:trPr>
        <w:tc>
          <w:tcPr>
            <w:tcW w:w="2520" w:type="dxa"/>
            <w:vAlign w:val="bottom"/>
            <w:shd w:val="clear" w:color="auto" w:fill="E8EFF9"/>
          </w:tcPr>
          <w:p>
            <w:pPr>
              <w:ind w:left="14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420" w:type="dxa"/>
            <w:vAlign w:val="bottom"/>
            <w:shd w:val="clear" w:color="auto" w:fill="E8EFF9"/>
          </w:tcPr>
          <w:p>
            <w:pPr>
              <w:spacing w:after="0"/>
              <w:rPr>
                <w:sz w:val="15"/>
                <w:szCs w:val="15"/>
                <w:color w:val="auto"/>
              </w:rPr>
            </w:pPr>
          </w:p>
        </w:tc>
        <w:tc>
          <w:tcPr>
            <w:tcW w:w="6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E8EFF9"/>
          </w:tcPr>
          <w:p>
            <w:pPr>
              <w:spacing w:after="0"/>
              <w:rPr>
                <w:sz w:val="15"/>
                <w:szCs w:val="15"/>
                <w:color w:val="auto"/>
              </w:rPr>
            </w:pPr>
          </w:p>
        </w:tc>
        <w:tc>
          <w:tcPr>
            <w:tcW w:w="98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E8EFF9"/>
          </w:tcPr>
          <w:p>
            <w:pPr>
              <w:spacing w:after="0"/>
              <w:rPr>
                <w:sz w:val="15"/>
                <w:szCs w:val="15"/>
                <w:color w:val="auto"/>
              </w:rPr>
            </w:pPr>
          </w:p>
        </w:tc>
        <w:tc>
          <w:tcPr>
            <w:tcW w:w="10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300" w:type="dxa"/>
            <w:vAlign w:val="bottom"/>
            <w:shd w:val="clear" w:color="auto" w:fill="E8EFF9"/>
          </w:tcPr>
          <w:p>
            <w:pPr>
              <w:spacing w:after="0"/>
              <w:rPr>
                <w:sz w:val="15"/>
                <w:szCs w:val="15"/>
                <w:color w:val="auto"/>
              </w:rPr>
            </w:pPr>
          </w:p>
        </w:tc>
        <w:tc>
          <w:tcPr>
            <w:tcW w:w="9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E8EFF9"/>
          </w:tcPr>
          <w:p>
            <w:pPr>
              <w:spacing w:after="0"/>
              <w:rPr>
                <w:sz w:val="15"/>
                <w:szCs w:val="15"/>
                <w:color w:val="auto"/>
              </w:rPr>
            </w:pPr>
          </w:p>
        </w:tc>
        <w:tc>
          <w:tcPr>
            <w:tcW w:w="1080" w:type="dxa"/>
            <w:vAlign w:val="bottom"/>
            <w:tcBorders>
              <w:right w:val="single" w:sz="8" w:color="0077C0"/>
            </w:tcBorders>
            <w:shd w:val="clear" w:color="auto" w:fill="E8EFF9"/>
          </w:tcPr>
          <w:p>
            <w:pPr>
              <w:jc w:val="right"/>
              <w:ind w:right="97"/>
              <w:spacing w:after="0"/>
              <w:rPr>
                <w:sz w:val="20"/>
                <w:szCs w:val="20"/>
                <w:color w:val="auto"/>
              </w:rPr>
            </w:pPr>
            <w:r>
              <w:rPr>
                <w:rFonts w:ascii="Times New Roman" w:cs="Times New Roman" w:eastAsia="Times New Roman" w:hAnsi="Times New Roman"/>
                <w:sz w:val="13"/>
                <w:szCs w:val="13"/>
                <w:color w:val="auto"/>
              </w:rPr>
              <w:t>(162)</w:t>
            </w:r>
          </w:p>
        </w:tc>
        <w:tc>
          <w:tcPr>
            <w:tcW w:w="220" w:type="dxa"/>
            <w:vAlign w:val="bottom"/>
            <w:shd w:val="clear" w:color="auto" w:fill="E8EFF9"/>
          </w:tcPr>
          <w:p>
            <w:pPr>
              <w:spacing w:after="0"/>
              <w:rPr>
                <w:sz w:val="15"/>
                <w:szCs w:val="15"/>
                <w:color w:val="auto"/>
              </w:rPr>
            </w:pPr>
          </w:p>
        </w:tc>
        <w:tc>
          <w:tcPr>
            <w:tcW w:w="10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0077C0"/>
            </w:tcBorders>
            <w:shd w:val="clear" w:color="auto" w:fill="E8EFF9"/>
          </w:tcPr>
          <w:p>
            <w:pPr>
              <w:spacing w:after="0"/>
              <w:rPr>
                <w:sz w:val="15"/>
                <w:szCs w:val="15"/>
                <w:color w:val="auto"/>
              </w:rPr>
            </w:pPr>
          </w:p>
        </w:tc>
        <w:tc>
          <w:tcPr>
            <w:tcW w:w="420" w:type="dxa"/>
            <w:vAlign w:val="bottom"/>
            <w:shd w:val="clear" w:color="auto" w:fill="E8EFF9"/>
          </w:tcPr>
          <w:p>
            <w:pPr>
              <w:spacing w:after="0"/>
              <w:rPr>
                <w:sz w:val="15"/>
                <w:szCs w:val="15"/>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(162)</w:t>
            </w:r>
          </w:p>
        </w:tc>
      </w:tr>
      <w:tr>
        <w:trPr>
          <w:trHeight w:val="176"/>
        </w:trPr>
        <w:tc>
          <w:tcPr>
            <w:tcW w:w="2520" w:type="dxa"/>
            <w:vAlign w:val="bottom"/>
            <w:shd w:val="clear" w:color="auto" w:fill="E8EFF9"/>
          </w:tcPr>
          <w:p>
            <w:pPr>
              <w:ind w:left="140"/>
              <w:spacing w:after="0"/>
              <w:rPr>
                <w:sz w:val="20"/>
                <w:szCs w:val="20"/>
                <w:color w:val="auto"/>
              </w:rPr>
            </w:pPr>
            <w:r>
              <w:rPr>
                <w:rFonts w:ascii="Times New Roman" w:cs="Times New Roman" w:eastAsia="Times New Roman" w:hAnsi="Times New Roman"/>
                <w:sz w:val="13"/>
                <w:szCs w:val="13"/>
                <w:color w:val="auto"/>
              </w:rPr>
              <w:t>Purchases of treasury shares</w:t>
            </w:r>
          </w:p>
        </w:tc>
        <w:tc>
          <w:tcPr>
            <w:tcW w:w="420" w:type="dxa"/>
            <w:vAlign w:val="bottom"/>
            <w:shd w:val="clear" w:color="auto" w:fill="E8EFF9"/>
          </w:tcPr>
          <w:p>
            <w:pPr>
              <w:spacing w:after="0"/>
              <w:rPr>
                <w:sz w:val="15"/>
                <w:szCs w:val="15"/>
                <w:color w:val="auto"/>
              </w:rPr>
            </w:pPr>
          </w:p>
        </w:tc>
        <w:tc>
          <w:tcPr>
            <w:tcW w:w="6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E8EFF9"/>
          </w:tcPr>
          <w:p>
            <w:pPr>
              <w:spacing w:after="0"/>
              <w:rPr>
                <w:sz w:val="15"/>
                <w:szCs w:val="15"/>
                <w:color w:val="auto"/>
              </w:rPr>
            </w:pPr>
          </w:p>
        </w:tc>
        <w:tc>
          <w:tcPr>
            <w:tcW w:w="98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E8EFF9"/>
          </w:tcPr>
          <w:p>
            <w:pPr>
              <w:spacing w:after="0"/>
              <w:rPr>
                <w:sz w:val="15"/>
                <w:szCs w:val="15"/>
                <w:color w:val="auto"/>
              </w:rPr>
            </w:pPr>
          </w:p>
        </w:tc>
        <w:tc>
          <w:tcPr>
            <w:tcW w:w="10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E8EFF9"/>
          </w:tcPr>
          <w:p>
            <w:pPr>
              <w:spacing w:after="0"/>
              <w:rPr>
                <w:sz w:val="15"/>
                <w:szCs w:val="15"/>
                <w:color w:val="auto"/>
              </w:rPr>
            </w:pPr>
          </w:p>
        </w:tc>
        <w:tc>
          <w:tcPr>
            <w:tcW w:w="9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(15,085)</w:t>
            </w:r>
          </w:p>
        </w:tc>
        <w:tc>
          <w:tcPr>
            <w:tcW w:w="300" w:type="dxa"/>
            <w:vAlign w:val="bottom"/>
            <w:shd w:val="clear" w:color="auto" w:fill="E8EFF9"/>
          </w:tcPr>
          <w:p>
            <w:pPr>
              <w:spacing w:after="0"/>
              <w:rPr>
                <w:sz w:val="15"/>
                <w:szCs w:val="15"/>
                <w:color w:val="auto"/>
              </w:rPr>
            </w:pPr>
          </w:p>
        </w:tc>
        <w:tc>
          <w:tcPr>
            <w:tcW w:w="1080" w:type="dxa"/>
            <w:vAlign w:val="bottom"/>
            <w:tcBorders>
              <w:right w:val="single" w:sz="8" w:color="0077C0"/>
            </w:tcBorders>
            <w:shd w:val="clear" w:color="auto" w:fill="E8EFF9"/>
          </w:tcPr>
          <w:p>
            <w:pPr>
              <w:jc w:val="right"/>
              <w:ind w:right="97"/>
              <w:spacing w:after="0"/>
              <w:rPr>
                <w:sz w:val="20"/>
                <w:szCs w:val="20"/>
                <w:color w:val="auto"/>
              </w:rPr>
            </w:pPr>
            <w:r>
              <w:rPr>
                <w:rFonts w:ascii="Times New Roman" w:cs="Times New Roman" w:eastAsia="Times New Roman" w:hAnsi="Times New Roman"/>
                <w:sz w:val="13"/>
                <w:szCs w:val="13"/>
                <w:color w:val="auto"/>
              </w:rPr>
              <w:t>(15,085)</w:t>
            </w:r>
          </w:p>
        </w:tc>
        <w:tc>
          <w:tcPr>
            <w:tcW w:w="220" w:type="dxa"/>
            <w:vAlign w:val="bottom"/>
            <w:shd w:val="clear" w:color="auto" w:fill="E8EFF9"/>
          </w:tcPr>
          <w:p>
            <w:pPr>
              <w:spacing w:after="0"/>
              <w:rPr>
                <w:sz w:val="15"/>
                <w:szCs w:val="15"/>
                <w:color w:val="auto"/>
              </w:rPr>
            </w:pPr>
          </w:p>
        </w:tc>
        <w:tc>
          <w:tcPr>
            <w:tcW w:w="10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0077C0"/>
            </w:tcBorders>
            <w:shd w:val="clear" w:color="auto" w:fill="E8EFF9"/>
          </w:tcPr>
          <w:p>
            <w:pPr>
              <w:spacing w:after="0"/>
              <w:rPr>
                <w:sz w:val="15"/>
                <w:szCs w:val="15"/>
                <w:color w:val="auto"/>
              </w:rPr>
            </w:pPr>
          </w:p>
        </w:tc>
        <w:tc>
          <w:tcPr>
            <w:tcW w:w="420" w:type="dxa"/>
            <w:vAlign w:val="bottom"/>
            <w:shd w:val="clear" w:color="auto" w:fill="E8EFF9"/>
          </w:tcPr>
          <w:p>
            <w:pPr>
              <w:spacing w:after="0"/>
              <w:rPr>
                <w:sz w:val="15"/>
                <w:szCs w:val="15"/>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(15,085)</w:t>
            </w:r>
          </w:p>
        </w:tc>
      </w:tr>
      <w:tr>
        <w:trPr>
          <w:trHeight w:val="175"/>
        </w:trPr>
        <w:tc>
          <w:tcPr>
            <w:tcW w:w="2520" w:type="dxa"/>
            <w:vAlign w:val="bottom"/>
            <w:shd w:val="clear" w:color="auto" w:fill="E8EFF9"/>
          </w:tcPr>
          <w:p>
            <w:pPr>
              <w:ind w:left="140"/>
              <w:spacing w:after="0"/>
              <w:rPr>
                <w:sz w:val="20"/>
                <w:szCs w:val="20"/>
                <w:color w:val="auto"/>
              </w:rPr>
            </w:pPr>
            <w:r>
              <w:rPr>
                <w:rFonts w:ascii="Times New Roman" w:cs="Times New Roman" w:eastAsia="Times New Roman" w:hAnsi="Times New Roman"/>
                <w:sz w:val="13"/>
                <w:szCs w:val="13"/>
                <w:color w:val="auto"/>
              </w:rPr>
              <w:t>Issuances of treasury shares</w:t>
            </w:r>
          </w:p>
        </w:tc>
        <w:tc>
          <w:tcPr>
            <w:tcW w:w="420" w:type="dxa"/>
            <w:vAlign w:val="bottom"/>
            <w:shd w:val="clear" w:color="auto" w:fill="E8EFF9"/>
          </w:tcPr>
          <w:p>
            <w:pPr>
              <w:spacing w:after="0"/>
              <w:rPr>
                <w:sz w:val="15"/>
                <w:szCs w:val="15"/>
                <w:color w:val="auto"/>
              </w:rPr>
            </w:pPr>
          </w:p>
        </w:tc>
        <w:tc>
          <w:tcPr>
            <w:tcW w:w="6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260" w:type="dxa"/>
            <w:vAlign w:val="bottom"/>
            <w:shd w:val="clear" w:color="auto" w:fill="E8EFF9"/>
          </w:tcPr>
          <w:p>
            <w:pPr>
              <w:spacing w:after="0"/>
              <w:rPr>
                <w:sz w:val="15"/>
                <w:szCs w:val="15"/>
                <w:color w:val="auto"/>
              </w:rPr>
            </w:pPr>
          </w:p>
        </w:tc>
        <w:tc>
          <w:tcPr>
            <w:tcW w:w="98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E8EFF9"/>
          </w:tcPr>
          <w:p>
            <w:pPr>
              <w:spacing w:after="0"/>
              <w:rPr>
                <w:sz w:val="15"/>
                <w:szCs w:val="15"/>
                <w:color w:val="auto"/>
              </w:rPr>
            </w:pPr>
          </w:p>
        </w:tc>
        <w:tc>
          <w:tcPr>
            <w:tcW w:w="10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E8EFF9"/>
          </w:tcPr>
          <w:p>
            <w:pPr>
              <w:spacing w:after="0"/>
              <w:rPr>
                <w:sz w:val="15"/>
                <w:szCs w:val="15"/>
                <w:color w:val="auto"/>
              </w:rPr>
            </w:pPr>
          </w:p>
        </w:tc>
        <w:tc>
          <w:tcPr>
            <w:tcW w:w="9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300" w:type="dxa"/>
            <w:vAlign w:val="bottom"/>
            <w:shd w:val="clear" w:color="auto" w:fill="E8EFF9"/>
          </w:tcPr>
          <w:p>
            <w:pPr>
              <w:spacing w:after="0"/>
              <w:rPr>
                <w:sz w:val="15"/>
                <w:szCs w:val="15"/>
                <w:color w:val="auto"/>
              </w:rPr>
            </w:pPr>
          </w:p>
        </w:tc>
        <w:tc>
          <w:tcPr>
            <w:tcW w:w="1080" w:type="dxa"/>
            <w:vAlign w:val="bottom"/>
            <w:tcBorders>
              <w:right w:val="single" w:sz="8" w:color="0077C0"/>
            </w:tcBorders>
            <w:shd w:val="clear" w:color="auto" w:fill="E8EFF9"/>
          </w:tcPr>
          <w:p>
            <w:pPr>
              <w:jc w:val="right"/>
              <w:ind w:right="137"/>
              <w:spacing w:after="0"/>
              <w:rPr>
                <w:sz w:val="20"/>
                <w:szCs w:val="20"/>
                <w:color w:val="auto"/>
              </w:rPr>
            </w:pPr>
            <w:r>
              <w:rPr>
                <w:rFonts w:ascii="Times New Roman" w:cs="Times New Roman" w:eastAsia="Times New Roman" w:hAnsi="Times New Roman"/>
                <w:sz w:val="13"/>
                <w:szCs w:val="13"/>
                <w:color w:val="auto"/>
              </w:rPr>
              <w:t>263</w:t>
            </w:r>
          </w:p>
        </w:tc>
        <w:tc>
          <w:tcPr>
            <w:tcW w:w="220" w:type="dxa"/>
            <w:vAlign w:val="bottom"/>
            <w:shd w:val="clear" w:color="auto" w:fill="E8EFF9"/>
          </w:tcPr>
          <w:p>
            <w:pPr>
              <w:spacing w:after="0"/>
              <w:rPr>
                <w:sz w:val="15"/>
                <w:szCs w:val="15"/>
                <w:color w:val="auto"/>
              </w:rPr>
            </w:pPr>
          </w:p>
        </w:tc>
        <w:tc>
          <w:tcPr>
            <w:tcW w:w="10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0077C0"/>
            </w:tcBorders>
            <w:shd w:val="clear" w:color="auto" w:fill="E8EFF9"/>
          </w:tcPr>
          <w:p>
            <w:pPr>
              <w:spacing w:after="0"/>
              <w:rPr>
                <w:sz w:val="15"/>
                <w:szCs w:val="15"/>
                <w:color w:val="auto"/>
              </w:rPr>
            </w:pPr>
          </w:p>
        </w:tc>
        <w:tc>
          <w:tcPr>
            <w:tcW w:w="420" w:type="dxa"/>
            <w:vAlign w:val="bottom"/>
            <w:shd w:val="clear" w:color="auto" w:fill="E8EFF9"/>
          </w:tcPr>
          <w:p>
            <w:pPr>
              <w:spacing w:after="0"/>
              <w:rPr>
                <w:sz w:val="15"/>
                <w:szCs w:val="15"/>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263</w:t>
            </w:r>
          </w:p>
        </w:tc>
      </w:tr>
      <w:tr>
        <w:trPr>
          <w:trHeight w:val="185"/>
        </w:trPr>
        <w:tc>
          <w:tcPr>
            <w:tcW w:w="2520" w:type="dxa"/>
            <w:vAlign w:val="bottom"/>
            <w:tcBorders>
              <w:bottom w:val="single" w:sz="8" w:color="0077C0"/>
            </w:tcBorders>
            <w:shd w:val="clear" w:color="auto" w:fill="E8EFF9"/>
          </w:tcPr>
          <w:p>
            <w:pPr>
              <w:ind w:left="140"/>
              <w:spacing w:after="0"/>
              <w:rPr>
                <w:sz w:val="20"/>
                <w:szCs w:val="20"/>
                <w:color w:val="auto"/>
              </w:rPr>
            </w:pPr>
            <w:r>
              <w:rPr>
                <w:rFonts w:ascii="Times New Roman" w:cs="Times New Roman" w:eastAsia="Times New Roman" w:hAnsi="Times New Roman"/>
                <w:sz w:val="13"/>
                <w:szCs w:val="13"/>
                <w:color w:val="auto"/>
              </w:rPr>
              <w:t>Other changes, net</w:t>
            </w:r>
          </w:p>
        </w:tc>
        <w:tc>
          <w:tcPr>
            <w:tcW w:w="420" w:type="dxa"/>
            <w:vAlign w:val="bottom"/>
            <w:tcBorders>
              <w:bottom w:val="single" w:sz="8" w:color="0077C0"/>
            </w:tcBorders>
            <w:shd w:val="clear" w:color="auto" w:fill="E8EFF9"/>
          </w:tcPr>
          <w:p>
            <w:pPr>
              <w:spacing w:after="0"/>
              <w:rPr>
                <w:sz w:val="16"/>
                <w:szCs w:val="16"/>
                <w:color w:val="auto"/>
              </w:rPr>
            </w:pPr>
          </w:p>
        </w:tc>
        <w:tc>
          <w:tcPr>
            <w:tcW w:w="6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260" w:type="dxa"/>
            <w:vAlign w:val="bottom"/>
            <w:tcBorders>
              <w:bottom w:val="single" w:sz="8" w:color="0077C0"/>
            </w:tcBorders>
            <w:shd w:val="clear" w:color="auto" w:fill="E8EFF9"/>
          </w:tcPr>
          <w:p>
            <w:pPr>
              <w:spacing w:after="0"/>
              <w:rPr>
                <w:sz w:val="16"/>
                <w:szCs w:val="16"/>
                <w:color w:val="auto"/>
              </w:rPr>
            </w:pPr>
          </w:p>
        </w:tc>
        <w:tc>
          <w:tcPr>
            <w:tcW w:w="98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240" w:type="dxa"/>
            <w:vAlign w:val="bottom"/>
            <w:tcBorders>
              <w:bottom w:val="single" w:sz="8" w:color="0077C0"/>
            </w:tcBorders>
            <w:shd w:val="clear" w:color="auto" w:fill="E8EFF9"/>
          </w:tcPr>
          <w:p>
            <w:pPr>
              <w:spacing w:after="0"/>
              <w:rPr>
                <w:sz w:val="16"/>
                <w:szCs w:val="16"/>
                <w:color w:val="auto"/>
              </w:rPr>
            </w:pPr>
          </w:p>
        </w:tc>
        <w:tc>
          <w:tcPr>
            <w:tcW w:w="10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0077C0"/>
            </w:tcBorders>
            <w:shd w:val="clear" w:color="auto" w:fill="E8EFF9"/>
          </w:tcPr>
          <w:p>
            <w:pPr>
              <w:spacing w:after="0"/>
              <w:rPr>
                <w:sz w:val="16"/>
                <w:szCs w:val="16"/>
                <w:color w:val="auto"/>
              </w:rPr>
            </w:pPr>
          </w:p>
        </w:tc>
        <w:tc>
          <w:tcPr>
            <w:tcW w:w="94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0077C0"/>
            </w:tcBorders>
            <w:shd w:val="clear" w:color="auto" w:fill="E8EFF9"/>
          </w:tcPr>
          <w:p>
            <w:pPr>
              <w:spacing w:after="0"/>
              <w:rPr>
                <w:sz w:val="16"/>
                <w:szCs w:val="16"/>
                <w:color w:val="auto"/>
              </w:rPr>
            </w:pPr>
          </w:p>
        </w:tc>
        <w:tc>
          <w:tcPr>
            <w:tcW w:w="1080" w:type="dxa"/>
            <w:vAlign w:val="bottom"/>
            <w:tcBorders>
              <w:bottom w:val="single" w:sz="8" w:color="0077C0"/>
              <w:right w:val="single" w:sz="8" w:color="0077C0"/>
            </w:tcBorders>
            <w:shd w:val="clear" w:color="auto" w:fill="E8EFF9"/>
          </w:tcPr>
          <w:p>
            <w:pPr>
              <w:jc w:val="right"/>
              <w:ind w:right="97"/>
              <w:spacing w:after="0"/>
              <w:rPr>
                <w:sz w:val="20"/>
                <w:szCs w:val="20"/>
                <w:color w:val="auto"/>
              </w:rPr>
            </w:pPr>
            <w:r>
              <w:rPr>
                <w:rFonts w:ascii="Times New Roman" w:cs="Times New Roman" w:eastAsia="Times New Roman" w:hAnsi="Times New Roman"/>
                <w:sz w:val="13"/>
                <w:szCs w:val="13"/>
                <w:color w:val="auto"/>
              </w:rPr>
              <w:t>(59)</w:t>
            </w:r>
          </w:p>
        </w:tc>
        <w:tc>
          <w:tcPr>
            <w:tcW w:w="220" w:type="dxa"/>
            <w:vAlign w:val="bottom"/>
            <w:tcBorders>
              <w:bottom w:val="single" w:sz="8" w:color="0077C0"/>
            </w:tcBorders>
            <w:shd w:val="clear" w:color="auto" w:fill="E8EFF9"/>
          </w:tcPr>
          <w:p>
            <w:pPr>
              <w:spacing w:after="0"/>
              <w:rPr>
                <w:sz w:val="16"/>
                <w:szCs w:val="16"/>
                <w:color w:val="auto"/>
              </w:rPr>
            </w:pPr>
          </w:p>
        </w:tc>
        <w:tc>
          <w:tcPr>
            <w:tcW w:w="10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20" w:type="dxa"/>
            <w:vAlign w:val="bottom"/>
            <w:tcBorders>
              <w:bottom w:val="single" w:sz="8" w:color="0077C0"/>
              <w:right w:val="single" w:sz="8" w:color="0077C0"/>
            </w:tcBorders>
            <w:shd w:val="clear" w:color="auto" w:fill="E8EFF9"/>
          </w:tcPr>
          <w:p>
            <w:pPr>
              <w:spacing w:after="0"/>
              <w:rPr>
                <w:sz w:val="16"/>
                <w:szCs w:val="16"/>
                <w:color w:val="auto"/>
              </w:rPr>
            </w:pPr>
          </w:p>
        </w:tc>
        <w:tc>
          <w:tcPr>
            <w:tcW w:w="420" w:type="dxa"/>
            <w:vAlign w:val="bottom"/>
            <w:tcBorders>
              <w:bottom w:val="single" w:sz="8" w:color="0077C0"/>
            </w:tcBorders>
            <w:shd w:val="clear" w:color="auto" w:fill="E8EFF9"/>
          </w:tcPr>
          <w:p>
            <w:pPr>
              <w:spacing w:after="0"/>
              <w:rPr>
                <w:sz w:val="16"/>
                <w:szCs w:val="16"/>
                <w:color w:val="auto"/>
              </w:rPr>
            </w:pPr>
          </w:p>
        </w:tc>
        <w:tc>
          <w:tcPr>
            <w:tcW w:w="8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71"/>
        </w:trPr>
        <w:tc>
          <w:tcPr>
            <w:tcW w:w="2520" w:type="dxa"/>
            <w:vAlign w:val="bottom"/>
            <w:tcBorders>
              <w:bottom w:val="single" w:sz="8" w:color="0077C0"/>
            </w:tcBorders>
            <w:shd w:val="clear" w:color="auto" w:fill="E8EFF9"/>
          </w:tcPr>
          <w:p>
            <w:pPr>
              <w:ind w:left="20"/>
              <w:spacing w:after="0"/>
              <w:rPr>
                <w:sz w:val="20"/>
                <w:szCs w:val="20"/>
                <w:color w:val="auto"/>
              </w:rPr>
            </w:pPr>
            <w:r>
              <w:rPr>
                <w:rFonts w:ascii="Times New Roman" w:cs="Times New Roman" w:eastAsia="Times New Roman" w:hAnsi="Times New Roman"/>
                <w:sz w:val="13"/>
                <w:szCs w:val="13"/>
                <w:b w:val="1"/>
                <w:bCs w:val="1"/>
                <w:color w:val="0077C0"/>
              </w:rPr>
              <w:t>Balance at December 31, 2023</w:t>
            </w:r>
          </w:p>
        </w:tc>
        <w:tc>
          <w:tcPr>
            <w:tcW w:w="420" w:type="dxa"/>
            <w:vAlign w:val="bottom"/>
            <w:tcBorders>
              <w:bottom w:val="single" w:sz="8" w:color="0077C0"/>
            </w:tcBorders>
            <w:shd w:val="clear" w:color="auto" w:fill="E8EFF9"/>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b w:val="1"/>
                <w:bCs w:val="1"/>
                <w:color w:val="auto"/>
              </w:rPr>
              <w:t>22,957</w:t>
            </w:r>
          </w:p>
        </w:tc>
        <w:tc>
          <w:tcPr>
            <w:tcW w:w="260" w:type="dxa"/>
            <w:vAlign w:val="bottom"/>
            <w:tcBorders>
              <w:bottom w:val="single" w:sz="8" w:color="0077C0"/>
            </w:tcBorders>
            <w:shd w:val="clear" w:color="auto" w:fill="E8EFF9"/>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b w:val="1"/>
                <w:bCs w:val="1"/>
                <w:color w:val="auto"/>
              </w:rPr>
              <w:t>200,025</w:t>
            </w:r>
          </w:p>
        </w:tc>
        <w:tc>
          <w:tcPr>
            <w:tcW w:w="240" w:type="dxa"/>
            <w:vAlign w:val="bottom"/>
            <w:tcBorders>
              <w:bottom w:val="single" w:sz="8" w:color="0077C0"/>
            </w:tcBorders>
            <w:shd w:val="clear" w:color="auto" w:fill="E8EFF9"/>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b w:val="1"/>
                <w:bCs w:val="1"/>
                <w:color w:val="auto"/>
              </w:rPr>
              <w:t>(2,960)</w:t>
            </w:r>
          </w:p>
        </w:tc>
        <w:tc>
          <w:tcPr>
            <w:tcW w:w="300" w:type="dxa"/>
            <w:vAlign w:val="bottom"/>
            <w:tcBorders>
              <w:bottom w:val="single" w:sz="8" w:color="0077C0"/>
            </w:tcBorders>
            <w:shd w:val="clear" w:color="auto" w:fill="E8EFF9"/>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b w:val="1"/>
                <w:bCs w:val="1"/>
                <w:color w:val="auto"/>
              </w:rPr>
              <w:t>(59,065)</w:t>
            </w:r>
          </w:p>
        </w:tc>
        <w:tc>
          <w:tcPr>
            <w:tcW w:w="300" w:type="dxa"/>
            <w:vAlign w:val="bottom"/>
            <w:tcBorders>
              <w:bottom w:val="single" w:sz="8" w:color="0077C0"/>
            </w:tcBorders>
            <w:shd w:val="clear" w:color="auto" w:fill="E8EFF9"/>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bottom w:val="single" w:sz="8" w:color="0077C0"/>
              <w:right w:val="single" w:sz="8" w:color="0077C0"/>
            </w:tcBorders>
            <w:shd w:val="clear" w:color="auto" w:fill="E8EFF9"/>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160,957</w:t>
            </w:r>
          </w:p>
        </w:tc>
        <w:tc>
          <w:tcPr>
            <w:tcW w:w="220" w:type="dxa"/>
            <w:vAlign w:val="bottom"/>
            <w:tcBorders>
              <w:bottom w:val="single" w:sz="8" w:color="0077C0"/>
            </w:tcBorders>
            <w:shd w:val="clear" w:color="auto" w:fill="E8EFF9"/>
          </w:tcPr>
          <w:p>
            <w:pPr>
              <w:jc w:val="right"/>
              <w:ind w:right="10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b w:val="1"/>
                <w:bCs w:val="1"/>
                <w:color w:val="auto"/>
              </w:rPr>
              <w:t>972</w:t>
            </w:r>
          </w:p>
        </w:tc>
        <w:tc>
          <w:tcPr>
            <w:tcW w:w="120" w:type="dxa"/>
            <w:vAlign w:val="bottom"/>
            <w:tcBorders>
              <w:bottom w:val="single" w:sz="8" w:color="0077C0"/>
              <w:right w:val="single" w:sz="8" w:color="0077C0"/>
            </w:tcBorders>
            <w:shd w:val="clear" w:color="auto" w:fill="E8EFF9"/>
          </w:tcPr>
          <w:p>
            <w:pPr>
              <w:spacing w:after="0"/>
              <w:rPr>
                <w:sz w:val="14"/>
                <w:szCs w:val="14"/>
                <w:color w:val="auto"/>
              </w:rPr>
            </w:pPr>
          </w:p>
        </w:tc>
        <w:tc>
          <w:tcPr>
            <w:tcW w:w="420" w:type="dxa"/>
            <w:vAlign w:val="bottom"/>
            <w:tcBorders>
              <w:bottom w:val="single" w:sz="8" w:color="0077C0"/>
            </w:tcBorders>
            <w:shd w:val="clear" w:color="auto" w:fill="E8EFF9"/>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b w:val="1"/>
                <w:bCs w:val="1"/>
                <w:color w:val="auto"/>
              </w:rPr>
              <w:t>161,929</w:t>
            </w:r>
          </w:p>
        </w:tc>
      </w:tr>
      <w:tr>
        <w:trPr>
          <w:trHeight w:val="162"/>
        </w:trPr>
        <w:tc>
          <w:tcPr>
            <w:tcW w:w="2520" w:type="dxa"/>
            <w:vAlign w:val="bottom"/>
            <w:shd w:val="clear" w:color="auto" w:fill="E8EFF9"/>
          </w:tcPr>
          <w:p>
            <w:pPr>
              <w:ind w:left="140"/>
              <w:spacing w:after="0"/>
              <w:rPr>
                <w:sz w:val="20"/>
                <w:szCs w:val="20"/>
                <w:color w:val="auto"/>
              </w:rPr>
            </w:pPr>
            <w:r>
              <w:rPr>
                <w:rFonts w:ascii="Times New Roman" w:cs="Times New Roman" w:eastAsia="Times New Roman" w:hAnsi="Times New Roman"/>
                <w:sz w:val="13"/>
                <w:szCs w:val="13"/>
                <w:color w:val="auto"/>
              </w:rPr>
              <w:t>Treasury stock transactions</w:t>
            </w:r>
          </w:p>
        </w:tc>
        <w:tc>
          <w:tcPr>
            <w:tcW w:w="420" w:type="dxa"/>
            <w:vAlign w:val="bottom"/>
            <w:shd w:val="clear" w:color="auto" w:fill="E8EFF9"/>
          </w:tcPr>
          <w:p>
            <w:pPr>
              <w:spacing w:after="0"/>
              <w:rPr>
                <w:sz w:val="14"/>
                <w:szCs w:val="14"/>
                <w:color w:val="auto"/>
              </w:rPr>
            </w:pPr>
          </w:p>
        </w:tc>
        <w:tc>
          <w:tcPr>
            <w:tcW w:w="6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255</w:t>
            </w:r>
          </w:p>
        </w:tc>
        <w:tc>
          <w:tcPr>
            <w:tcW w:w="260" w:type="dxa"/>
            <w:vAlign w:val="bottom"/>
            <w:shd w:val="clear" w:color="auto" w:fill="E8EFF9"/>
          </w:tcPr>
          <w:p>
            <w:pPr>
              <w:spacing w:after="0"/>
              <w:rPr>
                <w:sz w:val="14"/>
                <w:szCs w:val="14"/>
                <w:color w:val="auto"/>
              </w:rPr>
            </w:pPr>
          </w:p>
        </w:tc>
        <w:tc>
          <w:tcPr>
            <w:tcW w:w="98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E8EFF9"/>
          </w:tcPr>
          <w:p>
            <w:pPr>
              <w:spacing w:after="0"/>
              <w:rPr>
                <w:sz w:val="14"/>
                <w:szCs w:val="14"/>
                <w:color w:val="auto"/>
              </w:rPr>
            </w:pPr>
          </w:p>
        </w:tc>
        <w:tc>
          <w:tcPr>
            <w:tcW w:w="10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E8EFF9"/>
          </w:tcPr>
          <w:p>
            <w:pPr>
              <w:spacing w:after="0"/>
              <w:rPr>
                <w:sz w:val="14"/>
                <w:szCs w:val="14"/>
                <w:color w:val="auto"/>
              </w:rPr>
            </w:pPr>
          </w:p>
        </w:tc>
        <w:tc>
          <w:tcPr>
            <w:tcW w:w="9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E8EFF9"/>
          </w:tcPr>
          <w:p>
            <w:pPr>
              <w:spacing w:after="0"/>
              <w:rPr>
                <w:sz w:val="14"/>
                <w:szCs w:val="14"/>
                <w:color w:val="auto"/>
              </w:rPr>
            </w:pPr>
          </w:p>
        </w:tc>
        <w:tc>
          <w:tcPr>
            <w:tcW w:w="1080" w:type="dxa"/>
            <w:vAlign w:val="bottom"/>
            <w:tcBorders>
              <w:right w:val="single" w:sz="8" w:color="0077C0"/>
            </w:tcBorders>
            <w:shd w:val="clear" w:color="auto" w:fill="E8EFF9"/>
          </w:tcPr>
          <w:p>
            <w:pPr>
              <w:jc w:val="right"/>
              <w:ind w:right="137"/>
              <w:spacing w:after="0"/>
              <w:rPr>
                <w:sz w:val="20"/>
                <w:szCs w:val="20"/>
                <w:color w:val="auto"/>
              </w:rPr>
            </w:pPr>
            <w:r>
              <w:rPr>
                <w:rFonts w:ascii="Times New Roman" w:cs="Times New Roman" w:eastAsia="Times New Roman" w:hAnsi="Times New Roman"/>
                <w:sz w:val="13"/>
                <w:szCs w:val="13"/>
                <w:color w:val="auto"/>
              </w:rPr>
              <w:t>255</w:t>
            </w:r>
          </w:p>
        </w:tc>
        <w:tc>
          <w:tcPr>
            <w:tcW w:w="220" w:type="dxa"/>
            <w:vAlign w:val="bottom"/>
            <w:shd w:val="clear" w:color="auto" w:fill="E8EFF9"/>
          </w:tcPr>
          <w:p>
            <w:pPr>
              <w:spacing w:after="0"/>
              <w:rPr>
                <w:sz w:val="14"/>
                <w:szCs w:val="14"/>
                <w:color w:val="auto"/>
              </w:rPr>
            </w:pPr>
          </w:p>
        </w:tc>
        <w:tc>
          <w:tcPr>
            <w:tcW w:w="10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0077C0"/>
            </w:tcBorders>
            <w:shd w:val="clear" w:color="auto" w:fill="E8EFF9"/>
          </w:tcPr>
          <w:p>
            <w:pPr>
              <w:spacing w:after="0"/>
              <w:rPr>
                <w:sz w:val="14"/>
                <w:szCs w:val="14"/>
                <w:color w:val="auto"/>
              </w:rPr>
            </w:pPr>
          </w:p>
        </w:tc>
        <w:tc>
          <w:tcPr>
            <w:tcW w:w="420" w:type="dxa"/>
            <w:vAlign w:val="bottom"/>
            <w:shd w:val="clear" w:color="auto" w:fill="E8EFF9"/>
          </w:tcPr>
          <w:p>
            <w:pPr>
              <w:spacing w:after="0"/>
              <w:rPr>
                <w:sz w:val="14"/>
                <w:szCs w:val="14"/>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255</w:t>
            </w:r>
          </w:p>
        </w:tc>
      </w:tr>
      <w:tr>
        <w:trPr>
          <w:trHeight w:val="171"/>
        </w:trPr>
        <w:tc>
          <w:tcPr>
            <w:tcW w:w="2520" w:type="dxa"/>
            <w:vAlign w:val="bottom"/>
            <w:shd w:val="clear" w:color="auto" w:fill="E8EFF9"/>
          </w:tcPr>
          <w:p>
            <w:pPr>
              <w:ind w:left="140"/>
              <w:spacing w:after="0"/>
              <w:rPr>
                <w:sz w:val="20"/>
                <w:szCs w:val="20"/>
                <w:color w:val="auto"/>
              </w:rPr>
            </w:pPr>
            <w:r>
              <w:rPr>
                <w:rFonts w:ascii="Times New Roman" w:cs="Times New Roman" w:eastAsia="Times New Roman" w:hAnsi="Times New Roman"/>
                <w:sz w:val="13"/>
                <w:szCs w:val="13"/>
                <w:color w:val="auto"/>
              </w:rPr>
              <w:t>Net income (loss)</w:t>
            </w:r>
          </w:p>
        </w:tc>
        <w:tc>
          <w:tcPr>
            <w:tcW w:w="420" w:type="dxa"/>
            <w:vAlign w:val="bottom"/>
            <w:shd w:val="clear" w:color="auto" w:fill="E8EFF9"/>
          </w:tcPr>
          <w:p>
            <w:pPr>
              <w:spacing w:after="0"/>
              <w:rPr>
                <w:sz w:val="14"/>
                <w:szCs w:val="14"/>
                <w:color w:val="auto"/>
              </w:rPr>
            </w:pPr>
          </w:p>
        </w:tc>
        <w:tc>
          <w:tcPr>
            <w:tcW w:w="6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E8EFF9"/>
          </w:tcPr>
          <w:p>
            <w:pPr>
              <w:spacing w:after="0"/>
              <w:rPr>
                <w:sz w:val="14"/>
                <w:szCs w:val="14"/>
                <w:color w:val="auto"/>
              </w:rPr>
            </w:pPr>
          </w:p>
        </w:tc>
        <w:tc>
          <w:tcPr>
            <w:tcW w:w="98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17,661</w:t>
            </w:r>
          </w:p>
        </w:tc>
        <w:tc>
          <w:tcPr>
            <w:tcW w:w="240" w:type="dxa"/>
            <w:vAlign w:val="bottom"/>
            <w:shd w:val="clear" w:color="auto" w:fill="E8EFF9"/>
          </w:tcPr>
          <w:p>
            <w:pPr>
              <w:spacing w:after="0"/>
              <w:rPr>
                <w:sz w:val="14"/>
                <w:szCs w:val="14"/>
                <w:color w:val="auto"/>
              </w:rPr>
            </w:pPr>
          </w:p>
        </w:tc>
        <w:tc>
          <w:tcPr>
            <w:tcW w:w="10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E8EFF9"/>
          </w:tcPr>
          <w:p>
            <w:pPr>
              <w:spacing w:after="0"/>
              <w:rPr>
                <w:sz w:val="14"/>
                <w:szCs w:val="14"/>
                <w:color w:val="auto"/>
              </w:rPr>
            </w:pPr>
          </w:p>
        </w:tc>
        <w:tc>
          <w:tcPr>
            <w:tcW w:w="9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E8EFF9"/>
          </w:tcPr>
          <w:p>
            <w:pPr>
              <w:spacing w:after="0"/>
              <w:rPr>
                <w:sz w:val="14"/>
                <w:szCs w:val="14"/>
                <w:color w:val="auto"/>
              </w:rPr>
            </w:pPr>
          </w:p>
        </w:tc>
        <w:tc>
          <w:tcPr>
            <w:tcW w:w="1080" w:type="dxa"/>
            <w:vAlign w:val="bottom"/>
            <w:tcBorders>
              <w:right w:val="single" w:sz="8" w:color="0077C0"/>
            </w:tcBorders>
            <w:shd w:val="clear" w:color="auto" w:fill="E8EFF9"/>
          </w:tcPr>
          <w:p>
            <w:pPr>
              <w:jc w:val="right"/>
              <w:ind w:right="137"/>
              <w:spacing w:after="0"/>
              <w:rPr>
                <w:sz w:val="20"/>
                <w:szCs w:val="20"/>
                <w:color w:val="auto"/>
              </w:rPr>
            </w:pPr>
            <w:r>
              <w:rPr>
                <w:rFonts w:ascii="Times New Roman" w:cs="Times New Roman" w:eastAsia="Times New Roman" w:hAnsi="Times New Roman"/>
                <w:sz w:val="13"/>
                <w:szCs w:val="13"/>
                <w:color w:val="auto"/>
              </w:rPr>
              <w:t>17,661</w:t>
            </w:r>
          </w:p>
        </w:tc>
        <w:tc>
          <w:tcPr>
            <w:tcW w:w="220" w:type="dxa"/>
            <w:vAlign w:val="bottom"/>
            <w:shd w:val="clear" w:color="auto" w:fill="E8EFF9"/>
          </w:tcPr>
          <w:p>
            <w:pPr>
              <w:spacing w:after="0"/>
              <w:rPr>
                <w:sz w:val="14"/>
                <w:szCs w:val="14"/>
                <w:color w:val="auto"/>
              </w:rPr>
            </w:pPr>
          </w:p>
        </w:tc>
        <w:tc>
          <w:tcPr>
            <w:tcW w:w="10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20" w:type="dxa"/>
            <w:vAlign w:val="bottom"/>
            <w:tcBorders>
              <w:right w:val="single" w:sz="8" w:color="0077C0"/>
            </w:tcBorders>
            <w:shd w:val="clear" w:color="auto" w:fill="E8EFF9"/>
          </w:tcPr>
          <w:p>
            <w:pPr>
              <w:spacing w:after="0"/>
              <w:rPr>
                <w:sz w:val="14"/>
                <w:szCs w:val="14"/>
                <w:color w:val="auto"/>
              </w:rPr>
            </w:pPr>
          </w:p>
        </w:tc>
        <w:tc>
          <w:tcPr>
            <w:tcW w:w="420" w:type="dxa"/>
            <w:vAlign w:val="bottom"/>
            <w:shd w:val="clear" w:color="auto" w:fill="E8EFF9"/>
          </w:tcPr>
          <w:p>
            <w:pPr>
              <w:spacing w:after="0"/>
              <w:rPr>
                <w:sz w:val="14"/>
                <w:szCs w:val="14"/>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17,749</w:t>
            </w:r>
          </w:p>
        </w:tc>
      </w:tr>
      <w:tr>
        <w:trPr>
          <w:trHeight w:val="175"/>
        </w:trPr>
        <w:tc>
          <w:tcPr>
            <w:tcW w:w="2520" w:type="dxa"/>
            <w:vAlign w:val="bottom"/>
            <w:shd w:val="clear" w:color="auto" w:fill="E8EFF9"/>
          </w:tcPr>
          <w:p>
            <w:pPr>
              <w:ind w:left="140"/>
              <w:spacing w:after="0"/>
              <w:rPr>
                <w:sz w:val="20"/>
                <w:szCs w:val="20"/>
                <w:color w:val="auto"/>
              </w:rPr>
            </w:pPr>
            <w:r>
              <w:rPr>
                <w:rFonts w:ascii="Times New Roman" w:cs="Times New Roman" w:eastAsia="Times New Roman" w:hAnsi="Times New Roman"/>
                <w:sz w:val="13"/>
                <w:szCs w:val="13"/>
                <w:color w:val="auto"/>
              </w:rPr>
              <w:t>Cash dividends ($6.52 per share)</w:t>
            </w:r>
          </w:p>
        </w:tc>
        <w:tc>
          <w:tcPr>
            <w:tcW w:w="420" w:type="dxa"/>
            <w:vAlign w:val="bottom"/>
            <w:shd w:val="clear" w:color="auto" w:fill="E8EFF9"/>
          </w:tcPr>
          <w:p>
            <w:pPr>
              <w:spacing w:after="0"/>
              <w:rPr>
                <w:sz w:val="15"/>
                <w:szCs w:val="15"/>
                <w:color w:val="auto"/>
              </w:rPr>
            </w:pPr>
          </w:p>
        </w:tc>
        <w:tc>
          <w:tcPr>
            <w:tcW w:w="6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E8EFF9"/>
          </w:tcPr>
          <w:p>
            <w:pPr>
              <w:spacing w:after="0"/>
              <w:rPr>
                <w:sz w:val="15"/>
                <w:szCs w:val="15"/>
                <w:color w:val="auto"/>
              </w:rPr>
            </w:pPr>
          </w:p>
        </w:tc>
        <w:tc>
          <w:tcPr>
            <w:tcW w:w="98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(11,801)</w:t>
            </w:r>
          </w:p>
        </w:tc>
        <w:tc>
          <w:tcPr>
            <w:tcW w:w="240" w:type="dxa"/>
            <w:vAlign w:val="bottom"/>
            <w:shd w:val="clear" w:color="auto" w:fill="E8EFF9"/>
          </w:tcPr>
          <w:p>
            <w:pPr>
              <w:spacing w:after="0"/>
              <w:rPr>
                <w:sz w:val="15"/>
                <w:szCs w:val="15"/>
                <w:color w:val="auto"/>
              </w:rPr>
            </w:pPr>
          </w:p>
        </w:tc>
        <w:tc>
          <w:tcPr>
            <w:tcW w:w="10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E8EFF9"/>
          </w:tcPr>
          <w:p>
            <w:pPr>
              <w:spacing w:after="0"/>
              <w:rPr>
                <w:sz w:val="15"/>
                <w:szCs w:val="15"/>
                <w:color w:val="auto"/>
              </w:rPr>
            </w:pPr>
          </w:p>
        </w:tc>
        <w:tc>
          <w:tcPr>
            <w:tcW w:w="9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E8EFF9"/>
          </w:tcPr>
          <w:p>
            <w:pPr>
              <w:spacing w:after="0"/>
              <w:rPr>
                <w:sz w:val="15"/>
                <w:szCs w:val="15"/>
                <w:color w:val="auto"/>
              </w:rPr>
            </w:pPr>
          </w:p>
        </w:tc>
        <w:tc>
          <w:tcPr>
            <w:tcW w:w="1080" w:type="dxa"/>
            <w:vAlign w:val="bottom"/>
            <w:tcBorders>
              <w:right w:val="single" w:sz="8" w:color="0077C0"/>
            </w:tcBorders>
            <w:shd w:val="clear" w:color="auto" w:fill="E8EFF9"/>
          </w:tcPr>
          <w:p>
            <w:pPr>
              <w:jc w:val="right"/>
              <w:ind w:right="97"/>
              <w:spacing w:after="0"/>
              <w:rPr>
                <w:sz w:val="20"/>
                <w:szCs w:val="20"/>
                <w:color w:val="auto"/>
              </w:rPr>
            </w:pPr>
            <w:r>
              <w:rPr>
                <w:rFonts w:ascii="Times New Roman" w:cs="Times New Roman" w:eastAsia="Times New Roman" w:hAnsi="Times New Roman"/>
                <w:sz w:val="13"/>
                <w:szCs w:val="13"/>
                <w:color w:val="auto"/>
              </w:rPr>
              <w:t>(11,801)</w:t>
            </w:r>
          </w:p>
        </w:tc>
        <w:tc>
          <w:tcPr>
            <w:tcW w:w="220" w:type="dxa"/>
            <w:vAlign w:val="bottom"/>
            <w:shd w:val="clear" w:color="auto" w:fill="E8EFF9"/>
          </w:tcPr>
          <w:p>
            <w:pPr>
              <w:spacing w:after="0"/>
              <w:rPr>
                <w:sz w:val="15"/>
                <w:szCs w:val="15"/>
                <w:color w:val="auto"/>
              </w:rPr>
            </w:pPr>
          </w:p>
        </w:tc>
        <w:tc>
          <w:tcPr>
            <w:tcW w:w="10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120" w:type="dxa"/>
            <w:vAlign w:val="bottom"/>
            <w:tcBorders>
              <w:right w:val="single" w:sz="8" w:color="0077C0"/>
            </w:tcBorders>
            <w:shd w:val="clear" w:color="auto" w:fill="E8EFF9"/>
          </w:tcPr>
          <w:p>
            <w:pPr>
              <w:spacing w:after="0"/>
              <w:rPr>
                <w:sz w:val="15"/>
                <w:szCs w:val="15"/>
                <w:color w:val="auto"/>
              </w:rPr>
            </w:pPr>
          </w:p>
        </w:tc>
        <w:tc>
          <w:tcPr>
            <w:tcW w:w="420" w:type="dxa"/>
            <w:vAlign w:val="bottom"/>
            <w:shd w:val="clear" w:color="auto" w:fill="E8EFF9"/>
          </w:tcPr>
          <w:p>
            <w:pPr>
              <w:spacing w:after="0"/>
              <w:rPr>
                <w:sz w:val="15"/>
                <w:szCs w:val="15"/>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(12,011)</w:t>
            </w:r>
          </w:p>
        </w:tc>
      </w:tr>
      <w:tr>
        <w:trPr>
          <w:trHeight w:val="176"/>
        </w:trPr>
        <w:tc>
          <w:tcPr>
            <w:tcW w:w="2520" w:type="dxa"/>
            <w:vAlign w:val="bottom"/>
            <w:shd w:val="clear" w:color="auto" w:fill="E8EFF9"/>
          </w:tcPr>
          <w:p>
            <w:pPr>
              <w:ind w:left="140"/>
              <w:spacing w:after="0"/>
              <w:rPr>
                <w:sz w:val="20"/>
                <w:szCs w:val="20"/>
                <w:color w:val="auto"/>
              </w:rPr>
            </w:pPr>
            <w:r>
              <w:rPr>
                <w:rFonts w:ascii="Times New Roman" w:cs="Times New Roman" w:eastAsia="Times New Roman" w:hAnsi="Times New Roman"/>
                <w:sz w:val="13"/>
                <w:szCs w:val="13"/>
                <w:color w:val="auto"/>
              </w:rPr>
              <w:t>Stock dividends</w:t>
            </w:r>
          </w:p>
        </w:tc>
        <w:tc>
          <w:tcPr>
            <w:tcW w:w="420" w:type="dxa"/>
            <w:vAlign w:val="bottom"/>
            <w:shd w:val="clear" w:color="auto" w:fill="E8EFF9"/>
          </w:tcPr>
          <w:p>
            <w:pPr>
              <w:spacing w:after="0"/>
              <w:rPr>
                <w:sz w:val="15"/>
                <w:szCs w:val="15"/>
                <w:color w:val="auto"/>
              </w:rPr>
            </w:pPr>
          </w:p>
        </w:tc>
        <w:tc>
          <w:tcPr>
            <w:tcW w:w="6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E8EFF9"/>
          </w:tcPr>
          <w:p>
            <w:pPr>
              <w:spacing w:after="0"/>
              <w:rPr>
                <w:sz w:val="15"/>
                <w:szCs w:val="15"/>
                <w:color w:val="auto"/>
              </w:rPr>
            </w:pPr>
          </w:p>
        </w:tc>
        <w:tc>
          <w:tcPr>
            <w:tcW w:w="98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240" w:type="dxa"/>
            <w:vAlign w:val="bottom"/>
            <w:shd w:val="clear" w:color="auto" w:fill="E8EFF9"/>
          </w:tcPr>
          <w:p>
            <w:pPr>
              <w:spacing w:after="0"/>
              <w:rPr>
                <w:sz w:val="15"/>
                <w:szCs w:val="15"/>
                <w:color w:val="auto"/>
              </w:rPr>
            </w:pPr>
          </w:p>
        </w:tc>
        <w:tc>
          <w:tcPr>
            <w:tcW w:w="10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E8EFF9"/>
          </w:tcPr>
          <w:p>
            <w:pPr>
              <w:spacing w:after="0"/>
              <w:rPr>
                <w:sz w:val="15"/>
                <w:szCs w:val="15"/>
                <w:color w:val="auto"/>
              </w:rPr>
            </w:pPr>
          </w:p>
        </w:tc>
        <w:tc>
          <w:tcPr>
            <w:tcW w:w="9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E8EFF9"/>
          </w:tcPr>
          <w:p>
            <w:pPr>
              <w:spacing w:after="0"/>
              <w:rPr>
                <w:sz w:val="15"/>
                <w:szCs w:val="15"/>
                <w:color w:val="auto"/>
              </w:rPr>
            </w:pPr>
          </w:p>
        </w:tc>
        <w:tc>
          <w:tcPr>
            <w:tcW w:w="1080" w:type="dxa"/>
            <w:vAlign w:val="bottom"/>
            <w:tcBorders>
              <w:right w:val="single" w:sz="8" w:color="0077C0"/>
            </w:tcBorders>
            <w:shd w:val="clear" w:color="auto" w:fill="E8EFF9"/>
          </w:tcPr>
          <w:p>
            <w:pPr>
              <w:jc w:val="right"/>
              <w:ind w:right="97"/>
              <w:spacing w:after="0"/>
              <w:rPr>
                <w:sz w:val="20"/>
                <w:szCs w:val="20"/>
                <w:color w:val="auto"/>
              </w:rPr>
            </w:pPr>
            <w:r>
              <w:rPr>
                <w:rFonts w:ascii="Times New Roman" w:cs="Times New Roman" w:eastAsia="Times New Roman" w:hAnsi="Times New Roman"/>
                <w:sz w:val="13"/>
                <w:szCs w:val="13"/>
                <w:color w:val="auto"/>
              </w:rPr>
              <w:t>(22)</w:t>
            </w:r>
          </w:p>
        </w:tc>
        <w:tc>
          <w:tcPr>
            <w:tcW w:w="220" w:type="dxa"/>
            <w:vAlign w:val="bottom"/>
            <w:shd w:val="clear" w:color="auto" w:fill="E8EFF9"/>
          </w:tcPr>
          <w:p>
            <w:pPr>
              <w:spacing w:after="0"/>
              <w:rPr>
                <w:sz w:val="15"/>
                <w:szCs w:val="15"/>
                <w:color w:val="auto"/>
              </w:rPr>
            </w:pPr>
          </w:p>
        </w:tc>
        <w:tc>
          <w:tcPr>
            <w:tcW w:w="10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0077C0"/>
            </w:tcBorders>
            <w:shd w:val="clear" w:color="auto" w:fill="E8EFF9"/>
          </w:tcPr>
          <w:p>
            <w:pPr>
              <w:spacing w:after="0"/>
              <w:rPr>
                <w:sz w:val="15"/>
                <w:szCs w:val="15"/>
                <w:color w:val="auto"/>
              </w:rPr>
            </w:pPr>
          </w:p>
        </w:tc>
        <w:tc>
          <w:tcPr>
            <w:tcW w:w="420" w:type="dxa"/>
            <w:vAlign w:val="bottom"/>
            <w:shd w:val="clear" w:color="auto" w:fill="E8EFF9"/>
          </w:tcPr>
          <w:p>
            <w:pPr>
              <w:spacing w:after="0"/>
              <w:rPr>
                <w:sz w:val="15"/>
                <w:szCs w:val="15"/>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76"/>
        </w:trPr>
        <w:tc>
          <w:tcPr>
            <w:tcW w:w="2520" w:type="dxa"/>
            <w:vAlign w:val="bottom"/>
            <w:shd w:val="clear" w:color="auto" w:fill="E8EFF9"/>
          </w:tcPr>
          <w:p>
            <w:pPr>
              <w:ind w:left="14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420" w:type="dxa"/>
            <w:vAlign w:val="bottom"/>
            <w:shd w:val="clear" w:color="auto" w:fill="E8EFF9"/>
          </w:tcPr>
          <w:p>
            <w:pPr>
              <w:spacing w:after="0"/>
              <w:rPr>
                <w:sz w:val="15"/>
                <w:szCs w:val="15"/>
                <w:color w:val="auto"/>
              </w:rPr>
            </w:pPr>
          </w:p>
        </w:tc>
        <w:tc>
          <w:tcPr>
            <w:tcW w:w="6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E8EFF9"/>
          </w:tcPr>
          <w:p>
            <w:pPr>
              <w:spacing w:after="0"/>
              <w:rPr>
                <w:sz w:val="15"/>
                <w:szCs w:val="15"/>
                <w:color w:val="auto"/>
              </w:rPr>
            </w:pPr>
          </w:p>
        </w:tc>
        <w:tc>
          <w:tcPr>
            <w:tcW w:w="98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E8EFF9"/>
          </w:tcPr>
          <w:p>
            <w:pPr>
              <w:spacing w:after="0"/>
              <w:rPr>
                <w:sz w:val="15"/>
                <w:szCs w:val="15"/>
                <w:color w:val="auto"/>
              </w:rPr>
            </w:pPr>
          </w:p>
        </w:tc>
        <w:tc>
          <w:tcPr>
            <w:tcW w:w="10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300" w:type="dxa"/>
            <w:vAlign w:val="bottom"/>
            <w:shd w:val="clear" w:color="auto" w:fill="E8EFF9"/>
          </w:tcPr>
          <w:p>
            <w:pPr>
              <w:spacing w:after="0"/>
              <w:rPr>
                <w:sz w:val="15"/>
                <w:szCs w:val="15"/>
                <w:color w:val="auto"/>
              </w:rPr>
            </w:pPr>
          </w:p>
        </w:tc>
        <w:tc>
          <w:tcPr>
            <w:tcW w:w="9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E8EFF9"/>
          </w:tcPr>
          <w:p>
            <w:pPr>
              <w:spacing w:after="0"/>
              <w:rPr>
                <w:sz w:val="15"/>
                <w:szCs w:val="15"/>
                <w:color w:val="auto"/>
              </w:rPr>
            </w:pPr>
          </w:p>
        </w:tc>
        <w:tc>
          <w:tcPr>
            <w:tcW w:w="1080" w:type="dxa"/>
            <w:vAlign w:val="bottom"/>
            <w:tcBorders>
              <w:right w:val="single" w:sz="8" w:color="0077C0"/>
            </w:tcBorders>
            <w:shd w:val="clear" w:color="auto" w:fill="E8EFF9"/>
          </w:tcPr>
          <w:p>
            <w:pPr>
              <w:jc w:val="right"/>
              <w:ind w:right="137"/>
              <w:spacing w:after="0"/>
              <w:rPr>
                <w:sz w:val="20"/>
                <w:szCs w:val="20"/>
                <w:color w:val="auto"/>
              </w:rPr>
            </w:pPr>
            <w:r>
              <w:rPr>
                <w:rFonts w:ascii="Times New Roman" w:cs="Times New Roman" w:eastAsia="Times New Roman" w:hAnsi="Times New Roman"/>
                <w:sz w:val="13"/>
                <w:szCs w:val="13"/>
                <w:color w:val="auto"/>
              </w:rPr>
              <w:t>200</w:t>
            </w:r>
          </w:p>
        </w:tc>
        <w:tc>
          <w:tcPr>
            <w:tcW w:w="220" w:type="dxa"/>
            <w:vAlign w:val="bottom"/>
            <w:shd w:val="clear" w:color="auto" w:fill="E8EFF9"/>
          </w:tcPr>
          <w:p>
            <w:pPr>
              <w:spacing w:after="0"/>
              <w:rPr>
                <w:sz w:val="15"/>
                <w:szCs w:val="15"/>
                <w:color w:val="auto"/>
              </w:rPr>
            </w:pPr>
          </w:p>
        </w:tc>
        <w:tc>
          <w:tcPr>
            <w:tcW w:w="10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0077C0"/>
            </w:tcBorders>
            <w:shd w:val="clear" w:color="auto" w:fill="E8EFF9"/>
          </w:tcPr>
          <w:p>
            <w:pPr>
              <w:spacing w:after="0"/>
              <w:rPr>
                <w:sz w:val="15"/>
                <w:szCs w:val="15"/>
                <w:color w:val="auto"/>
              </w:rPr>
            </w:pPr>
          </w:p>
        </w:tc>
        <w:tc>
          <w:tcPr>
            <w:tcW w:w="420" w:type="dxa"/>
            <w:vAlign w:val="bottom"/>
            <w:shd w:val="clear" w:color="auto" w:fill="E8EFF9"/>
          </w:tcPr>
          <w:p>
            <w:pPr>
              <w:spacing w:after="0"/>
              <w:rPr>
                <w:sz w:val="15"/>
                <w:szCs w:val="15"/>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200</w:t>
            </w:r>
          </w:p>
        </w:tc>
      </w:tr>
      <w:tr>
        <w:trPr>
          <w:trHeight w:val="187"/>
        </w:trPr>
        <w:tc>
          <w:tcPr>
            <w:tcW w:w="2520" w:type="dxa"/>
            <w:vAlign w:val="bottom"/>
            <w:shd w:val="clear" w:color="auto" w:fill="E8EFF9"/>
          </w:tcPr>
          <w:p>
            <w:pPr>
              <w:ind w:left="140"/>
              <w:spacing w:after="0"/>
              <w:rPr>
                <w:sz w:val="20"/>
                <w:szCs w:val="20"/>
                <w:color w:val="auto"/>
              </w:rPr>
            </w:pPr>
            <w:r>
              <w:rPr>
                <w:rFonts w:ascii="Times New Roman" w:cs="Times New Roman" w:eastAsia="Times New Roman" w:hAnsi="Times New Roman"/>
                <w:sz w:val="13"/>
                <w:szCs w:val="13"/>
                <w:color w:val="auto"/>
              </w:rPr>
              <w:t>Purchases of treasury shares</w:t>
            </w:r>
            <w:r>
              <w:rPr>
                <w:rFonts w:ascii="Times New Roman" w:cs="Times New Roman" w:eastAsia="Times New Roman" w:hAnsi="Times New Roman"/>
                <w:sz w:val="16"/>
                <w:szCs w:val="16"/>
                <w:color w:val="auto"/>
                <w:vertAlign w:val="superscript"/>
              </w:rPr>
              <w:t>2</w:t>
            </w:r>
          </w:p>
        </w:tc>
        <w:tc>
          <w:tcPr>
            <w:tcW w:w="420" w:type="dxa"/>
            <w:vAlign w:val="bottom"/>
            <w:shd w:val="clear" w:color="auto" w:fill="E8EFF9"/>
          </w:tcPr>
          <w:p>
            <w:pPr>
              <w:spacing w:after="0"/>
              <w:rPr>
                <w:sz w:val="16"/>
                <w:szCs w:val="16"/>
                <w:color w:val="auto"/>
              </w:rPr>
            </w:pPr>
          </w:p>
        </w:tc>
        <w:tc>
          <w:tcPr>
            <w:tcW w:w="6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E8EFF9"/>
          </w:tcPr>
          <w:p>
            <w:pPr>
              <w:spacing w:after="0"/>
              <w:rPr>
                <w:sz w:val="16"/>
                <w:szCs w:val="16"/>
                <w:color w:val="auto"/>
              </w:rPr>
            </w:pPr>
          </w:p>
        </w:tc>
        <w:tc>
          <w:tcPr>
            <w:tcW w:w="98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E8EFF9"/>
          </w:tcPr>
          <w:p>
            <w:pPr>
              <w:spacing w:after="0"/>
              <w:rPr>
                <w:sz w:val="16"/>
                <w:szCs w:val="16"/>
                <w:color w:val="auto"/>
              </w:rPr>
            </w:pPr>
          </w:p>
        </w:tc>
        <w:tc>
          <w:tcPr>
            <w:tcW w:w="10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E8EFF9"/>
          </w:tcPr>
          <w:p>
            <w:pPr>
              <w:spacing w:after="0"/>
              <w:rPr>
                <w:sz w:val="16"/>
                <w:szCs w:val="16"/>
                <w:color w:val="auto"/>
              </w:rPr>
            </w:pPr>
          </w:p>
        </w:tc>
        <w:tc>
          <w:tcPr>
            <w:tcW w:w="9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(15,374)</w:t>
            </w:r>
          </w:p>
        </w:tc>
        <w:tc>
          <w:tcPr>
            <w:tcW w:w="300" w:type="dxa"/>
            <w:vAlign w:val="bottom"/>
            <w:shd w:val="clear" w:color="auto" w:fill="E8EFF9"/>
          </w:tcPr>
          <w:p>
            <w:pPr>
              <w:spacing w:after="0"/>
              <w:rPr>
                <w:sz w:val="16"/>
                <w:szCs w:val="16"/>
                <w:color w:val="auto"/>
              </w:rPr>
            </w:pPr>
          </w:p>
        </w:tc>
        <w:tc>
          <w:tcPr>
            <w:tcW w:w="1080" w:type="dxa"/>
            <w:vAlign w:val="bottom"/>
            <w:tcBorders>
              <w:right w:val="single" w:sz="8" w:color="0077C0"/>
            </w:tcBorders>
            <w:shd w:val="clear" w:color="auto" w:fill="E8EFF9"/>
          </w:tcPr>
          <w:p>
            <w:pPr>
              <w:jc w:val="right"/>
              <w:ind w:right="97"/>
              <w:spacing w:after="0"/>
              <w:rPr>
                <w:sz w:val="20"/>
                <w:szCs w:val="20"/>
                <w:color w:val="auto"/>
              </w:rPr>
            </w:pPr>
            <w:r>
              <w:rPr>
                <w:rFonts w:ascii="Times New Roman" w:cs="Times New Roman" w:eastAsia="Times New Roman" w:hAnsi="Times New Roman"/>
                <w:sz w:val="13"/>
                <w:szCs w:val="13"/>
                <w:color w:val="auto"/>
              </w:rPr>
              <w:t>(15,374)</w:t>
            </w:r>
          </w:p>
        </w:tc>
        <w:tc>
          <w:tcPr>
            <w:tcW w:w="220" w:type="dxa"/>
            <w:vAlign w:val="bottom"/>
            <w:shd w:val="clear" w:color="auto" w:fill="E8EFF9"/>
          </w:tcPr>
          <w:p>
            <w:pPr>
              <w:spacing w:after="0"/>
              <w:rPr>
                <w:sz w:val="16"/>
                <w:szCs w:val="16"/>
                <w:color w:val="auto"/>
              </w:rPr>
            </w:pPr>
          </w:p>
        </w:tc>
        <w:tc>
          <w:tcPr>
            <w:tcW w:w="10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0077C0"/>
            </w:tcBorders>
            <w:shd w:val="clear" w:color="auto" w:fill="E8EFF9"/>
          </w:tcPr>
          <w:p>
            <w:pPr>
              <w:spacing w:after="0"/>
              <w:rPr>
                <w:sz w:val="16"/>
                <w:szCs w:val="16"/>
                <w:color w:val="auto"/>
              </w:rPr>
            </w:pPr>
          </w:p>
        </w:tc>
        <w:tc>
          <w:tcPr>
            <w:tcW w:w="420" w:type="dxa"/>
            <w:vAlign w:val="bottom"/>
            <w:shd w:val="clear" w:color="auto" w:fill="E8EFF9"/>
          </w:tcPr>
          <w:p>
            <w:pPr>
              <w:spacing w:after="0"/>
              <w:rPr>
                <w:sz w:val="16"/>
                <w:szCs w:val="16"/>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(15,374)</w:t>
            </w:r>
          </w:p>
        </w:tc>
      </w:tr>
      <w:tr>
        <w:trPr>
          <w:trHeight w:val="164"/>
        </w:trPr>
        <w:tc>
          <w:tcPr>
            <w:tcW w:w="2520" w:type="dxa"/>
            <w:vAlign w:val="bottom"/>
            <w:shd w:val="clear" w:color="auto" w:fill="E8EFF9"/>
          </w:tcPr>
          <w:p>
            <w:pPr>
              <w:ind w:left="140"/>
              <w:spacing w:after="0"/>
              <w:rPr>
                <w:sz w:val="20"/>
                <w:szCs w:val="20"/>
                <w:color w:val="auto"/>
              </w:rPr>
            </w:pPr>
            <w:r>
              <w:rPr>
                <w:rFonts w:ascii="Times New Roman" w:cs="Times New Roman" w:eastAsia="Times New Roman" w:hAnsi="Times New Roman"/>
                <w:sz w:val="13"/>
                <w:szCs w:val="13"/>
                <w:color w:val="auto"/>
              </w:rPr>
              <w:t>Issuances of treasury shares</w:t>
            </w:r>
          </w:p>
        </w:tc>
        <w:tc>
          <w:tcPr>
            <w:tcW w:w="420" w:type="dxa"/>
            <w:vAlign w:val="bottom"/>
            <w:shd w:val="clear" w:color="auto" w:fill="E8EFF9"/>
          </w:tcPr>
          <w:p>
            <w:pPr>
              <w:spacing w:after="0"/>
              <w:rPr>
                <w:sz w:val="14"/>
                <w:szCs w:val="14"/>
                <w:color w:val="auto"/>
              </w:rPr>
            </w:pPr>
          </w:p>
        </w:tc>
        <w:tc>
          <w:tcPr>
            <w:tcW w:w="6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260" w:type="dxa"/>
            <w:vAlign w:val="bottom"/>
            <w:shd w:val="clear" w:color="auto" w:fill="E8EFF9"/>
          </w:tcPr>
          <w:p>
            <w:pPr>
              <w:spacing w:after="0"/>
              <w:rPr>
                <w:sz w:val="14"/>
                <w:szCs w:val="14"/>
                <w:color w:val="auto"/>
              </w:rPr>
            </w:pPr>
          </w:p>
        </w:tc>
        <w:tc>
          <w:tcPr>
            <w:tcW w:w="98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E8EFF9"/>
          </w:tcPr>
          <w:p>
            <w:pPr>
              <w:spacing w:after="0"/>
              <w:rPr>
                <w:sz w:val="14"/>
                <w:szCs w:val="14"/>
                <w:color w:val="auto"/>
              </w:rPr>
            </w:pPr>
          </w:p>
        </w:tc>
        <w:tc>
          <w:tcPr>
            <w:tcW w:w="10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E8EFF9"/>
          </w:tcPr>
          <w:p>
            <w:pPr>
              <w:spacing w:after="0"/>
              <w:rPr>
                <w:sz w:val="14"/>
                <w:szCs w:val="14"/>
                <w:color w:val="auto"/>
              </w:rPr>
            </w:pPr>
          </w:p>
        </w:tc>
        <w:tc>
          <w:tcPr>
            <w:tcW w:w="9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300" w:type="dxa"/>
            <w:vAlign w:val="bottom"/>
            <w:shd w:val="clear" w:color="auto" w:fill="E8EFF9"/>
          </w:tcPr>
          <w:p>
            <w:pPr>
              <w:spacing w:after="0"/>
              <w:rPr>
                <w:sz w:val="14"/>
                <w:szCs w:val="14"/>
                <w:color w:val="auto"/>
              </w:rPr>
            </w:pPr>
          </w:p>
        </w:tc>
        <w:tc>
          <w:tcPr>
            <w:tcW w:w="1080" w:type="dxa"/>
            <w:vAlign w:val="bottom"/>
            <w:tcBorders>
              <w:right w:val="single" w:sz="8" w:color="0077C0"/>
            </w:tcBorders>
            <w:shd w:val="clear" w:color="auto" w:fill="E8EFF9"/>
          </w:tcPr>
          <w:p>
            <w:pPr>
              <w:jc w:val="right"/>
              <w:ind w:right="137"/>
              <w:spacing w:after="0"/>
              <w:rPr>
                <w:sz w:val="20"/>
                <w:szCs w:val="20"/>
                <w:color w:val="auto"/>
              </w:rPr>
            </w:pPr>
            <w:r>
              <w:rPr>
                <w:rFonts w:ascii="Times New Roman" w:cs="Times New Roman" w:eastAsia="Times New Roman" w:hAnsi="Times New Roman"/>
                <w:sz w:val="13"/>
                <w:szCs w:val="13"/>
                <w:color w:val="auto"/>
              </w:rPr>
              <w:t>453</w:t>
            </w:r>
          </w:p>
        </w:tc>
        <w:tc>
          <w:tcPr>
            <w:tcW w:w="220" w:type="dxa"/>
            <w:vAlign w:val="bottom"/>
            <w:shd w:val="clear" w:color="auto" w:fill="E8EFF9"/>
          </w:tcPr>
          <w:p>
            <w:pPr>
              <w:spacing w:after="0"/>
              <w:rPr>
                <w:sz w:val="14"/>
                <w:szCs w:val="14"/>
                <w:color w:val="auto"/>
              </w:rPr>
            </w:pPr>
          </w:p>
        </w:tc>
        <w:tc>
          <w:tcPr>
            <w:tcW w:w="10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0077C0"/>
            </w:tcBorders>
            <w:shd w:val="clear" w:color="auto" w:fill="E8EFF9"/>
          </w:tcPr>
          <w:p>
            <w:pPr>
              <w:spacing w:after="0"/>
              <w:rPr>
                <w:sz w:val="14"/>
                <w:szCs w:val="14"/>
                <w:color w:val="auto"/>
              </w:rPr>
            </w:pPr>
          </w:p>
        </w:tc>
        <w:tc>
          <w:tcPr>
            <w:tcW w:w="420" w:type="dxa"/>
            <w:vAlign w:val="bottom"/>
            <w:shd w:val="clear" w:color="auto" w:fill="E8EFF9"/>
          </w:tcPr>
          <w:p>
            <w:pPr>
              <w:spacing w:after="0"/>
              <w:rPr>
                <w:sz w:val="14"/>
                <w:szCs w:val="14"/>
                <w:color w:val="auto"/>
              </w:rPr>
            </w:pPr>
          </w:p>
        </w:tc>
        <w:tc>
          <w:tcPr>
            <w:tcW w:w="8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453</w:t>
            </w:r>
          </w:p>
        </w:tc>
      </w:tr>
      <w:tr>
        <w:trPr>
          <w:trHeight w:val="185"/>
        </w:trPr>
        <w:tc>
          <w:tcPr>
            <w:tcW w:w="2520" w:type="dxa"/>
            <w:vAlign w:val="bottom"/>
            <w:tcBorders>
              <w:bottom w:val="single" w:sz="8" w:color="0077C0"/>
            </w:tcBorders>
            <w:shd w:val="clear" w:color="auto" w:fill="E8EFF9"/>
          </w:tcPr>
          <w:p>
            <w:pPr>
              <w:ind w:left="140"/>
              <w:spacing w:after="0"/>
              <w:rPr>
                <w:sz w:val="20"/>
                <w:szCs w:val="20"/>
                <w:color w:val="auto"/>
              </w:rPr>
            </w:pPr>
            <w:r>
              <w:rPr>
                <w:rFonts w:ascii="Times New Roman" w:cs="Times New Roman" w:eastAsia="Times New Roman" w:hAnsi="Times New Roman"/>
                <w:sz w:val="13"/>
                <w:szCs w:val="13"/>
                <w:color w:val="auto"/>
              </w:rPr>
              <w:t>Other changes, net</w:t>
            </w:r>
          </w:p>
        </w:tc>
        <w:tc>
          <w:tcPr>
            <w:tcW w:w="420" w:type="dxa"/>
            <w:vAlign w:val="bottom"/>
            <w:tcBorders>
              <w:bottom w:val="single" w:sz="8" w:color="0077C0"/>
            </w:tcBorders>
            <w:shd w:val="clear" w:color="auto" w:fill="E8EFF9"/>
          </w:tcPr>
          <w:p>
            <w:pPr>
              <w:spacing w:after="0"/>
              <w:rPr>
                <w:sz w:val="16"/>
                <w:szCs w:val="16"/>
                <w:color w:val="auto"/>
              </w:rPr>
            </w:pPr>
          </w:p>
        </w:tc>
        <w:tc>
          <w:tcPr>
            <w:tcW w:w="6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0077C0"/>
            </w:tcBorders>
            <w:shd w:val="clear" w:color="auto" w:fill="E8EFF9"/>
          </w:tcPr>
          <w:p>
            <w:pPr>
              <w:spacing w:after="0"/>
              <w:rPr>
                <w:sz w:val="16"/>
                <w:szCs w:val="16"/>
                <w:color w:val="auto"/>
              </w:rPr>
            </w:pPr>
          </w:p>
        </w:tc>
        <w:tc>
          <w:tcPr>
            <w:tcW w:w="98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40" w:type="dxa"/>
            <w:vAlign w:val="bottom"/>
            <w:tcBorders>
              <w:bottom w:val="single" w:sz="8" w:color="0077C0"/>
            </w:tcBorders>
            <w:shd w:val="clear" w:color="auto" w:fill="E8EFF9"/>
          </w:tcPr>
          <w:p>
            <w:pPr>
              <w:spacing w:after="0"/>
              <w:rPr>
                <w:sz w:val="16"/>
                <w:szCs w:val="16"/>
                <w:color w:val="auto"/>
              </w:rPr>
            </w:pPr>
          </w:p>
        </w:tc>
        <w:tc>
          <w:tcPr>
            <w:tcW w:w="10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0077C0"/>
            </w:tcBorders>
            <w:shd w:val="clear" w:color="auto" w:fill="E8EFF9"/>
          </w:tcPr>
          <w:p>
            <w:pPr>
              <w:spacing w:after="0"/>
              <w:rPr>
                <w:sz w:val="16"/>
                <w:szCs w:val="16"/>
                <w:color w:val="auto"/>
              </w:rPr>
            </w:pPr>
          </w:p>
        </w:tc>
        <w:tc>
          <w:tcPr>
            <w:tcW w:w="94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0077C0"/>
            </w:tcBorders>
            <w:shd w:val="clear" w:color="auto" w:fill="E8EFF9"/>
          </w:tcPr>
          <w:p>
            <w:pPr>
              <w:spacing w:after="0"/>
              <w:rPr>
                <w:sz w:val="16"/>
                <w:szCs w:val="16"/>
                <w:color w:val="auto"/>
              </w:rPr>
            </w:pPr>
          </w:p>
        </w:tc>
        <w:tc>
          <w:tcPr>
            <w:tcW w:w="1080" w:type="dxa"/>
            <w:vAlign w:val="bottom"/>
            <w:tcBorders>
              <w:bottom w:val="single" w:sz="8" w:color="0077C0"/>
              <w:right w:val="single" w:sz="8" w:color="0077C0"/>
            </w:tcBorders>
            <w:shd w:val="clear" w:color="auto" w:fill="E8EFF9"/>
          </w:tcPr>
          <w:p>
            <w:pPr>
              <w:jc w:val="right"/>
              <w:ind w:right="97"/>
              <w:spacing w:after="0"/>
              <w:rPr>
                <w:sz w:val="20"/>
                <w:szCs w:val="20"/>
                <w:color w:val="auto"/>
              </w:rPr>
            </w:pPr>
            <w:r>
              <w:rPr>
                <w:rFonts w:ascii="Times New Roman" w:cs="Times New Roman" w:eastAsia="Times New Roman" w:hAnsi="Times New Roman"/>
                <w:sz w:val="13"/>
                <w:szCs w:val="13"/>
                <w:color w:val="auto"/>
              </w:rPr>
              <w:t>(11)</w:t>
            </w:r>
          </w:p>
        </w:tc>
        <w:tc>
          <w:tcPr>
            <w:tcW w:w="220" w:type="dxa"/>
            <w:vAlign w:val="bottom"/>
            <w:tcBorders>
              <w:bottom w:val="single" w:sz="8" w:color="0077C0"/>
            </w:tcBorders>
            <w:shd w:val="clear" w:color="auto" w:fill="E8EFF9"/>
          </w:tcPr>
          <w:p>
            <w:pPr>
              <w:spacing w:after="0"/>
              <w:rPr>
                <w:sz w:val="16"/>
                <w:szCs w:val="16"/>
                <w:color w:val="auto"/>
              </w:rPr>
            </w:pPr>
          </w:p>
        </w:tc>
        <w:tc>
          <w:tcPr>
            <w:tcW w:w="10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tcBorders>
              <w:bottom w:val="single" w:sz="8" w:color="0077C0"/>
              <w:right w:val="single" w:sz="8" w:color="0077C0"/>
            </w:tcBorders>
            <w:shd w:val="clear" w:color="auto" w:fill="E8EFF9"/>
          </w:tcPr>
          <w:p>
            <w:pPr>
              <w:spacing w:after="0"/>
              <w:rPr>
                <w:sz w:val="16"/>
                <w:szCs w:val="16"/>
                <w:color w:val="auto"/>
              </w:rPr>
            </w:pPr>
          </w:p>
        </w:tc>
        <w:tc>
          <w:tcPr>
            <w:tcW w:w="420" w:type="dxa"/>
            <w:vAlign w:val="bottom"/>
            <w:tcBorders>
              <w:bottom w:val="single" w:sz="8" w:color="0077C0"/>
            </w:tcBorders>
            <w:shd w:val="clear" w:color="auto" w:fill="E8EFF9"/>
          </w:tcPr>
          <w:p>
            <w:pPr>
              <w:spacing w:after="0"/>
              <w:rPr>
                <w:sz w:val="16"/>
                <w:szCs w:val="16"/>
                <w:color w:val="auto"/>
              </w:rPr>
            </w:pPr>
          </w:p>
        </w:tc>
        <w:tc>
          <w:tcPr>
            <w:tcW w:w="8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71"/>
        </w:trPr>
        <w:tc>
          <w:tcPr>
            <w:tcW w:w="2520" w:type="dxa"/>
            <w:vAlign w:val="bottom"/>
            <w:tcBorders>
              <w:bottom w:val="single" w:sz="8" w:color="0077C0"/>
            </w:tcBorders>
            <w:shd w:val="clear" w:color="auto" w:fill="E8EFF9"/>
          </w:tcPr>
          <w:p>
            <w:pPr>
              <w:ind w:left="20"/>
              <w:spacing w:after="0"/>
              <w:rPr>
                <w:sz w:val="20"/>
                <w:szCs w:val="20"/>
                <w:color w:val="auto"/>
              </w:rPr>
            </w:pPr>
            <w:r>
              <w:rPr>
                <w:rFonts w:ascii="Times New Roman" w:cs="Times New Roman" w:eastAsia="Times New Roman" w:hAnsi="Times New Roman"/>
                <w:sz w:val="13"/>
                <w:szCs w:val="13"/>
                <w:b w:val="1"/>
                <w:bCs w:val="1"/>
                <w:color w:val="0077C0"/>
              </w:rPr>
              <w:t>Balance at December 31, 2024</w:t>
            </w:r>
          </w:p>
        </w:tc>
        <w:tc>
          <w:tcPr>
            <w:tcW w:w="420" w:type="dxa"/>
            <w:vAlign w:val="bottom"/>
            <w:tcBorders>
              <w:bottom w:val="single" w:sz="8" w:color="0077C0"/>
            </w:tcBorders>
            <w:shd w:val="clear" w:color="auto" w:fill="E8EFF9"/>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b w:val="1"/>
                <w:bCs w:val="1"/>
                <w:color w:val="auto"/>
              </w:rPr>
              <w:t>23,263</w:t>
            </w:r>
          </w:p>
        </w:tc>
        <w:tc>
          <w:tcPr>
            <w:tcW w:w="260" w:type="dxa"/>
            <w:vAlign w:val="bottom"/>
            <w:tcBorders>
              <w:bottom w:val="single" w:sz="8" w:color="0077C0"/>
            </w:tcBorders>
            <w:shd w:val="clear" w:color="auto" w:fill="E8EFF9"/>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b w:val="1"/>
                <w:bCs w:val="1"/>
                <w:color w:val="auto"/>
              </w:rPr>
              <w:t>205,852</w:t>
            </w:r>
          </w:p>
        </w:tc>
        <w:tc>
          <w:tcPr>
            <w:tcW w:w="240" w:type="dxa"/>
            <w:vAlign w:val="bottom"/>
            <w:tcBorders>
              <w:bottom w:val="single" w:sz="8" w:color="0077C0"/>
            </w:tcBorders>
            <w:shd w:val="clear" w:color="auto" w:fill="E8EFF9"/>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b w:val="1"/>
                <w:bCs w:val="1"/>
                <w:color w:val="auto"/>
              </w:rPr>
              <w:t>(2,760)</w:t>
            </w:r>
          </w:p>
        </w:tc>
        <w:tc>
          <w:tcPr>
            <w:tcW w:w="300" w:type="dxa"/>
            <w:vAlign w:val="bottom"/>
            <w:tcBorders>
              <w:bottom w:val="single" w:sz="8" w:color="0077C0"/>
            </w:tcBorders>
            <w:shd w:val="clear" w:color="auto" w:fill="E8EFF9"/>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b w:val="1"/>
                <w:bCs w:val="1"/>
                <w:color w:val="auto"/>
              </w:rPr>
              <w:t>(74,037)</w:t>
            </w:r>
          </w:p>
        </w:tc>
        <w:tc>
          <w:tcPr>
            <w:tcW w:w="300" w:type="dxa"/>
            <w:vAlign w:val="bottom"/>
            <w:tcBorders>
              <w:bottom w:val="single" w:sz="8" w:color="0077C0"/>
            </w:tcBorders>
            <w:shd w:val="clear" w:color="auto" w:fill="E8EFF9"/>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bottom w:val="single" w:sz="8" w:color="0077C0"/>
              <w:right w:val="single" w:sz="8" w:color="0077C0"/>
            </w:tcBorders>
            <w:shd w:val="clear" w:color="auto" w:fill="E8EFF9"/>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152,318</w:t>
            </w:r>
          </w:p>
        </w:tc>
        <w:tc>
          <w:tcPr>
            <w:tcW w:w="220" w:type="dxa"/>
            <w:vAlign w:val="bottom"/>
            <w:tcBorders>
              <w:bottom w:val="single" w:sz="8" w:color="0077C0"/>
            </w:tcBorders>
            <w:shd w:val="clear" w:color="auto" w:fill="E8EFF9"/>
          </w:tcPr>
          <w:p>
            <w:pPr>
              <w:jc w:val="right"/>
              <w:ind w:right="10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b w:val="1"/>
                <w:bCs w:val="1"/>
                <w:color w:val="auto"/>
              </w:rPr>
              <w:t>839</w:t>
            </w:r>
          </w:p>
        </w:tc>
        <w:tc>
          <w:tcPr>
            <w:tcW w:w="120" w:type="dxa"/>
            <w:vAlign w:val="bottom"/>
            <w:tcBorders>
              <w:bottom w:val="single" w:sz="8" w:color="0077C0"/>
              <w:right w:val="single" w:sz="8" w:color="0077C0"/>
            </w:tcBorders>
            <w:shd w:val="clear" w:color="auto" w:fill="E8EFF9"/>
          </w:tcPr>
          <w:p>
            <w:pPr>
              <w:spacing w:after="0"/>
              <w:rPr>
                <w:sz w:val="14"/>
                <w:szCs w:val="14"/>
                <w:color w:val="auto"/>
              </w:rPr>
            </w:pPr>
          </w:p>
        </w:tc>
        <w:tc>
          <w:tcPr>
            <w:tcW w:w="420" w:type="dxa"/>
            <w:vAlign w:val="bottom"/>
            <w:tcBorders>
              <w:bottom w:val="single" w:sz="8" w:color="0077C0"/>
            </w:tcBorders>
            <w:shd w:val="clear" w:color="auto" w:fill="E8EFF9"/>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b w:val="1"/>
                <w:bCs w:val="1"/>
                <w:color w:val="auto"/>
              </w:rPr>
              <w:t>153,157</w:t>
            </w:r>
          </w:p>
        </w:tc>
      </w:tr>
      <w:tr>
        <w:trPr>
          <w:trHeight w:val="370"/>
        </w:trPr>
        <w:tc>
          <w:tcPr>
            <w:tcW w:w="2520" w:type="dxa"/>
            <w:vAlign w:val="bottom"/>
            <w:tcBorders>
              <w:bottom w:val="single" w:sz="8" w:color="E8EFF9"/>
            </w:tcBorders>
            <w:shd w:val="clear" w:color="auto" w:fill="E8EFF9"/>
          </w:tcPr>
          <w:p>
            <w:pPr>
              <w:spacing w:after="0"/>
              <w:rPr>
                <w:sz w:val="24"/>
                <w:szCs w:val="24"/>
                <w:color w:val="auto"/>
              </w:rPr>
            </w:pPr>
          </w:p>
        </w:tc>
        <w:tc>
          <w:tcPr>
            <w:tcW w:w="420" w:type="dxa"/>
            <w:vAlign w:val="bottom"/>
            <w:tcBorders>
              <w:bottom w:val="single" w:sz="8" w:color="E8EFF9"/>
            </w:tcBorders>
            <w:shd w:val="clear" w:color="auto" w:fill="E8EFF9"/>
          </w:tcPr>
          <w:p>
            <w:pPr>
              <w:spacing w:after="0"/>
              <w:rPr>
                <w:sz w:val="24"/>
                <w:szCs w:val="24"/>
                <w:color w:val="auto"/>
              </w:rPr>
            </w:pPr>
          </w:p>
        </w:tc>
        <w:tc>
          <w:tcPr>
            <w:tcW w:w="600" w:type="dxa"/>
            <w:vAlign w:val="bottom"/>
            <w:tcBorders>
              <w:bottom w:val="single" w:sz="8" w:color="E8EFF9"/>
            </w:tcBorders>
            <w:shd w:val="clear" w:color="auto" w:fill="E8EFF9"/>
          </w:tcPr>
          <w:p>
            <w:pPr>
              <w:spacing w:after="0"/>
              <w:rPr>
                <w:sz w:val="24"/>
                <w:szCs w:val="24"/>
                <w:color w:val="auto"/>
              </w:rPr>
            </w:pPr>
          </w:p>
        </w:tc>
        <w:tc>
          <w:tcPr>
            <w:tcW w:w="260" w:type="dxa"/>
            <w:vAlign w:val="bottom"/>
            <w:tcBorders>
              <w:bottom w:val="single" w:sz="8" w:color="0077C0"/>
            </w:tcBorders>
            <w:shd w:val="clear" w:color="auto" w:fill="E8EFF9"/>
          </w:tcPr>
          <w:p>
            <w:pPr>
              <w:spacing w:after="0"/>
              <w:rPr>
                <w:sz w:val="24"/>
                <w:szCs w:val="24"/>
                <w:color w:val="auto"/>
              </w:rPr>
            </w:pPr>
          </w:p>
        </w:tc>
        <w:tc>
          <w:tcPr>
            <w:tcW w:w="980" w:type="dxa"/>
            <w:vAlign w:val="bottom"/>
            <w:tcBorders>
              <w:bottom w:val="single" w:sz="8" w:color="0077C0"/>
            </w:tcBorders>
            <w:shd w:val="clear" w:color="auto" w:fill="E8EFF9"/>
          </w:tcPr>
          <w:p>
            <w:pPr>
              <w:spacing w:after="0"/>
              <w:rPr>
                <w:sz w:val="24"/>
                <w:szCs w:val="24"/>
                <w:color w:val="auto"/>
              </w:rPr>
            </w:pPr>
          </w:p>
        </w:tc>
        <w:tc>
          <w:tcPr>
            <w:tcW w:w="240" w:type="dxa"/>
            <w:vAlign w:val="bottom"/>
            <w:tcBorders>
              <w:bottom w:val="single" w:sz="8" w:color="0077C0"/>
            </w:tcBorders>
            <w:shd w:val="clear" w:color="auto" w:fill="E8EFF9"/>
          </w:tcPr>
          <w:p>
            <w:pPr>
              <w:spacing w:after="0"/>
              <w:rPr>
                <w:sz w:val="24"/>
                <w:szCs w:val="24"/>
                <w:color w:val="auto"/>
              </w:rPr>
            </w:pPr>
          </w:p>
        </w:tc>
        <w:tc>
          <w:tcPr>
            <w:tcW w:w="2540" w:type="dxa"/>
            <w:vAlign w:val="bottom"/>
            <w:tcBorders>
              <w:bottom w:val="single" w:sz="8" w:color="0077C0"/>
            </w:tcBorders>
            <w:gridSpan w:val="4"/>
            <w:shd w:val="clear" w:color="auto" w:fill="E8EFF9"/>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Common Stock Share Activity</w:t>
            </w:r>
          </w:p>
        </w:tc>
        <w:tc>
          <w:tcPr>
            <w:tcW w:w="1080" w:type="dxa"/>
            <w:vAlign w:val="bottom"/>
            <w:tcBorders>
              <w:bottom w:val="single" w:sz="8" w:color="0077C0"/>
              <w:right w:val="single" w:sz="8" w:color="E8EFF9"/>
            </w:tcBorders>
            <w:shd w:val="clear" w:color="auto" w:fill="E8EFF9"/>
          </w:tcPr>
          <w:p>
            <w:pPr>
              <w:spacing w:after="0"/>
              <w:rPr>
                <w:sz w:val="24"/>
                <w:szCs w:val="24"/>
                <w:color w:val="auto"/>
              </w:rPr>
            </w:pPr>
          </w:p>
        </w:tc>
        <w:tc>
          <w:tcPr>
            <w:tcW w:w="220" w:type="dxa"/>
            <w:vAlign w:val="bottom"/>
            <w:tcBorders>
              <w:bottom w:val="single" w:sz="8" w:color="0077C0"/>
            </w:tcBorders>
            <w:shd w:val="clear" w:color="auto" w:fill="E8EFF9"/>
          </w:tcPr>
          <w:p>
            <w:pPr>
              <w:spacing w:after="0"/>
              <w:rPr>
                <w:sz w:val="24"/>
                <w:szCs w:val="24"/>
                <w:color w:val="auto"/>
              </w:rPr>
            </w:pPr>
          </w:p>
        </w:tc>
        <w:tc>
          <w:tcPr>
            <w:tcW w:w="1000" w:type="dxa"/>
            <w:vAlign w:val="bottom"/>
            <w:tcBorders>
              <w:bottom w:val="single" w:sz="8" w:color="0077C0"/>
            </w:tcBorders>
            <w:shd w:val="clear" w:color="auto" w:fill="E8EFF9"/>
          </w:tcPr>
          <w:p>
            <w:pPr>
              <w:spacing w:after="0"/>
              <w:rPr>
                <w:sz w:val="24"/>
                <w:szCs w:val="24"/>
                <w:color w:val="auto"/>
              </w:rPr>
            </w:pPr>
          </w:p>
        </w:tc>
        <w:tc>
          <w:tcPr>
            <w:tcW w:w="120" w:type="dxa"/>
            <w:vAlign w:val="bottom"/>
            <w:tcBorders>
              <w:bottom w:val="single" w:sz="8" w:color="E8EFF9"/>
              <w:right w:val="single" w:sz="8" w:color="E8EFF9"/>
            </w:tcBorders>
            <w:shd w:val="clear" w:color="auto" w:fill="E8EFF9"/>
          </w:tcPr>
          <w:p>
            <w:pPr>
              <w:spacing w:after="0"/>
              <w:rPr>
                <w:sz w:val="24"/>
                <w:szCs w:val="24"/>
                <w:color w:val="auto"/>
              </w:rPr>
            </w:pPr>
          </w:p>
        </w:tc>
        <w:tc>
          <w:tcPr>
            <w:tcW w:w="420" w:type="dxa"/>
            <w:vAlign w:val="bottom"/>
            <w:tcBorders>
              <w:bottom w:val="single" w:sz="8" w:color="E8EFF9"/>
            </w:tcBorders>
            <w:shd w:val="clear" w:color="auto" w:fill="E8EFF9"/>
          </w:tcPr>
          <w:p>
            <w:pPr>
              <w:spacing w:after="0"/>
              <w:rPr>
                <w:sz w:val="24"/>
                <w:szCs w:val="24"/>
                <w:color w:val="auto"/>
              </w:rPr>
            </w:pPr>
          </w:p>
        </w:tc>
        <w:tc>
          <w:tcPr>
            <w:tcW w:w="800" w:type="dxa"/>
            <w:vAlign w:val="bottom"/>
            <w:tcBorders>
              <w:bottom w:val="single" w:sz="8" w:color="E8EFF9"/>
            </w:tcBorders>
            <w:shd w:val="clear" w:color="auto" w:fill="E8EFF9"/>
          </w:tcPr>
          <w:p>
            <w:pPr>
              <w:spacing w:after="0"/>
              <w:rPr>
                <w:sz w:val="24"/>
                <w:szCs w:val="24"/>
                <w:color w:val="auto"/>
              </w:rPr>
            </w:pPr>
          </w:p>
        </w:tc>
      </w:tr>
      <w:tr>
        <w:trPr>
          <w:trHeight w:val="175"/>
        </w:trPr>
        <w:tc>
          <w:tcPr>
            <w:tcW w:w="2520" w:type="dxa"/>
            <w:vAlign w:val="bottom"/>
            <w:tcBorders>
              <w:bottom w:val="single" w:sz="8" w:color="0077C0"/>
            </w:tcBorders>
            <w:shd w:val="clear" w:color="auto" w:fill="E8EFF9"/>
          </w:tcPr>
          <w:p>
            <w:pPr>
              <w:spacing w:after="0"/>
              <w:rPr>
                <w:sz w:val="15"/>
                <w:szCs w:val="15"/>
                <w:color w:val="auto"/>
              </w:rPr>
            </w:pPr>
          </w:p>
        </w:tc>
        <w:tc>
          <w:tcPr>
            <w:tcW w:w="420" w:type="dxa"/>
            <w:vAlign w:val="bottom"/>
            <w:tcBorders>
              <w:bottom w:val="single" w:sz="8" w:color="0077C0"/>
            </w:tcBorders>
            <w:shd w:val="clear" w:color="auto" w:fill="E8EFF9"/>
          </w:tcPr>
          <w:p>
            <w:pPr>
              <w:spacing w:after="0"/>
              <w:rPr>
                <w:sz w:val="15"/>
                <w:szCs w:val="15"/>
                <w:color w:val="auto"/>
              </w:rPr>
            </w:pPr>
          </w:p>
        </w:tc>
        <w:tc>
          <w:tcPr>
            <w:tcW w:w="600" w:type="dxa"/>
            <w:vAlign w:val="bottom"/>
            <w:tcBorders>
              <w:bottom w:val="single" w:sz="8" w:color="0077C0"/>
            </w:tcBorders>
            <w:shd w:val="clear" w:color="auto" w:fill="E8EFF9"/>
          </w:tcPr>
          <w:p>
            <w:pPr>
              <w:spacing w:after="0"/>
              <w:rPr>
                <w:sz w:val="15"/>
                <w:szCs w:val="15"/>
                <w:color w:val="auto"/>
              </w:rPr>
            </w:pPr>
          </w:p>
        </w:tc>
        <w:tc>
          <w:tcPr>
            <w:tcW w:w="260" w:type="dxa"/>
            <w:vAlign w:val="bottom"/>
            <w:tcBorders>
              <w:bottom w:val="single" w:sz="8" w:color="0077C0"/>
            </w:tcBorders>
            <w:shd w:val="clear" w:color="auto" w:fill="E8EFF9"/>
          </w:tcPr>
          <w:p>
            <w:pPr>
              <w:spacing w:after="0"/>
              <w:rPr>
                <w:sz w:val="15"/>
                <w:szCs w:val="15"/>
                <w:color w:val="auto"/>
              </w:rPr>
            </w:pPr>
          </w:p>
        </w:tc>
        <w:tc>
          <w:tcPr>
            <w:tcW w:w="980" w:type="dxa"/>
            <w:vAlign w:val="bottom"/>
            <w:tcBorders>
              <w:bottom w:val="single" w:sz="8" w:color="0077C0"/>
            </w:tcBorders>
            <w:shd w:val="clear" w:color="auto" w:fill="E8EFF9"/>
          </w:tcPr>
          <w:p>
            <w:pPr>
              <w:jc w:val="right"/>
              <w:spacing w:after="0" w:line="175" w:lineRule="exact"/>
              <w:rPr>
                <w:sz w:val="20"/>
                <w:szCs w:val="20"/>
                <w:color w:val="auto"/>
              </w:rPr>
            </w:pPr>
            <w:r>
              <w:rPr>
                <w:rFonts w:ascii="Times New Roman" w:cs="Times New Roman" w:eastAsia="Times New Roman" w:hAnsi="Times New Roman"/>
                <w:sz w:val="13"/>
                <w:szCs w:val="13"/>
                <w:b w:val="1"/>
                <w:bCs w:val="1"/>
                <w:color w:val="auto"/>
              </w:rPr>
              <w:t>Issued</w:t>
            </w:r>
            <w:r>
              <w:rPr>
                <w:rFonts w:ascii="Times New Roman" w:cs="Times New Roman" w:eastAsia="Times New Roman" w:hAnsi="Times New Roman"/>
                <w:sz w:val="16"/>
                <w:szCs w:val="16"/>
                <w:b w:val="1"/>
                <w:bCs w:val="1"/>
                <w:color w:val="auto"/>
                <w:vertAlign w:val="superscript"/>
              </w:rPr>
              <w:t>3</w:t>
            </w:r>
          </w:p>
        </w:tc>
        <w:tc>
          <w:tcPr>
            <w:tcW w:w="240" w:type="dxa"/>
            <w:vAlign w:val="bottom"/>
            <w:tcBorders>
              <w:bottom w:val="single" w:sz="8" w:color="0077C0"/>
            </w:tcBorders>
            <w:shd w:val="clear" w:color="auto" w:fill="E8EFF9"/>
          </w:tcPr>
          <w:p>
            <w:pPr>
              <w:spacing w:after="0"/>
              <w:rPr>
                <w:sz w:val="15"/>
                <w:szCs w:val="15"/>
                <w:color w:val="auto"/>
              </w:rPr>
            </w:pPr>
          </w:p>
        </w:tc>
        <w:tc>
          <w:tcPr>
            <w:tcW w:w="1000" w:type="dxa"/>
            <w:vAlign w:val="bottom"/>
            <w:tcBorders>
              <w:bottom w:val="single" w:sz="8" w:color="0077C0"/>
            </w:tcBorders>
            <w:shd w:val="clear" w:color="auto" w:fill="E8EFF9"/>
          </w:tcPr>
          <w:p>
            <w:pPr>
              <w:spacing w:after="0"/>
              <w:rPr>
                <w:sz w:val="15"/>
                <w:szCs w:val="15"/>
                <w:color w:val="auto"/>
              </w:rPr>
            </w:pPr>
          </w:p>
        </w:tc>
        <w:tc>
          <w:tcPr>
            <w:tcW w:w="300" w:type="dxa"/>
            <w:vAlign w:val="bottom"/>
            <w:tcBorders>
              <w:bottom w:val="single" w:sz="8" w:color="0077C0"/>
            </w:tcBorders>
            <w:shd w:val="clear" w:color="auto" w:fill="E8EFF9"/>
          </w:tcPr>
          <w:p>
            <w:pPr>
              <w:spacing w:after="0"/>
              <w:rPr>
                <w:sz w:val="15"/>
                <w:szCs w:val="15"/>
                <w:color w:val="auto"/>
              </w:rPr>
            </w:pPr>
          </w:p>
        </w:tc>
        <w:tc>
          <w:tcPr>
            <w:tcW w:w="94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300" w:type="dxa"/>
            <w:vAlign w:val="bottom"/>
            <w:tcBorders>
              <w:bottom w:val="single" w:sz="8" w:color="0077C0"/>
            </w:tcBorders>
            <w:shd w:val="clear" w:color="auto" w:fill="E8EFF9"/>
          </w:tcPr>
          <w:p>
            <w:pPr>
              <w:spacing w:after="0"/>
              <w:rPr>
                <w:sz w:val="15"/>
                <w:szCs w:val="15"/>
                <w:color w:val="auto"/>
              </w:rPr>
            </w:pPr>
          </w:p>
        </w:tc>
        <w:tc>
          <w:tcPr>
            <w:tcW w:w="1080" w:type="dxa"/>
            <w:vAlign w:val="bottom"/>
            <w:tcBorders>
              <w:bottom w:val="single" w:sz="8" w:color="0077C0"/>
              <w:right w:val="single" w:sz="8" w:color="E8EFF9"/>
            </w:tcBorders>
            <w:shd w:val="clear" w:color="auto" w:fill="E8EFF9"/>
          </w:tcPr>
          <w:p>
            <w:pPr>
              <w:spacing w:after="0"/>
              <w:rPr>
                <w:sz w:val="15"/>
                <w:szCs w:val="15"/>
                <w:color w:val="auto"/>
              </w:rPr>
            </w:pPr>
          </w:p>
        </w:tc>
        <w:tc>
          <w:tcPr>
            <w:tcW w:w="220" w:type="dxa"/>
            <w:vAlign w:val="bottom"/>
            <w:tcBorders>
              <w:bottom w:val="single" w:sz="8" w:color="0077C0"/>
            </w:tcBorders>
            <w:shd w:val="clear" w:color="auto" w:fill="E8EFF9"/>
          </w:tcPr>
          <w:p>
            <w:pPr>
              <w:spacing w:after="0"/>
              <w:rPr>
                <w:sz w:val="15"/>
                <w:szCs w:val="15"/>
                <w:color w:val="auto"/>
              </w:rPr>
            </w:pPr>
          </w:p>
        </w:tc>
        <w:tc>
          <w:tcPr>
            <w:tcW w:w="10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20" w:type="dxa"/>
            <w:vAlign w:val="bottom"/>
            <w:tcBorders>
              <w:bottom w:val="single" w:sz="8" w:color="E8EFF9"/>
              <w:right w:val="single" w:sz="8" w:color="E8EFF9"/>
            </w:tcBorders>
            <w:shd w:val="clear" w:color="auto" w:fill="E8EFF9"/>
          </w:tcPr>
          <w:p>
            <w:pPr>
              <w:spacing w:after="0"/>
              <w:rPr>
                <w:sz w:val="15"/>
                <w:szCs w:val="15"/>
                <w:color w:val="auto"/>
              </w:rPr>
            </w:pPr>
          </w:p>
        </w:tc>
        <w:tc>
          <w:tcPr>
            <w:tcW w:w="420" w:type="dxa"/>
            <w:vAlign w:val="bottom"/>
            <w:tcBorders>
              <w:bottom w:val="single" w:sz="8" w:color="E8EFF9"/>
            </w:tcBorders>
            <w:shd w:val="clear" w:color="auto" w:fill="E8EFF9"/>
          </w:tcPr>
          <w:p>
            <w:pPr>
              <w:spacing w:after="0"/>
              <w:rPr>
                <w:sz w:val="15"/>
                <w:szCs w:val="15"/>
                <w:color w:val="auto"/>
              </w:rPr>
            </w:pPr>
          </w:p>
        </w:tc>
        <w:tc>
          <w:tcPr>
            <w:tcW w:w="800" w:type="dxa"/>
            <w:vAlign w:val="bottom"/>
            <w:tcBorders>
              <w:bottom w:val="single" w:sz="8" w:color="E8EFF9"/>
            </w:tcBorders>
            <w:shd w:val="clear" w:color="auto" w:fill="E8EFF9"/>
          </w:tcPr>
          <w:p>
            <w:pPr>
              <w:spacing w:after="0"/>
              <w:rPr>
                <w:sz w:val="15"/>
                <w:szCs w:val="15"/>
                <w:color w:val="auto"/>
              </w:rPr>
            </w:pPr>
          </w:p>
        </w:tc>
      </w:tr>
      <w:tr>
        <w:trPr>
          <w:trHeight w:val="164"/>
        </w:trPr>
        <w:tc>
          <w:tcPr>
            <w:tcW w:w="2520" w:type="dxa"/>
            <w:vAlign w:val="bottom"/>
            <w:tcBorders>
              <w:bottom w:val="single" w:sz="8" w:color="0077C0"/>
            </w:tcBorders>
            <w:shd w:val="clear" w:color="auto" w:fill="E8EFF9"/>
          </w:tcPr>
          <w:p>
            <w:pPr>
              <w:ind w:left="20"/>
              <w:spacing w:after="0"/>
              <w:rPr>
                <w:sz w:val="20"/>
                <w:szCs w:val="20"/>
                <w:color w:val="auto"/>
              </w:rPr>
            </w:pPr>
            <w:r>
              <w:rPr>
                <w:rFonts w:ascii="Times New Roman" w:cs="Times New Roman" w:eastAsia="Times New Roman" w:hAnsi="Times New Roman"/>
                <w:sz w:val="13"/>
                <w:szCs w:val="13"/>
                <w:b w:val="1"/>
                <w:bCs w:val="1"/>
                <w:color w:val="0077C0"/>
              </w:rPr>
              <w:t>Balance at December 31, 2021</w:t>
            </w:r>
          </w:p>
        </w:tc>
        <w:tc>
          <w:tcPr>
            <w:tcW w:w="420" w:type="dxa"/>
            <w:vAlign w:val="bottom"/>
            <w:tcBorders>
              <w:bottom w:val="single" w:sz="8" w:color="0077C0"/>
            </w:tcBorders>
            <w:shd w:val="clear" w:color="auto" w:fill="E8EFF9"/>
          </w:tcPr>
          <w:p>
            <w:pPr>
              <w:spacing w:after="0"/>
              <w:rPr>
                <w:sz w:val="14"/>
                <w:szCs w:val="14"/>
                <w:color w:val="auto"/>
              </w:rPr>
            </w:pPr>
          </w:p>
        </w:tc>
        <w:tc>
          <w:tcPr>
            <w:tcW w:w="600" w:type="dxa"/>
            <w:vAlign w:val="bottom"/>
            <w:tcBorders>
              <w:bottom w:val="single" w:sz="8" w:color="0077C0"/>
            </w:tcBorders>
            <w:shd w:val="clear" w:color="auto" w:fill="E8EFF9"/>
          </w:tcPr>
          <w:p>
            <w:pPr>
              <w:spacing w:after="0"/>
              <w:rPr>
                <w:sz w:val="14"/>
                <w:szCs w:val="14"/>
                <w:color w:val="auto"/>
              </w:rPr>
            </w:pPr>
          </w:p>
        </w:tc>
        <w:tc>
          <w:tcPr>
            <w:tcW w:w="260" w:type="dxa"/>
            <w:vAlign w:val="bottom"/>
            <w:tcBorders>
              <w:bottom w:val="single" w:sz="8" w:color="0077C0"/>
            </w:tcBorders>
            <w:shd w:val="clear" w:color="auto" w:fill="E8EFF9"/>
          </w:tcPr>
          <w:p>
            <w:pPr>
              <w:spacing w:after="0"/>
              <w:rPr>
                <w:sz w:val="14"/>
                <w:szCs w:val="14"/>
                <w:color w:val="auto"/>
              </w:rPr>
            </w:pPr>
          </w:p>
        </w:tc>
        <w:tc>
          <w:tcPr>
            <w:tcW w:w="98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b w:val="1"/>
                <w:bCs w:val="1"/>
                <w:color w:val="auto"/>
              </w:rPr>
              <w:t>2,442,676,580</w:t>
            </w:r>
          </w:p>
        </w:tc>
        <w:tc>
          <w:tcPr>
            <w:tcW w:w="240" w:type="dxa"/>
            <w:vAlign w:val="bottom"/>
            <w:tcBorders>
              <w:bottom w:val="single" w:sz="8" w:color="0077C0"/>
            </w:tcBorders>
            <w:shd w:val="clear" w:color="auto" w:fill="E8EFF9"/>
          </w:tcPr>
          <w:p>
            <w:pPr>
              <w:spacing w:after="0"/>
              <w:rPr>
                <w:sz w:val="14"/>
                <w:szCs w:val="14"/>
                <w:color w:val="auto"/>
              </w:rPr>
            </w:pPr>
          </w:p>
        </w:tc>
        <w:tc>
          <w:tcPr>
            <w:tcW w:w="1000" w:type="dxa"/>
            <w:vAlign w:val="bottom"/>
            <w:tcBorders>
              <w:bottom w:val="single" w:sz="8" w:color="0077C0"/>
            </w:tcBorders>
            <w:shd w:val="clear" w:color="auto" w:fill="E8EFF9"/>
          </w:tcPr>
          <w:p>
            <w:pPr>
              <w:spacing w:after="0"/>
              <w:rPr>
                <w:sz w:val="14"/>
                <w:szCs w:val="14"/>
                <w:color w:val="auto"/>
              </w:rPr>
            </w:pPr>
          </w:p>
        </w:tc>
        <w:tc>
          <w:tcPr>
            <w:tcW w:w="300" w:type="dxa"/>
            <w:vAlign w:val="bottom"/>
            <w:tcBorders>
              <w:bottom w:val="single" w:sz="8" w:color="0077C0"/>
            </w:tcBorders>
            <w:shd w:val="clear" w:color="auto" w:fill="E8EFF9"/>
          </w:tcPr>
          <w:p>
            <w:pPr>
              <w:spacing w:after="0"/>
              <w:rPr>
                <w:sz w:val="14"/>
                <w:szCs w:val="14"/>
                <w:color w:val="auto"/>
              </w:rPr>
            </w:pPr>
          </w:p>
        </w:tc>
        <w:tc>
          <w:tcPr>
            <w:tcW w:w="94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b w:val="1"/>
                <w:bCs w:val="1"/>
                <w:color w:val="auto"/>
              </w:rPr>
              <w:t>(512,870,523)</w:t>
            </w:r>
          </w:p>
        </w:tc>
        <w:tc>
          <w:tcPr>
            <w:tcW w:w="300" w:type="dxa"/>
            <w:vAlign w:val="bottom"/>
            <w:tcBorders>
              <w:bottom w:val="single" w:sz="8" w:color="0077C0"/>
            </w:tcBorders>
            <w:shd w:val="clear" w:color="auto" w:fill="E8EFF9"/>
          </w:tcPr>
          <w:p>
            <w:pPr>
              <w:spacing w:after="0"/>
              <w:rPr>
                <w:sz w:val="14"/>
                <w:szCs w:val="14"/>
                <w:color w:val="auto"/>
              </w:rPr>
            </w:pPr>
          </w:p>
        </w:tc>
        <w:tc>
          <w:tcPr>
            <w:tcW w:w="1080" w:type="dxa"/>
            <w:vAlign w:val="bottom"/>
            <w:tcBorders>
              <w:bottom w:val="single" w:sz="8" w:color="0077C0"/>
              <w:right w:val="single" w:sz="8" w:color="E8EFF9"/>
            </w:tcBorders>
            <w:shd w:val="clear" w:color="auto" w:fill="E8EFF9"/>
          </w:tcPr>
          <w:p>
            <w:pPr>
              <w:spacing w:after="0"/>
              <w:rPr>
                <w:sz w:val="14"/>
                <w:szCs w:val="14"/>
                <w:color w:val="auto"/>
              </w:rPr>
            </w:pPr>
          </w:p>
        </w:tc>
        <w:tc>
          <w:tcPr>
            <w:tcW w:w="220" w:type="dxa"/>
            <w:vAlign w:val="bottom"/>
            <w:tcBorders>
              <w:bottom w:val="single" w:sz="8" w:color="0077C0"/>
            </w:tcBorders>
            <w:shd w:val="clear" w:color="auto" w:fill="E8EFF9"/>
          </w:tcPr>
          <w:p>
            <w:pPr>
              <w:spacing w:after="0"/>
              <w:rPr>
                <w:sz w:val="14"/>
                <w:szCs w:val="14"/>
                <w:color w:val="auto"/>
              </w:rPr>
            </w:pPr>
          </w:p>
        </w:tc>
        <w:tc>
          <w:tcPr>
            <w:tcW w:w="10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b w:val="1"/>
                <w:bCs w:val="1"/>
                <w:color w:val="auto"/>
              </w:rPr>
              <w:t>1,929,806,057</w:t>
            </w:r>
          </w:p>
        </w:tc>
        <w:tc>
          <w:tcPr>
            <w:tcW w:w="120" w:type="dxa"/>
            <w:vAlign w:val="bottom"/>
            <w:tcBorders>
              <w:bottom w:val="single" w:sz="8" w:color="E8EFF9"/>
              <w:right w:val="single" w:sz="8" w:color="E8EFF9"/>
            </w:tcBorders>
            <w:shd w:val="clear" w:color="auto" w:fill="E8EFF9"/>
          </w:tcPr>
          <w:p>
            <w:pPr>
              <w:spacing w:after="0"/>
              <w:rPr>
                <w:sz w:val="14"/>
                <w:szCs w:val="14"/>
                <w:color w:val="auto"/>
              </w:rPr>
            </w:pPr>
          </w:p>
        </w:tc>
        <w:tc>
          <w:tcPr>
            <w:tcW w:w="420" w:type="dxa"/>
            <w:vAlign w:val="bottom"/>
            <w:tcBorders>
              <w:bottom w:val="single" w:sz="8" w:color="E8EFF9"/>
            </w:tcBorders>
            <w:shd w:val="clear" w:color="auto" w:fill="E8EFF9"/>
          </w:tcPr>
          <w:p>
            <w:pPr>
              <w:spacing w:after="0"/>
              <w:rPr>
                <w:sz w:val="14"/>
                <w:szCs w:val="14"/>
                <w:color w:val="auto"/>
              </w:rPr>
            </w:pPr>
          </w:p>
        </w:tc>
        <w:tc>
          <w:tcPr>
            <w:tcW w:w="800" w:type="dxa"/>
            <w:vAlign w:val="bottom"/>
            <w:tcBorders>
              <w:bottom w:val="single" w:sz="8" w:color="E8EFF9"/>
            </w:tcBorders>
            <w:shd w:val="clear" w:color="auto" w:fill="E8EFF9"/>
          </w:tcPr>
          <w:p>
            <w:pPr>
              <w:spacing w:after="0"/>
              <w:rPr>
                <w:sz w:val="14"/>
                <w:szCs w:val="14"/>
                <w:color w:val="auto"/>
              </w:rPr>
            </w:pPr>
          </w:p>
        </w:tc>
      </w:tr>
      <w:tr>
        <w:trPr>
          <w:trHeight w:val="162"/>
        </w:trPr>
        <w:tc>
          <w:tcPr>
            <w:tcW w:w="2520" w:type="dxa"/>
            <w:vAlign w:val="bottom"/>
            <w:shd w:val="clear" w:color="auto" w:fill="E8EFF9"/>
          </w:tcPr>
          <w:p>
            <w:pPr>
              <w:ind w:left="140"/>
              <w:spacing w:after="0"/>
              <w:rPr>
                <w:sz w:val="20"/>
                <w:szCs w:val="20"/>
                <w:color w:val="auto"/>
              </w:rPr>
            </w:pPr>
            <w:r>
              <w:rPr>
                <w:rFonts w:ascii="Times New Roman" w:cs="Times New Roman" w:eastAsia="Times New Roman" w:hAnsi="Times New Roman"/>
                <w:sz w:val="13"/>
                <w:szCs w:val="13"/>
                <w:color w:val="auto"/>
              </w:rPr>
              <w:t>Purchases</w:t>
            </w:r>
          </w:p>
        </w:tc>
        <w:tc>
          <w:tcPr>
            <w:tcW w:w="420" w:type="dxa"/>
            <w:vAlign w:val="bottom"/>
            <w:shd w:val="clear" w:color="auto" w:fill="E8EFF9"/>
          </w:tcPr>
          <w:p>
            <w:pPr>
              <w:spacing w:after="0"/>
              <w:rPr>
                <w:sz w:val="14"/>
                <w:szCs w:val="14"/>
                <w:color w:val="auto"/>
              </w:rPr>
            </w:pPr>
          </w:p>
        </w:tc>
        <w:tc>
          <w:tcPr>
            <w:tcW w:w="600" w:type="dxa"/>
            <w:vAlign w:val="bottom"/>
            <w:shd w:val="clear" w:color="auto" w:fill="E8EFF9"/>
          </w:tcPr>
          <w:p>
            <w:pPr>
              <w:spacing w:after="0"/>
              <w:rPr>
                <w:sz w:val="14"/>
                <w:szCs w:val="14"/>
                <w:color w:val="auto"/>
              </w:rPr>
            </w:pPr>
          </w:p>
        </w:tc>
        <w:tc>
          <w:tcPr>
            <w:tcW w:w="260" w:type="dxa"/>
            <w:vAlign w:val="bottom"/>
            <w:shd w:val="clear" w:color="auto" w:fill="E8EFF9"/>
          </w:tcPr>
          <w:p>
            <w:pPr>
              <w:spacing w:after="0"/>
              <w:rPr>
                <w:sz w:val="14"/>
                <w:szCs w:val="14"/>
                <w:color w:val="auto"/>
              </w:rPr>
            </w:pPr>
          </w:p>
        </w:tc>
        <w:tc>
          <w:tcPr>
            <w:tcW w:w="98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E8EFF9"/>
          </w:tcPr>
          <w:p>
            <w:pPr>
              <w:spacing w:after="0"/>
              <w:rPr>
                <w:sz w:val="14"/>
                <w:szCs w:val="14"/>
                <w:color w:val="auto"/>
              </w:rPr>
            </w:pPr>
          </w:p>
        </w:tc>
        <w:tc>
          <w:tcPr>
            <w:tcW w:w="1000" w:type="dxa"/>
            <w:vAlign w:val="bottom"/>
            <w:shd w:val="clear" w:color="auto" w:fill="E8EFF9"/>
          </w:tcPr>
          <w:p>
            <w:pPr>
              <w:spacing w:after="0"/>
              <w:rPr>
                <w:sz w:val="14"/>
                <w:szCs w:val="14"/>
                <w:color w:val="auto"/>
              </w:rPr>
            </w:pPr>
          </w:p>
        </w:tc>
        <w:tc>
          <w:tcPr>
            <w:tcW w:w="300" w:type="dxa"/>
            <w:vAlign w:val="bottom"/>
            <w:shd w:val="clear" w:color="auto" w:fill="E8EFF9"/>
          </w:tcPr>
          <w:p>
            <w:pPr>
              <w:spacing w:after="0"/>
              <w:rPr>
                <w:sz w:val="14"/>
                <w:szCs w:val="14"/>
                <w:color w:val="auto"/>
              </w:rPr>
            </w:pPr>
          </w:p>
        </w:tc>
        <w:tc>
          <w:tcPr>
            <w:tcW w:w="9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(69,912,961)</w:t>
            </w:r>
          </w:p>
        </w:tc>
        <w:tc>
          <w:tcPr>
            <w:tcW w:w="300" w:type="dxa"/>
            <w:vAlign w:val="bottom"/>
            <w:shd w:val="clear" w:color="auto" w:fill="E8EFF9"/>
          </w:tcPr>
          <w:p>
            <w:pPr>
              <w:spacing w:after="0"/>
              <w:rPr>
                <w:sz w:val="14"/>
                <w:szCs w:val="14"/>
                <w:color w:val="auto"/>
              </w:rPr>
            </w:pPr>
          </w:p>
        </w:tc>
        <w:tc>
          <w:tcPr>
            <w:tcW w:w="1080" w:type="dxa"/>
            <w:vAlign w:val="bottom"/>
            <w:tcBorders>
              <w:right w:val="single" w:sz="8" w:color="E8EFF9"/>
            </w:tcBorders>
            <w:shd w:val="clear" w:color="auto" w:fill="E8EFF9"/>
          </w:tcPr>
          <w:p>
            <w:pPr>
              <w:spacing w:after="0"/>
              <w:rPr>
                <w:sz w:val="14"/>
                <w:szCs w:val="14"/>
                <w:color w:val="auto"/>
              </w:rPr>
            </w:pPr>
          </w:p>
        </w:tc>
        <w:tc>
          <w:tcPr>
            <w:tcW w:w="220" w:type="dxa"/>
            <w:vAlign w:val="bottom"/>
            <w:shd w:val="clear" w:color="auto" w:fill="E8EFF9"/>
          </w:tcPr>
          <w:p>
            <w:pPr>
              <w:spacing w:after="0"/>
              <w:rPr>
                <w:sz w:val="14"/>
                <w:szCs w:val="14"/>
                <w:color w:val="auto"/>
              </w:rPr>
            </w:pPr>
          </w:p>
        </w:tc>
        <w:tc>
          <w:tcPr>
            <w:tcW w:w="10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(69,912,961)</w:t>
            </w:r>
          </w:p>
        </w:tc>
        <w:tc>
          <w:tcPr>
            <w:tcW w:w="120" w:type="dxa"/>
            <w:vAlign w:val="bottom"/>
            <w:tcBorders>
              <w:right w:val="single" w:sz="8" w:color="E8EFF9"/>
            </w:tcBorders>
            <w:shd w:val="clear" w:color="auto" w:fill="E8EFF9"/>
          </w:tcPr>
          <w:p>
            <w:pPr>
              <w:spacing w:after="0"/>
              <w:rPr>
                <w:sz w:val="14"/>
                <w:szCs w:val="14"/>
                <w:color w:val="auto"/>
              </w:rPr>
            </w:pPr>
          </w:p>
        </w:tc>
        <w:tc>
          <w:tcPr>
            <w:tcW w:w="420" w:type="dxa"/>
            <w:vAlign w:val="bottom"/>
            <w:shd w:val="clear" w:color="auto" w:fill="E8EFF9"/>
          </w:tcPr>
          <w:p>
            <w:pPr>
              <w:spacing w:after="0"/>
              <w:rPr>
                <w:sz w:val="14"/>
                <w:szCs w:val="14"/>
                <w:color w:val="auto"/>
              </w:rPr>
            </w:pPr>
          </w:p>
        </w:tc>
        <w:tc>
          <w:tcPr>
            <w:tcW w:w="800" w:type="dxa"/>
            <w:vAlign w:val="bottom"/>
            <w:shd w:val="clear" w:color="auto" w:fill="E8EFF9"/>
          </w:tcPr>
          <w:p>
            <w:pPr>
              <w:spacing w:after="0"/>
              <w:rPr>
                <w:sz w:val="14"/>
                <w:szCs w:val="14"/>
                <w:color w:val="auto"/>
              </w:rPr>
            </w:pPr>
          </w:p>
        </w:tc>
      </w:tr>
      <w:tr>
        <w:trPr>
          <w:trHeight w:val="180"/>
        </w:trPr>
        <w:tc>
          <w:tcPr>
            <w:tcW w:w="2520" w:type="dxa"/>
            <w:vAlign w:val="bottom"/>
            <w:tcBorders>
              <w:bottom w:val="single" w:sz="8" w:color="0077C0"/>
            </w:tcBorders>
            <w:shd w:val="clear" w:color="auto" w:fill="E8EFF9"/>
          </w:tcPr>
          <w:p>
            <w:pPr>
              <w:ind w:left="140"/>
              <w:spacing w:after="0"/>
              <w:rPr>
                <w:sz w:val="20"/>
                <w:szCs w:val="20"/>
                <w:color w:val="auto"/>
              </w:rPr>
            </w:pPr>
            <w:r>
              <w:rPr>
                <w:rFonts w:ascii="Times New Roman" w:cs="Times New Roman" w:eastAsia="Times New Roman" w:hAnsi="Times New Roman"/>
                <w:sz w:val="13"/>
                <w:szCs w:val="13"/>
                <w:color w:val="auto"/>
              </w:rPr>
              <w:t>Issuances</w:t>
            </w:r>
          </w:p>
        </w:tc>
        <w:tc>
          <w:tcPr>
            <w:tcW w:w="420" w:type="dxa"/>
            <w:vAlign w:val="bottom"/>
            <w:tcBorders>
              <w:bottom w:val="single" w:sz="8" w:color="0077C0"/>
            </w:tcBorders>
            <w:shd w:val="clear" w:color="auto" w:fill="E8EFF9"/>
          </w:tcPr>
          <w:p>
            <w:pPr>
              <w:spacing w:after="0"/>
              <w:rPr>
                <w:sz w:val="15"/>
                <w:szCs w:val="15"/>
                <w:color w:val="auto"/>
              </w:rPr>
            </w:pPr>
          </w:p>
        </w:tc>
        <w:tc>
          <w:tcPr>
            <w:tcW w:w="600" w:type="dxa"/>
            <w:vAlign w:val="bottom"/>
            <w:tcBorders>
              <w:bottom w:val="single" w:sz="8" w:color="0077C0"/>
            </w:tcBorders>
            <w:shd w:val="clear" w:color="auto" w:fill="E8EFF9"/>
          </w:tcPr>
          <w:p>
            <w:pPr>
              <w:spacing w:after="0"/>
              <w:rPr>
                <w:sz w:val="15"/>
                <w:szCs w:val="15"/>
                <w:color w:val="auto"/>
              </w:rPr>
            </w:pPr>
          </w:p>
        </w:tc>
        <w:tc>
          <w:tcPr>
            <w:tcW w:w="260" w:type="dxa"/>
            <w:vAlign w:val="bottom"/>
            <w:tcBorders>
              <w:bottom w:val="single" w:sz="8" w:color="0077C0"/>
            </w:tcBorders>
            <w:shd w:val="clear" w:color="auto" w:fill="E8EFF9"/>
          </w:tcPr>
          <w:p>
            <w:pPr>
              <w:spacing w:after="0"/>
              <w:rPr>
                <w:sz w:val="15"/>
                <w:szCs w:val="15"/>
                <w:color w:val="auto"/>
              </w:rPr>
            </w:pPr>
          </w:p>
        </w:tc>
        <w:tc>
          <w:tcPr>
            <w:tcW w:w="98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0077C0"/>
            </w:tcBorders>
            <w:shd w:val="clear" w:color="auto" w:fill="E8EFF9"/>
          </w:tcPr>
          <w:p>
            <w:pPr>
              <w:spacing w:after="0"/>
              <w:rPr>
                <w:sz w:val="15"/>
                <w:szCs w:val="15"/>
                <w:color w:val="auto"/>
              </w:rPr>
            </w:pPr>
          </w:p>
        </w:tc>
        <w:tc>
          <w:tcPr>
            <w:tcW w:w="1000" w:type="dxa"/>
            <w:vAlign w:val="bottom"/>
            <w:tcBorders>
              <w:bottom w:val="single" w:sz="8" w:color="0077C0"/>
            </w:tcBorders>
            <w:shd w:val="clear" w:color="auto" w:fill="E8EFF9"/>
          </w:tcPr>
          <w:p>
            <w:pPr>
              <w:spacing w:after="0"/>
              <w:rPr>
                <w:sz w:val="15"/>
                <w:szCs w:val="15"/>
                <w:color w:val="auto"/>
              </w:rPr>
            </w:pPr>
          </w:p>
        </w:tc>
        <w:tc>
          <w:tcPr>
            <w:tcW w:w="300" w:type="dxa"/>
            <w:vAlign w:val="bottom"/>
            <w:tcBorders>
              <w:bottom w:val="single" w:sz="8" w:color="0077C0"/>
            </w:tcBorders>
            <w:shd w:val="clear" w:color="auto" w:fill="E8EFF9"/>
          </w:tcPr>
          <w:p>
            <w:pPr>
              <w:spacing w:after="0"/>
              <w:rPr>
                <w:sz w:val="15"/>
                <w:szCs w:val="15"/>
                <w:color w:val="auto"/>
              </w:rPr>
            </w:pPr>
          </w:p>
        </w:tc>
        <w:tc>
          <w:tcPr>
            <w:tcW w:w="94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55,323,247</w:t>
            </w:r>
          </w:p>
        </w:tc>
        <w:tc>
          <w:tcPr>
            <w:tcW w:w="300" w:type="dxa"/>
            <w:vAlign w:val="bottom"/>
            <w:tcBorders>
              <w:bottom w:val="single" w:sz="8" w:color="0077C0"/>
            </w:tcBorders>
            <w:shd w:val="clear" w:color="auto" w:fill="E8EFF9"/>
          </w:tcPr>
          <w:p>
            <w:pPr>
              <w:spacing w:after="0"/>
              <w:rPr>
                <w:sz w:val="15"/>
                <w:szCs w:val="15"/>
                <w:color w:val="auto"/>
              </w:rPr>
            </w:pPr>
          </w:p>
        </w:tc>
        <w:tc>
          <w:tcPr>
            <w:tcW w:w="1080" w:type="dxa"/>
            <w:vAlign w:val="bottom"/>
            <w:tcBorders>
              <w:bottom w:val="single" w:sz="8" w:color="0077C0"/>
              <w:right w:val="single" w:sz="8" w:color="E8EFF9"/>
            </w:tcBorders>
            <w:shd w:val="clear" w:color="auto" w:fill="E8EFF9"/>
          </w:tcPr>
          <w:p>
            <w:pPr>
              <w:spacing w:after="0"/>
              <w:rPr>
                <w:sz w:val="15"/>
                <w:szCs w:val="15"/>
                <w:color w:val="auto"/>
              </w:rPr>
            </w:pPr>
          </w:p>
        </w:tc>
        <w:tc>
          <w:tcPr>
            <w:tcW w:w="220" w:type="dxa"/>
            <w:vAlign w:val="bottom"/>
            <w:tcBorders>
              <w:bottom w:val="single" w:sz="8" w:color="0077C0"/>
            </w:tcBorders>
            <w:shd w:val="clear" w:color="auto" w:fill="E8EFF9"/>
          </w:tcPr>
          <w:p>
            <w:pPr>
              <w:spacing w:after="0"/>
              <w:rPr>
                <w:sz w:val="15"/>
                <w:szCs w:val="15"/>
                <w:color w:val="auto"/>
              </w:rPr>
            </w:pPr>
          </w:p>
        </w:tc>
        <w:tc>
          <w:tcPr>
            <w:tcW w:w="10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55,323,247</w:t>
            </w:r>
          </w:p>
        </w:tc>
        <w:tc>
          <w:tcPr>
            <w:tcW w:w="120" w:type="dxa"/>
            <w:vAlign w:val="bottom"/>
            <w:tcBorders>
              <w:bottom w:val="single" w:sz="8" w:color="E8EFF9"/>
              <w:right w:val="single" w:sz="8" w:color="E8EFF9"/>
            </w:tcBorders>
            <w:shd w:val="clear" w:color="auto" w:fill="E8EFF9"/>
          </w:tcPr>
          <w:p>
            <w:pPr>
              <w:spacing w:after="0"/>
              <w:rPr>
                <w:sz w:val="15"/>
                <w:szCs w:val="15"/>
                <w:color w:val="auto"/>
              </w:rPr>
            </w:pPr>
          </w:p>
        </w:tc>
        <w:tc>
          <w:tcPr>
            <w:tcW w:w="420" w:type="dxa"/>
            <w:vAlign w:val="bottom"/>
            <w:tcBorders>
              <w:bottom w:val="single" w:sz="8" w:color="E8EFF9"/>
            </w:tcBorders>
            <w:shd w:val="clear" w:color="auto" w:fill="E8EFF9"/>
          </w:tcPr>
          <w:p>
            <w:pPr>
              <w:spacing w:after="0"/>
              <w:rPr>
                <w:sz w:val="15"/>
                <w:szCs w:val="15"/>
                <w:color w:val="auto"/>
              </w:rPr>
            </w:pPr>
          </w:p>
        </w:tc>
        <w:tc>
          <w:tcPr>
            <w:tcW w:w="800" w:type="dxa"/>
            <w:vAlign w:val="bottom"/>
            <w:tcBorders>
              <w:bottom w:val="single" w:sz="8" w:color="E8EFF9"/>
            </w:tcBorders>
            <w:shd w:val="clear" w:color="auto" w:fill="E8EFF9"/>
          </w:tcPr>
          <w:p>
            <w:pPr>
              <w:spacing w:after="0"/>
              <w:rPr>
                <w:sz w:val="15"/>
                <w:szCs w:val="15"/>
                <w:color w:val="auto"/>
              </w:rPr>
            </w:pPr>
          </w:p>
        </w:tc>
      </w:tr>
      <w:tr>
        <w:trPr>
          <w:trHeight w:val="171"/>
        </w:trPr>
        <w:tc>
          <w:tcPr>
            <w:tcW w:w="2520" w:type="dxa"/>
            <w:vAlign w:val="bottom"/>
            <w:tcBorders>
              <w:bottom w:val="single" w:sz="8" w:color="0077C0"/>
            </w:tcBorders>
            <w:shd w:val="clear" w:color="auto" w:fill="E8EFF9"/>
          </w:tcPr>
          <w:p>
            <w:pPr>
              <w:ind w:left="20"/>
              <w:spacing w:after="0"/>
              <w:rPr>
                <w:sz w:val="20"/>
                <w:szCs w:val="20"/>
                <w:color w:val="auto"/>
              </w:rPr>
            </w:pPr>
            <w:r>
              <w:rPr>
                <w:rFonts w:ascii="Times New Roman" w:cs="Times New Roman" w:eastAsia="Times New Roman" w:hAnsi="Times New Roman"/>
                <w:sz w:val="13"/>
                <w:szCs w:val="13"/>
                <w:b w:val="1"/>
                <w:bCs w:val="1"/>
                <w:color w:val="0077C0"/>
              </w:rPr>
              <w:t>Balance at December 31, 2022</w:t>
            </w:r>
          </w:p>
        </w:tc>
        <w:tc>
          <w:tcPr>
            <w:tcW w:w="420" w:type="dxa"/>
            <w:vAlign w:val="bottom"/>
            <w:tcBorders>
              <w:bottom w:val="single" w:sz="8" w:color="0077C0"/>
            </w:tcBorders>
            <w:shd w:val="clear" w:color="auto" w:fill="E8EFF9"/>
          </w:tcPr>
          <w:p>
            <w:pPr>
              <w:spacing w:after="0"/>
              <w:rPr>
                <w:sz w:val="14"/>
                <w:szCs w:val="14"/>
                <w:color w:val="auto"/>
              </w:rPr>
            </w:pPr>
          </w:p>
        </w:tc>
        <w:tc>
          <w:tcPr>
            <w:tcW w:w="600" w:type="dxa"/>
            <w:vAlign w:val="bottom"/>
            <w:tcBorders>
              <w:bottom w:val="single" w:sz="8" w:color="0077C0"/>
            </w:tcBorders>
            <w:shd w:val="clear" w:color="auto" w:fill="E8EFF9"/>
          </w:tcPr>
          <w:p>
            <w:pPr>
              <w:spacing w:after="0"/>
              <w:rPr>
                <w:sz w:val="14"/>
                <w:szCs w:val="14"/>
                <w:color w:val="auto"/>
              </w:rPr>
            </w:pPr>
          </w:p>
        </w:tc>
        <w:tc>
          <w:tcPr>
            <w:tcW w:w="260" w:type="dxa"/>
            <w:vAlign w:val="bottom"/>
            <w:tcBorders>
              <w:bottom w:val="single" w:sz="8" w:color="0077C0"/>
            </w:tcBorders>
            <w:shd w:val="clear" w:color="auto" w:fill="E8EFF9"/>
          </w:tcPr>
          <w:p>
            <w:pPr>
              <w:spacing w:after="0"/>
              <w:rPr>
                <w:sz w:val="14"/>
                <w:szCs w:val="14"/>
                <w:color w:val="auto"/>
              </w:rPr>
            </w:pPr>
          </w:p>
        </w:tc>
        <w:tc>
          <w:tcPr>
            <w:tcW w:w="98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b w:val="1"/>
                <w:bCs w:val="1"/>
                <w:color w:val="auto"/>
              </w:rPr>
              <w:t>2,442,676,580</w:t>
            </w:r>
          </w:p>
        </w:tc>
        <w:tc>
          <w:tcPr>
            <w:tcW w:w="240" w:type="dxa"/>
            <w:vAlign w:val="bottom"/>
            <w:tcBorders>
              <w:bottom w:val="single" w:sz="8" w:color="0077C0"/>
            </w:tcBorders>
            <w:shd w:val="clear" w:color="auto" w:fill="E8EFF9"/>
          </w:tcPr>
          <w:p>
            <w:pPr>
              <w:spacing w:after="0"/>
              <w:rPr>
                <w:sz w:val="14"/>
                <w:szCs w:val="14"/>
                <w:color w:val="auto"/>
              </w:rPr>
            </w:pPr>
          </w:p>
        </w:tc>
        <w:tc>
          <w:tcPr>
            <w:tcW w:w="1000" w:type="dxa"/>
            <w:vAlign w:val="bottom"/>
            <w:tcBorders>
              <w:bottom w:val="single" w:sz="8" w:color="0077C0"/>
            </w:tcBorders>
            <w:shd w:val="clear" w:color="auto" w:fill="E8EFF9"/>
          </w:tcPr>
          <w:p>
            <w:pPr>
              <w:spacing w:after="0"/>
              <w:rPr>
                <w:sz w:val="14"/>
                <w:szCs w:val="14"/>
                <w:color w:val="auto"/>
              </w:rPr>
            </w:pPr>
          </w:p>
        </w:tc>
        <w:tc>
          <w:tcPr>
            <w:tcW w:w="300" w:type="dxa"/>
            <w:vAlign w:val="bottom"/>
            <w:tcBorders>
              <w:bottom w:val="single" w:sz="8" w:color="0077C0"/>
            </w:tcBorders>
            <w:shd w:val="clear" w:color="auto" w:fill="E8EFF9"/>
          </w:tcPr>
          <w:p>
            <w:pPr>
              <w:spacing w:after="0"/>
              <w:rPr>
                <w:sz w:val="14"/>
                <w:szCs w:val="14"/>
                <w:color w:val="auto"/>
              </w:rPr>
            </w:pPr>
          </w:p>
        </w:tc>
        <w:tc>
          <w:tcPr>
            <w:tcW w:w="94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b w:val="1"/>
                <w:bCs w:val="1"/>
                <w:color w:val="auto"/>
              </w:rPr>
              <w:t>(527,460,237)</w:t>
            </w:r>
          </w:p>
        </w:tc>
        <w:tc>
          <w:tcPr>
            <w:tcW w:w="300" w:type="dxa"/>
            <w:vAlign w:val="bottom"/>
            <w:tcBorders>
              <w:bottom w:val="single" w:sz="8" w:color="0077C0"/>
            </w:tcBorders>
            <w:shd w:val="clear" w:color="auto" w:fill="E8EFF9"/>
          </w:tcPr>
          <w:p>
            <w:pPr>
              <w:spacing w:after="0"/>
              <w:rPr>
                <w:sz w:val="14"/>
                <w:szCs w:val="14"/>
                <w:color w:val="auto"/>
              </w:rPr>
            </w:pPr>
          </w:p>
        </w:tc>
        <w:tc>
          <w:tcPr>
            <w:tcW w:w="1080" w:type="dxa"/>
            <w:vAlign w:val="bottom"/>
            <w:tcBorders>
              <w:bottom w:val="single" w:sz="8" w:color="0077C0"/>
              <w:right w:val="single" w:sz="8" w:color="E8EFF9"/>
            </w:tcBorders>
            <w:shd w:val="clear" w:color="auto" w:fill="E8EFF9"/>
          </w:tcPr>
          <w:p>
            <w:pPr>
              <w:spacing w:after="0"/>
              <w:rPr>
                <w:sz w:val="14"/>
                <w:szCs w:val="14"/>
                <w:color w:val="auto"/>
              </w:rPr>
            </w:pPr>
          </w:p>
        </w:tc>
        <w:tc>
          <w:tcPr>
            <w:tcW w:w="220" w:type="dxa"/>
            <w:vAlign w:val="bottom"/>
            <w:tcBorders>
              <w:bottom w:val="single" w:sz="8" w:color="0077C0"/>
            </w:tcBorders>
            <w:shd w:val="clear" w:color="auto" w:fill="E8EFF9"/>
          </w:tcPr>
          <w:p>
            <w:pPr>
              <w:spacing w:after="0"/>
              <w:rPr>
                <w:sz w:val="14"/>
                <w:szCs w:val="14"/>
                <w:color w:val="auto"/>
              </w:rPr>
            </w:pPr>
          </w:p>
        </w:tc>
        <w:tc>
          <w:tcPr>
            <w:tcW w:w="10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b w:val="1"/>
                <w:bCs w:val="1"/>
                <w:color w:val="auto"/>
              </w:rPr>
              <w:t>1,915,216,343</w:t>
            </w:r>
          </w:p>
        </w:tc>
        <w:tc>
          <w:tcPr>
            <w:tcW w:w="120" w:type="dxa"/>
            <w:vAlign w:val="bottom"/>
            <w:tcBorders>
              <w:bottom w:val="single" w:sz="8" w:color="E8EFF9"/>
              <w:right w:val="single" w:sz="8" w:color="E8EFF9"/>
            </w:tcBorders>
            <w:shd w:val="clear" w:color="auto" w:fill="E8EFF9"/>
          </w:tcPr>
          <w:p>
            <w:pPr>
              <w:spacing w:after="0"/>
              <w:rPr>
                <w:sz w:val="14"/>
                <w:szCs w:val="14"/>
                <w:color w:val="auto"/>
              </w:rPr>
            </w:pPr>
          </w:p>
        </w:tc>
        <w:tc>
          <w:tcPr>
            <w:tcW w:w="420" w:type="dxa"/>
            <w:vAlign w:val="bottom"/>
            <w:tcBorders>
              <w:bottom w:val="single" w:sz="8" w:color="E8EFF9"/>
            </w:tcBorders>
            <w:shd w:val="clear" w:color="auto" w:fill="E8EFF9"/>
          </w:tcPr>
          <w:p>
            <w:pPr>
              <w:spacing w:after="0"/>
              <w:rPr>
                <w:sz w:val="14"/>
                <w:szCs w:val="14"/>
                <w:color w:val="auto"/>
              </w:rPr>
            </w:pPr>
          </w:p>
        </w:tc>
        <w:tc>
          <w:tcPr>
            <w:tcW w:w="800" w:type="dxa"/>
            <w:vAlign w:val="bottom"/>
            <w:tcBorders>
              <w:bottom w:val="single" w:sz="8" w:color="E8EFF9"/>
            </w:tcBorders>
            <w:shd w:val="clear" w:color="auto" w:fill="E8EFF9"/>
          </w:tcPr>
          <w:p>
            <w:pPr>
              <w:spacing w:after="0"/>
              <w:rPr>
                <w:sz w:val="14"/>
                <w:szCs w:val="14"/>
                <w:color w:val="auto"/>
              </w:rPr>
            </w:pPr>
          </w:p>
        </w:tc>
      </w:tr>
      <w:tr>
        <w:trPr>
          <w:trHeight w:val="162"/>
        </w:trPr>
        <w:tc>
          <w:tcPr>
            <w:tcW w:w="2520" w:type="dxa"/>
            <w:vAlign w:val="bottom"/>
            <w:shd w:val="clear" w:color="auto" w:fill="E8EFF9"/>
          </w:tcPr>
          <w:p>
            <w:pPr>
              <w:ind w:left="140"/>
              <w:spacing w:after="0"/>
              <w:rPr>
                <w:sz w:val="20"/>
                <w:szCs w:val="20"/>
                <w:color w:val="auto"/>
              </w:rPr>
            </w:pPr>
            <w:r>
              <w:rPr>
                <w:rFonts w:ascii="Times New Roman" w:cs="Times New Roman" w:eastAsia="Times New Roman" w:hAnsi="Times New Roman"/>
                <w:sz w:val="13"/>
                <w:szCs w:val="13"/>
                <w:color w:val="auto"/>
              </w:rPr>
              <w:t>Purchases</w:t>
            </w:r>
          </w:p>
        </w:tc>
        <w:tc>
          <w:tcPr>
            <w:tcW w:w="420" w:type="dxa"/>
            <w:vAlign w:val="bottom"/>
            <w:shd w:val="clear" w:color="auto" w:fill="E8EFF9"/>
          </w:tcPr>
          <w:p>
            <w:pPr>
              <w:spacing w:after="0"/>
              <w:rPr>
                <w:sz w:val="14"/>
                <w:szCs w:val="14"/>
                <w:color w:val="auto"/>
              </w:rPr>
            </w:pPr>
          </w:p>
        </w:tc>
        <w:tc>
          <w:tcPr>
            <w:tcW w:w="600" w:type="dxa"/>
            <w:vAlign w:val="bottom"/>
            <w:shd w:val="clear" w:color="auto" w:fill="E8EFF9"/>
          </w:tcPr>
          <w:p>
            <w:pPr>
              <w:spacing w:after="0"/>
              <w:rPr>
                <w:sz w:val="14"/>
                <w:szCs w:val="14"/>
                <w:color w:val="auto"/>
              </w:rPr>
            </w:pPr>
          </w:p>
        </w:tc>
        <w:tc>
          <w:tcPr>
            <w:tcW w:w="260" w:type="dxa"/>
            <w:vAlign w:val="bottom"/>
            <w:shd w:val="clear" w:color="auto" w:fill="E8EFF9"/>
          </w:tcPr>
          <w:p>
            <w:pPr>
              <w:spacing w:after="0"/>
              <w:rPr>
                <w:sz w:val="14"/>
                <w:szCs w:val="14"/>
                <w:color w:val="auto"/>
              </w:rPr>
            </w:pPr>
          </w:p>
        </w:tc>
        <w:tc>
          <w:tcPr>
            <w:tcW w:w="98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E8EFF9"/>
          </w:tcPr>
          <w:p>
            <w:pPr>
              <w:spacing w:after="0"/>
              <w:rPr>
                <w:sz w:val="14"/>
                <w:szCs w:val="14"/>
                <w:color w:val="auto"/>
              </w:rPr>
            </w:pPr>
          </w:p>
        </w:tc>
        <w:tc>
          <w:tcPr>
            <w:tcW w:w="1000" w:type="dxa"/>
            <w:vAlign w:val="bottom"/>
            <w:shd w:val="clear" w:color="auto" w:fill="E8EFF9"/>
          </w:tcPr>
          <w:p>
            <w:pPr>
              <w:spacing w:after="0"/>
              <w:rPr>
                <w:sz w:val="14"/>
                <w:szCs w:val="14"/>
                <w:color w:val="auto"/>
              </w:rPr>
            </w:pPr>
          </w:p>
        </w:tc>
        <w:tc>
          <w:tcPr>
            <w:tcW w:w="300" w:type="dxa"/>
            <w:vAlign w:val="bottom"/>
            <w:shd w:val="clear" w:color="auto" w:fill="E8EFF9"/>
          </w:tcPr>
          <w:p>
            <w:pPr>
              <w:spacing w:after="0"/>
              <w:rPr>
                <w:sz w:val="14"/>
                <w:szCs w:val="14"/>
                <w:color w:val="auto"/>
              </w:rPr>
            </w:pPr>
          </w:p>
        </w:tc>
        <w:tc>
          <w:tcPr>
            <w:tcW w:w="9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(92,849,905)</w:t>
            </w:r>
          </w:p>
        </w:tc>
        <w:tc>
          <w:tcPr>
            <w:tcW w:w="300" w:type="dxa"/>
            <w:vAlign w:val="bottom"/>
            <w:shd w:val="clear" w:color="auto" w:fill="E8EFF9"/>
          </w:tcPr>
          <w:p>
            <w:pPr>
              <w:spacing w:after="0"/>
              <w:rPr>
                <w:sz w:val="14"/>
                <w:szCs w:val="14"/>
                <w:color w:val="auto"/>
              </w:rPr>
            </w:pPr>
          </w:p>
        </w:tc>
        <w:tc>
          <w:tcPr>
            <w:tcW w:w="1080" w:type="dxa"/>
            <w:vAlign w:val="bottom"/>
            <w:tcBorders>
              <w:right w:val="single" w:sz="8" w:color="E8EFF9"/>
            </w:tcBorders>
            <w:shd w:val="clear" w:color="auto" w:fill="E8EFF9"/>
          </w:tcPr>
          <w:p>
            <w:pPr>
              <w:spacing w:after="0"/>
              <w:rPr>
                <w:sz w:val="14"/>
                <w:szCs w:val="14"/>
                <w:color w:val="auto"/>
              </w:rPr>
            </w:pPr>
          </w:p>
        </w:tc>
        <w:tc>
          <w:tcPr>
            <w:tcW w:w="220" w:type="dxa"/>
            <w:vAlign w:val="bottom"/>
            <w:shd w:val="clear" w:color="auto" w:fill="E8EFF9"/>
          </w:tcPr>
          <w:p>
            <w:pPr>
              <w:spacing w:after="0"/>
              <w:rPr>
                <w:sz w:val="14"/>
                <w:szCs w:val="14"/>
                <w:color w:val="auto"/>
              </w:rPr>
            </w:pPr>
          </w:p>
        </w:tc>
        <w:tc>
          <w:tcPr>
            <w:tcW w:w="10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(92,849,905)</w:t>
            </w:r>
          </w:p>
        </w:tc>
        <w:tc>
          <w:tcPr>
            <w:tcW w:w="120" w:type="dxa"/>
            <w:vAlign w:val="bottom"/>
            <w:tcBorders>
              <w:right w:val="single" w:sz="8" w:color="E8EFF9"/>
            </w:tcBorders>
            <w:shd w:val="clear" w:color="auto" w:fill="E8EFF9"/>
          </w:tcPr>
          <w:p>
            <w:pPr>
              <w:spacing w:after="0"/>
              <w:rPr>
                <w:sz w:val="14"/>
                <w:szCs w:val="14"/>
                <w:color w:val="auto"/>
              </w:rPr>
            </w:pPr>
          </w:p>
        </w:tc>
        <w:tc>
          <w:tcPr>
            <w:tcW w:w="420" w:type="dxa"/>
            <w:vAlign w:val="bottom"/>
            <w:shd w:val="clear" w:color="auto" w:fill="E8EFF9"/>
          </w:tcPr>
          <w:p>
            <w:pPr>
              <w:spacing w:after="0"/>
              <w:rPr>
                <w:sz w:val="14"/>
                <w:szCs w:val="14"/>
                <w:color w:val="auto"/>
              </w:rPr>
            </w:pPr>
          </w:p>
        </w:tc>
        <w:tc>
          <w:tcPr>
            <w:tcW w:w="800" w:type="dxa"/>
            <w:vAlign w:val="bottom"/>
            <w:shd w:val="clear" w:color="auto" w:fill="E8EFF9"/>
          </w:tcPr>
          <w:p>
            <w:pPr>
              <w:spacing w:after="0"/>
              <w:rPr>
                <w:sz w:val="14"/>
                <w:szCs w:val="14"/>
                <w:color w:val="auto"/>
              </w:rPr>
            </w:pPr>
          </w:p>
        </w:tc>
      </w:tr>
      <w:tr>
        <w:trPr>
          <w:trHeight w:val="180"/>
        </w:trPr>
        <w:tc>
          <w:tcPr>
            <w:tcW w:w="2520" w:type="dxa"/>
            <w:vAlign w:val="bottom"/>
            <w:tcBorders>
              <w:bottom w:val="single" w:sz="8" w:color="0077C0"/>
            </w:tcBorders>
            <w:shd w:val="clear" w:color="auto" w:fill="E8EFF9"/>
          </w:tcPr>
          <w:p>
            <w:pPr>
              <w:ind w:left="140"/>
              <w:spacing w:after="0"/>
              <w:rPr>
                <w:sz w:val="20"/>
                <w:szCs w:val="20"/>
                <w:color w:val="auto"/>
              </w:rPr>
            </w:pPr>
            <w:r>
              <w:rPr>
                <w:rFonts w:ascii="Times New Roman" w:cs="Times New Roman" w:eastAsia="Times New Roman" w:hAnsi="Times New Roman"/>
                <w:sz w:val="13"/>
                <w:szCs w:val="13"/>
                <w:color w:val="auto"/>
              </w:rPr>
              <w:t>Issuances</w:t>
            </w:r>
          </w:p>
        </w:tc>
        <w:tc>
          <w:tcPr>
            <w:tcW w:w="420" w:type="dxa"/>
            <w:vAlign w:val="bottom"/>
            <w:tcBorders>
              <w:bottom w:val="single" w:sz="8" w:color="0077C0"/>
            </w:tcBorders>
            <w:shd w:val="clear" w:color="auto" w:fill="E8EFF9"/>
          </w:tcPr>
          <w:p>
            <w:pPr>
              <w:spacing w:after="0"/>
              <w:rPr>
                <w:sz w:val="15"/>
                <w:szCs w:val="15"/>
                <w:color w:val="auto"/>
              </w:rPr>
            </w:pPr>
          </w:p>
        </w:tc>
        <w:tc>
          <w:tcPr>
            <w:tcW w:w="600" w:type="dxa"/>
            <w:vAlign w:val="bottom"/>
            <w:tcBorders>
              <w:bottom w:val="single" w:sz="8" w:color="0077C0"/>
            </w:tcBorders>
            <w:shd w:val="clear" w:color="auto" w:fill="E8EFF9"/>
          </w:tcPr>
          <w:p>
            <w:pPr>
              <w:spacing w:after="0"/>
              <w:rPr>
                <w:sz w:val="15"/>
                <w:szCs w:val="15"/>
                <w:color w:val="auto"/>
              </w:rPr>
            </w:pPr>
          </w:p>
        </w:tc>
        <w:tc>
          <w:tcPr>
            <w:tcW w:w="260" w:type="dxa"/>
            <w:vAlign w:val="bottom"/>
            <w:tcBorders>
              <w:bottom w:val="single" w:sz="8" w:color="0077C0"/>
            </w:tcBorders>
            <w:shd w:val="clear" w:color="auto" w:fill="E8EFF9"/>
          </w:tcPr>
          <w:p>
            <w:pPr>
              <w:spacing w:after="0"/>
              <w:rPr>
                <w:sz w:val="15"/>
                <w:szCs w:val="15"/>
                <w:color w:val="auto"/>
              </w:rPr>
            </w:pPr>
          </w:p>
        </w:tc>
        <w:tc>
          <w:tcPr>
            <w:tcW w:w="98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0077C0"/>
            </w:tcBorders>
            <w:shd w:val="clear" w:color="auto" w:fill="E8EFF9"/>
          </w:tcPr>
          <w:p>
            <w:pPr>
              <w:spacing w:after="0"/>
              <w:rPr>
                <w:sz w:val="15"/>
                <w:szCs w:val="15"/>
                <w:color w:val="auto"/>
              </w:rPr>
            </w:pPr>
          </w:p>
        </w:tc>
        <w:tc>
          <w:tcPr>
            <w:tcW w:w="1000" w:type="dxa"/>
            <w:vAlign w:val="bottom"/>
            <w:tcBorders>
              <w:bottom w:val="single" w:sz="8" w:color="0077C0"/>
            </w:tcBorders>
            <w:shd w:val="clear" w:color="auto" w:fill="E8EFF9"/>
          </w:tcPr>
          <w:p>
            <w:pPr>
              <w:spacing w:after="0"/>
              <w:rPr>
                <w:sz w:val="15"/>
                <w:szCs w:val="15"/>
                <w:color w:val="auto"/>
              </w:rPr>
            </w:pPr>
          </w:p>
        </w:tc>
        <w:tc>
          <w:tcPr>
            <w:tcW w:w="300" w:type="dxa"/>
            <w:vAlign w:val="bottom"/>
            <w:tcBorders>
              <w:bottom w:val="single" w:sz="8" w:color="0077C0"/>
            </w:tcBorders>
            <w:shd w:val="clear" w:color="auto" w:fill="E8EFF9"/>
          </w:tcPr>
          <w:p>
            <w:pPr>
              <w:spacing w:after="0"/>
              <w:rPr>
                <w:sz w:val="15"/>
                <w:szCs w:val="15"/>
                <w:color w:val="auto"/>
              </w:rPr>
            </w:pPr>
          </w:p>
        </w:tc>
        <w:tc>
          <w:tcPr>
            <w:tcW w:w="94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43,281,366</w:t>
            </w:r>
          </w:p>
        </w:tc>
        <w:tc>
          <w:tcPr>
            <w:tcW w:w="300" w:type="dxa"/>
            <w:vAlign w:val="bottom"/>
            <w:tcBorders>
              <w:bottom w:val="single" w:sz="8" w:color="0077C0"/>
            </w:tcBorders>
            <w:shd w:val="clear" w:color="auto" w:fill="E8EFF9"/>
          </w:tcPr>
          <w:p>
            <w:pPr>
              <w:spacing w:after="0"/>
              <w:rPr>
                <w:sz w:val="15"/>
                <w:szCs w:val="15"/>
                <w:color w:val="auto"/>
              </w:rPr>
            </w:pPr>
          </w:p>
        </w:tc>
        <w:tc>
          <w:tcPr>
            <w:tcW w:w="1080" w:type="dxa"/>
            <w:vAlign w:val="bottom"/>
            <w:tcBorders>
              <w:bottom w:val="single" w:sz="8" w:color="0077C0"/>
              <w:right w:val="single" w:sz="8" w:color="E8EFF9"/>
            </w:tcBorders>
            <w:shd w:val="clear" w:color="auto" w:fill="E8EFF9"/>
          </w:tcPr>
          <w:p>
            <w:pPr>
              <w:spacing w:after="0"/>
              <w:rPr>
                <w:sz w:val="15"/>
                <w:szCs w:val="15"/>
                <w:color w:val="auto"/>
              </w:rPr>
            </w:pPr>
          </w:p>
        </w:tc>
        <w:tc>
          <w:tcPr>
            <w:tcW w:w="220" w:type="dxa"/>
            <w:vAlign w:val="bottom"/>
            <w:tcBorders>
              <w:bottom w:val="single" w:sz="8" w:color="0077C0"/>
            </w:tcBorders>
            <w:shd w:val="clear" w:color="auto" w:fill="E8EFF9"/>
          </w:tcPr>
          <w:p>
            <w:pPr>
              <w:spacing w:after="0"/>
              <w:rPr>
                <w:sz w:val="15"/>
                <w:szCs w:val="15"/>
                <w:color w:val="auto"/>
              </w:rPr>
            </w:pPr>
          </w:p>
        </w:tc>
        <w:tc>
          <w:tcPr>
            <w:tcW w:w="10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43,281,366</w:t>
            </w:r>
          </w:p>
        </w:tc>
        <w:tc>
          <w:tcPr>
            <w:tcW w:w="120" w:type="dxa"/>
            <w:vAlign w:val="bottom"/>
            <w:tcBorders>
              <w:bottom w:val="single" w:sz="8" w:color="E8EFF9"/>
              <w:right w:val="single" w:sz="8" w:color="E8EFF9"/>
            </w:tcBorders>
            <w:shd w:val="clear" w:color="auto" w:fill="E8EFF9"/>
          </w:tcPr>
          <w:p>
            <w:pPr>
              <w:spacing w:after="0"/>
              <w:rPr>
                <w:sz w:val="15"/>
                <w:szCs w:val="15"/>
                <w:color w:val="auto"/>
              </w:rPr>
            </w:pPr>
          </w:p>
        </w:tc>
        <w:tc>
          <w:tcPr>
            <w:tcW w:w="420" w:type="dxa"/>
            <w:vAlign w:val="bottom"/>
            <w:tcBorders>
              <w:bottom w:val="single" w:sz="8" w:color="E8EFF9"/>
            </w:tcBorders>
            <w:shd w:val="clear" w:color="auto" w:fill="E8EFF9"/>
          </w:tcPr>
          <w:p>
            <w:pPr>
              <w:spacing w:after="0"/>
              <w:rPr>
                <w:sz w:val="15"/>
                <w:szCs w:val="15"/>
                <w:color w:val="auto"/>
              </w:rPr>
            </w:pPr>
          </w:p>
        </w:tc>
        <w:tc>
          <w:tcPr>
            <w:tcW w:w="800" w:type="dxa"/>
            <w:vAlign w:val="bottom"/>
            <w:tcBorders>
              <w:bottom w:val="single" w:sz="8" w:color="E8EFF9"/>
            </w:tcBorders>
            <w:shd w:val="clear" w:color="auto" w:fill="E8EFF9"/>
          </w:tcPr>
          <w:p>
            <w:pPr>
              <w:spacing w:after="0"/>
              <w:rPr>
                <w:sz w:val="15"/>
                <w:szCs w:val="15"/>
                <w:color w:val="auto"/>
              </w:rPr>
            </w:pPr>
          </w:p>
        </w:tc>
      </w:tr>
      <w:tr>
        <w:trPr>
          <w:trHeight w:val="171"/>
        </w:trPr>
        <w:tc>
          <w:tcPr>
            <w:tcW w:w="2520" w:type="dxa"/>
            <w:vAlign w:val="bottom"/>
            <w:tcBorders>
              <w:bottom w:val="single" w:sz="8" w:color="0077C0"/>
            </w:tcBorders>
            <w:shd w:val="clear" w:color="auto" w:fill="E8EFF9"/>
          </w:tcPr>
          <w:p>
            <w:pPr>
              <w:ind w:left="20"/>
              <w:spacing w:after="0"/>
              <w:rPr>
                <w:sz w:val="20"/>
                <w:szCs w:val="20"/>
                <w:color w:val="auto"/>
              </w:rPr>
            </w:pPr>
            <w:r>
              <w:rPr>
                <w:rFonts w:ascii="Times New Roman" w:cs="Times New Roman" w:eastAsia="Times New Roman" w:hAnsi="Times New Roman"/>
                <w:sz w:val="13"/>
                <w:szCs w:val="13"/>
                <w:b w:val="1"/>
                <w:bCs w:val="1"/>
                <w:color w:val="0077C0"/>
              </w:rPr>
              <w:t>Balance at December 31, 2023</w:t>
            </w:r>
          </w:p>
        </w:tc>
        <w:tc>
          <w:tcPr>
            <w:tcW w:w="420" w:type="dxa"/>
            <w:vAlign w:val="bottom"/>
            <w:tcBorders>
              <w:bottom w:val="single" w:sz="8" w:color="0077C0"/>
            </w:tcBorders>
            <w:shd w:val="clear" w:color="auto" w:fill="E8EFF9"/>
          </w:tcPr>
          <w:p>
            <w:pPr>
              <w:spacing w:after="0"/>
              <w:rPr>
                <w:sz w:val="14"/>
                <w:szCs w:val="14"/>
                <w:color w:val="auto"/>
              </w:rPr>
            </w:pPr>
          </w:p>
        </w:tc>
        <w:tc>
          <w:tcPr>
            <w:tcW w:w="600" w:type="dxa"/>
            <w:vAlign w:val="bottom"/>
            <w:tcBorders>
              <w:bottom w:val="single" w:sz="8" w:color="0077C0"/>
            </w:tcBorders>
            <w:shd w:val="clear" w:color="auto" w:fill="E8EFF9"/>
          </w:tcPr>
          <w:p>
            <w:pPr>
              <w:spacing w:after="0"/>
              <w:rPr>
                <w:sz w:val="14"/>
                <w:szCs w:val="14"/>
                <w:color w:val="auto"/>
              </w:rPr>
            </w:pPr>
          </w:p>
        </w:tc>
        <w:tc>
          <w:tcPr>
            <w:tcW w:w="260" w:type="dxa"/>
            <w:vAlign w:val="bottom"/>
            <w:tcBorders>
              <w:bottom w:val="single" w:sz="8" w:color="0077C0"/>
            </w:tcBorders>
            <w:shd w:val="clear" w:color="auto" w:fill="E8EFF9"/>
          </w:tcPr>
          <w:p>
            <w:pPr>
              <w:spacing w:after="0"/>
              <w:rPr>
                <w:sz w:val="14"/>
                <w:szCs w:val="14"/>
                <w:color w:val="auto"/>
              </w:rPr>
            </w:pPr>
          </w:p>
        </w:tc>
        <w:tc>
          <w:tcPr>
            <w:tcW w:w="98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b w:val="1"/>
                <w:bCs w:val="1"/>
                <w:color w:val="auto"/>
              </w:rPr>
              <w:t>2,442,676,580</w:t>
            </w:r>
          </w:p>
        </w:tc>
        <w:tc>
          <w:tcPr>
            <w:tcW w:w="240" w:type="dxa"/>
            <w:vAlign w:val="bottom"/>
            <w:tcBorders>
              <w:bottom w:val="single" w:sz="8" w:color="0077C0"/>
            </w:tcBorders>
            <w:shd w:val="clear" w:color="auto" w:fill="E8EFF9"/>
          </w:tcPr>
          <w:p>
            <w:pPr>
              <w:spacing w:after="0"/>
              <w:rPr>
                <w:sz w:val="14"/>
                <w:szCs w:val="14"/>
                <w:color w:val="auto"/>
              </w:rPr>
            </w:pPr>
          </w:p>
        </w:tc>
        <w:tc>
          <w:tcPr>
            <w:tcW w:w="1000" w:type="dxa"/>
            <w:vAlign w:val="bottom"/>
            <w:tcBorders>
              <w:bottom w:val="single" w:sz="8" w:color="0077C0"/>
            </w:tcBorders>
            <w:shd w:val="clear" w:color="auto" w:fill="E8EFF9"/>
          </w:tcPr>
          <w:p>
            <w:pPr>
              <w:spacing w:after="0"/>
              <w:rPr>
                <w:sz w:val="14"/>
                <w:szCs w:val="14"/>
                <w:color w:val="auto"/>
              </w:rPr>
            </w:pPr>
          </w:p>
        </w:tc>
        <w:tc>
          <w:tcPr>
            <w:tcW w:w="300" w:type="dxa"/>
            <w:vAlign w:val="bottom"/>
            <w:tcBorders>
              <w:bottom w:val="single" w:sz="8" w:color="0077C0"/>
            </w:tcBorders>
            <w:shd w:val="clear" w:color="auto" w:fill="E8EFF9"/>
          </w:tcPr>
          <w:p>
            <w:pPr>
              <w:spacing w:after="0"/>
              <w:rPr>
                <w:sz w:val="14"/>
                <w:szCs w:val="14"/>
                <w:color w:val="auto"/>
              </w:rPr>
            </w:pPr>
          </w:p>
        </w:tc>
        <w:tc>
          <w:tcPr>
            <w:tcW w:w="94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b w:val="1"/>
                <w:bCs w:val="1"/>
                <w:color w:val="auto"/>
              </w:rPr>
              <w:t>(577,028,776)</w:t>
            </w:r>
          </w:p>
        </w:tc>
        <w:tc>
          <w:tcPr>
            <w:tcW w:w="300" w:type="dxa"/>
            <w:vAlign w:val="bottom"/>
            <w:tcBorders>
              <w:bottom w:val="single" w:sz="8" w:color="0077C0"/>
            </w:tcBorders>
            <w:shd w:val="clear" w:color="auto" w:fill="E8EFF9"/>
          </w:tcPr>
          <w:p>
            <w:pPr>
              <w:spacing w:after="0"/>
              <w:rPr>
                <w:sz w:val="14"/>
                <w:szCs w:val="14"/>
                <w:color w:val="auto"/>
              </w:rPr>
            </w:pPr>
          </w:p>
        </w:tc>
        <w:tc>
          <w:tcPr>
            <w:tcW w:w="1080" w:type="dxa"/>
            <w:vAlign w:val="bottom"/>
            <w:tcBorders>
              <w:bottom w:val="single" w:sz="8" w:color="0077C0"/>
              <w:right w:val="single" w:sz="8" w:color="E8EFF9"/>
            </w:tcBorders>
            <w:shd w:val="clear" w:color="auto" w:fill="E8EFF9"/>
          </w:tcPr>
          <w:p>
            <w:pPr>
              <w:spacing w:after="0"/>
              <w:rPr>
                <w:sz w:val="14"/>
                <w:szCs w:val="14"/>
                <w:color w:val="auto"/>
              </w:rPr>
            </w:pPr>
          </w:p>
        </w:tc>
        <w:tc>
          <w:tcPr>
            <w:tcW w:w="220" w:type="dxa"/>
            <w:vAlign w:val="bottom"/>
            <w:tcBorders>
              <w:bottom w:val="single" w:sz="8" w:color="0077C0"/>
            </w:tcBorders>
            <w:shd w:val="clear" w:color="auto" w:fill="E8EFF9"/>
          </w:tcPr>
          <w:p>
            <w:pPr>
              <w:spacing w:after="0"/>
              <w:rPr>
                <w:sz w:val="14"/>
                <w:szCs w:val="14"/>
                <w:color w:val="auto"/>
              </w:rPr>
            </w:pPr>
          </w:p>
        </w:tc>
        <w:tc>
          <w:tcPr>
            <w:tcW w:w="10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b w:val="1"/>
                <w:bCs w:val="1"/>
                <w:color w:val="auto"/>
              </w:rPr>
              <w:t>1,865,647,804</w:t>
            </w:r>
          </w:p>
        </w:tc>
        <w:tc>
          <w:tcPr>
            <w:tcW w:w="120" w:type="dxa"/>
            <w:vAlign w:val="bottom"/>
            <w:tcBorders>
              <w:bottom w:val="single" w:sz="8" w:color="E8EFF9"/>
              <w:right w:val="single" w:sz="8" w:color="E8EFF9"/>
            </w:tcBorders>
            <w:shd w:val="clear" w:color="auto" w:fill="E8EFF9"/>
          </w:tcPr>
          <w:p>
            <w:pPr>
              <w:spacing w:after="0"/>
              <w:rPr>
                <w:sz w:val="14"/>
                <w:szCs w:val="14"/>
                <w:color w:val="auto"/>
              </w:rPr>
            </w:pPr>
          </w:p>
        </w:tc>
        <w:tc>
          <w:tcPr>
            <w:tcW w:w="420" w:type="dxa"/>
            <w:vAlign w:val="bottom"/>
            <w:tcBorders>
              <w:bottom w:val="single" w:sz="8" w:color="E8EFF9"/>
            </w:tcBorders>
            <w:shd w:val="clear" w:color="auto" w:fill="E8EFF9"/>
          </w:tcPr>
          <w:p>
            <w:pPr>
              <w:spacing w:after="0"/>
              <w:rPr>
                <w:sz w:val="14"/>
                <w:szCs w:val="14"/>
                <w:color w:val="auto"/>
              </w:rPr>
            </w:pPr>
          </w:p>
        </w:tc>
        <w:tc>
          <w:tcPr>
            <w:tcW w:w="800" w:type="dxa"/>
            <w:vAlign w:val="bottom"/>
            <w:tcBorders>
              <w:bottom w:val="single" w:sz="8" w:color="E8EFF9"/>
            </w:tcBorders>
            <w:shd w:val="clear" w:color="auto" w:fill="E8EFF9"/>
          </w:tcPr>
          <w:p>
            <w:pPr>
              <w:spacing w:after="0"/>
              <w:rPr>
                <w:sz w:val="14"/>
                <w:szCs w:val="14"/>
                <w:color w:val="auto"/>
              </w:rPr>
            </w:pPr>
          </w:p>
        </w:tc>
      </w:tr>
      <w:tr>
        <w:trPr>
          <w:trHeight w:val="162"/>
        </w:trPr>
        <w:tc>
          <w:tcPr>
            <w:tcW w:w="2520" w:type="dxa"/>
            <w:vAlign w:val="bottom"/>
            <w:shd w:val="clear" w:color="auto" w:fill="E8EFF9"/>
          </w:tcPr>
          <w:p>
            <w:pPr>
              <w:ind w:left="140"/>
              <w:spacing w:after="0"/>
              <w:rPr>
                <w:sz w:val="20"/>
                <w:szCs w:val="20"/>
                <w:color w:val="auto"/>
              </w:rPr>
            </w:pPr>
            <w:r>
              <w:rPr>
                <w:rFonts w:ascii="Times New Roman" w:cs="Times New Roman" w:eastAsia="Times New Roman" w:hAnsi="Times New Roman"/>
                <w:sz w:val="13"/>
                <w:szCs w:val="13"/>
                <w:color w:val="auto"/>
              </w:rPr>
              <w:t>Purchases</w:t>
            </w:r>
          </w:p>
        </w:tc>
        <w:tc>
          <w:tcPr>
            <w:tcW w:w="420" w:type="dxa"/>
            <w:vAlign w:val="bottom"/>
            <w:shd w:val="clear" w:color="auto" w:fill="E8EFF9"/>
          </w:tcPr>
          <w:p>
            <w:pPr>
              <w:spacing w:after="0"/>
              <w:rPr>
                <w:sz w:val="14"/>
                <w:szCs w:val="14"/>
                <w:color w:val="auto"/>
              </w:rPr>
            </w:pPr>
          </w:p>
        </w:tc>
        <w:tc>
          <w:tcPr>
            <w:tcW w:w="600" w:type="dxa"/>
            <w:vAlign w:val="bottom"/>
            <w:shd w:val="clear" w:color="auto" w:fill="E8EFF9"/>
          </w:tcPr>
          <w:p>
            <w:pPr>
              <w:spacing w:after="0"/>
              <w:rPr>
                <w:sz w:val="14"/>
                <w:szCs w:val="14"/>
                <w:color w:val="auto"/>
              </w:rPr>
            </w:pPr>
          </w:p>
        </w:tc>
        <w:tc>
          <w:tcPr>
            <w:tcW w:w="260" w:type="dxa"/>
            <w:vAlign w:val="bottom"/>
            <w:shd w:val="clear" w:color="auto" w:fill="E8EFF9"/>
          </w:tcPr>
          <w:p>
            <w:pPr>
              <w:spacing w:after="0"/>
              <w:rPr>
                <w:sz w:val="14"/>
                <w:szCs w:val="14"/>
                <w:color w:val="auto"/>
              </w:rPr>
            </w:pPr>
          </w:p>
        </w:tc>
        <w:tc>
          <w:tcPr>
            <w:tcW w:w="98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E8EFF9"/>
          </w:tcPr>
          <w:p>
            <w:pPr>
              <w:spacing w:after="0"/>
              <w:rPr>
                <w:sz w:val="14"/>
                <w:szCs w:val="14"/>
                <w:color w:val="auto"/>
              </w:rPr>
            </w:pPr>
          </w:p>
        </w:tc>
        <w:tc>
          <w:tcPr>
            <w:tcW w:w="1000" w:type="dxa"/>
            <w:vAlign w:val="bottom"/>
            <w:shd w:val="clear" w:color="auto" w:fill="E8EFF9"/>
          </w:tcPr>
          <w:p>
            <w:pPr>
              <w:spacing w:after="0"/>
              <w:rPr>
                <w:sz w:val="14"/>
                <w:szCs w:val="14"/>
                <w:color w:val="auto"/>
              </w:rPr>
            </w:pPr>
          </w:p>
        </w:tc>
        <w:tc>
          <w:tcPr>
            <w:tcW w:w="300" w:type="dxa"/>
            <w:vAlign w:val="bottom"/>
            <w:shd w:val="clear" w:color="auto" w:fill="E8EFF9"/>
          </w:tcPr>
          <w:p>
            <w:pPr>
              <w:spacing w:after="0"/>
              <w:rPr>
                <w:sz w:val="14"/>
                <w:szCs w:val="14"/>
                <w:color w:val="auto"/>
              </w:rPr>
            </w:pPr>
          </w:p>
        </w:tc>
        <w:tc>
          <w:tcPr>
            <w:tcW w:w="94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(100,444,608)</w:t>
            </w:r>
          </w:p>
        </w:tc>
        <w:tc>
          <w:tcPr>
            <w:tcW w:w="300" w:type="dxa"/>
            <w:vAlign w:val="bottom"/>
            <w:shd w:val="clear" w:color="auto" w:fill="E8EFF9"/>
          </w:tcPr>
          <w:p>
            <w:pPr>
              <w:spacing w:after="0"/>
              <w:rPr>
                <w:sz w:val="14"/>
                <w:szCs w:val="14"/>
                <w:color w:val="auto"/>
              </w:rPr>
            </w:pPr>
          </w:p>
        </w:tc>
        <w:tc>
          <w:tcPr>
            <w:tcW w:w="1080" w:type="dxa"/>
            <w:vAlign w:val="bottom"/>
            <w:tcBorders>
              <w:right w:val="single" w:sz="8" w:color="E8EFF9"/>
            </w:tcBorders>
            <w:shd w:val="clear" w:color="auto" w:fill="E8EFF9"/>
          </w:tcPr>
          <w:p>
            <w:pPr>
              <w:spacing w:after="0"/>
              <w:rPr>
                <w:sz w:val="14"/>
                <w:szCs w:val="14"/>
                <w:color w:val="auto"/>
              </w:rPr>
            </w:pPr>
          </w:p>
        </w:tc>
        <w:tc>
          <w:tcPr>
            <w:tcW w:w="220" w:type="dxa"/>
            <w:vAlign w:val="bottom"/>
            <w:shd w:val="clear" w:color="auto" w:fill="E8EFF9"/>
          </w:tcPr>
          <w:p>
            <w:pPr>
              <w:spacing w:after="0"/>
              <w:rPr>
                <w:sz w:val="14"/>
                <w:szCs w:val="14"/>
                <w:color w:val="auto"/>
              </w:rPr>
            </w:pPr>
          </w:p>
        </w:tc>
        <w:tc>
          <w:tcPr>
            <w:tcW w:w="1000" w:type="dxa"/>
            <w:vAlign w:val="bottom"/>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(100,444,608)</w:t>
            </w:r>
          </w:p>
        </w:tc>
        <w:tc>
          <w:tcPr>
            <w:tcW w:w="120" w:type="dxa"/>
            <w:vAlign w:val="bottom"/>
            <w:tcBorders>
              <w:right w:val="single" w:sz="8" w:color="E8EFF9"/>
            </w:tcBorders>
            <w:shd w:val="clear" w:color="auto" w:fill="E8EFF9"/>
          </w:tcPr>
          <w:p>
            <w:pPr>
              <w:spacing w:after="0"/>
              <w:rPr>
                <w:sz w:val="14"/>
                <w:szCs w:val="14"/>
                <w:color w:val="auto"/>
              </w:rPr>
            </w:pPr>
          </w:p>
        </w:tc>
        <w:tc>
          <w:tcPr>
            <w:tcW w:w="420" w:type="dxa"/>
            <w:vAlign w:val="bottom"/>
            <w:shd w:val="clear" w:color="auto" w:fill="E8EFF9"/>
          </w:tcPr>
          <w:p>
            <w:pPr>
              <w:spacing w:after="0"/>
              <w:rPr>
                <w:sz w:val="14"/>
                <w:szCs w:val="14"/>
                <w:color w:val="auto"/>
              </w:rPr>
            </w:pPr>
          </w:p>
        </w:tc>
        <w:tc>
          <w:tcPr>
            <w:tcW w:w="800" w:type="dxa"/>
            <w:vAlign w:val="bottom"/>
            <w:shd w:val="clear" w:color="auto" w:fill="E8EFF9"/>
          </w:tcPr>
          <w:p>
            <w:pPr>
              <w:spacing w:after="0"/>
              <w:rPr>
                <w:sz w:val="14"/>
                <w:szCs w:val="14"/>
                <w:color w:val="auto"/>
              </w:rPr>
            </w:pPr>
          </w:p>
        </w:tc>
      </w:tr>
      <w:tr>
        <w:trPr>
          <w:trHeight w:val="180"/>
        </w:trPr>
        <w:tc>
          <w:tcPr>
            <w:tcW w:w="2520" w:type="dxa"/>
            <w:vAlign w:val="bottom"/>
            <w:tcBorders>
              <w:bottom w:val="single" w:sz="8" w:color="0077C0"/>
            </w:tcBorders>
            <w:shd w:val="clear" w:color="auto" w:fill="E8EFF9"/>
          </w:tcPr>
          <w:p>
            <w:pPr>
              <w:ind w:left="140"/>
              <w:spacing w:after="0"/>
              <w:rPr>
                <w:sz w:val="20"/>
                <w:szCs w:val="20"/>
                <w:color w:val="auto"/>
              </w:rPr>
            </w:pPr>
            <w:r>
              <w:rPr>
                <w:rFonts w:ascii="Times New Roman" w:cs="Times New Roman" w:eastAsia="Times New Roman" w:hAnsi="Times New Roman"/>
                <w:sz w:val="13"/>
                <w:szCs w:val="13"/>
                <w:color w:val="auto"/>
              </w:rPr>
              <w:t>Issuances</w:t>
            </w:r>
          </w:p>
        </w:tc>
        <w:tc>
          <w:tcPr>
            <w:tcW w:w="420" w:type="dxa"/>
            <w:vAlign w:val="bottom"/>
            <w:tcBorders>
              <w:bottom w:val="single" w:sz="8" w:color="0077C0"/>
            </w:tcBorders>
            <w:shd w:val="clear" w:color="auto" w:fill="E8EFF9"/>
          </w:tcPr>
          <w:p>
            <w:pPr>
              <w:spacing w:after="0"/>
              <w:rPr>
                <w:sz w:val="15"/>
                <w:szCs w:val="15"/>
                <w:color w:val="auto"/>
              </w:rPr>
            </w:pPr>
          </w:p>
        </w:tc>
        <w:tc>
          <w:tcPr>
            <w:tcW w:w="600" w:type="dxa"/>
            <w:vAlign w:val="bottom"/>
            <w:tcBorders>
              <w:bottom w:val="single" w:sz="8" w:color="0077C0"/>
            </w:tcBorders>
            <w:shd w:val="clear" w:color="auto" w:fill="E8EFF9"/>
          </w:tcPr>
          <w:p>
            <w:pPr>
              <w:spacing w:after="0"/>
              <w:rPr>
                <w:sz w:val="15"/>
                <w:szCs w:val="15"/>
                <w:color w:val="auto"/>
              </w:rPr>
            </w:pPr>
          </w:p>
        </w:tc>
        <w:tc>
          <w:tcPr>
            <w:tcW w:w="260" w:type="dxa"/>
            <w:vAlign w:val="bottom"/>
            <w:tcBorders>
              <w:bottom w:val="single" w:sz="8" w:color="0077C0"/>
            </w:tcBorders>
            <w:shd w:val="clear" w:color="auto" w:fill="E8EFF9"/>
          </w:tcPr>
          <w:p>
            <w:pPr>
              <w:spacing w:after="0"/>
              <w:rPr>
                <w:sz w:val="15"/>
                <w:szCs w:val="15"/>
                <w:color w:val="auto"/>
              </w:rPr>
            </w:pPr>
          </w:p>
        </w:tc>
        <w:tc>
          <w:tcPr>
            <w:tcW w:w="98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0077C0"/>
            </w:tcBorders>
            <w:shd w:val="clear" w:color="auto" w:fill="E8EFF9"/>
          </w:tcPr>
          <w:p>
            <w:pPr>
              <w:spacing w:after="0"/>
              <w:rPr>
                <w:sz w:val="15"/>
                <w:szCs w:val="15"/>
                <w:color w:val="auto"/>
              </w:rPr>
            </w:pPr>
          </w:p>
        </w:tc>
        <w:tc>
          <w:tcPr>
            <w:tcW w:w="1000" w:type="dxa"/>
            <w:vAlign w:val="bottom"/>
            <w:tcBorders>
              <w:bottom w:val="single" w:sz="8" w:color="0077C0"/>
            </w:tcBorders>
            <w:shd w:val="clear" w:color="auto" w:fill="E8EFF9"/>
          </w:tcPr>
          <w:p>
            <w:pPr>
              <w:spacing w:after="0"/>
              <w:rPr>
                <w:sz w:val="15"/>
                <w:szCs w:val="15"/>
                <w:color w:val="auto"/>
              </w:rPr>
            </w:pPr>
          </w:p>
        </w:tc>
        <w:tc>
          <w:tcPr>
            <w:tcW w:w="300" w:type="dxa"/>
            <w:vAlign w:val="bottom"/>
            <w:tcBorders>
              <w:bottom w:val="single" w:sz="8" w:color="0077C0"/>
            </w:tcBorders>
            <w:shd w:val="clear" w:color="auto" w:fill="E8EFF9"/>
          </w:tcPr>
          <w:p>
            <w:pPr>
              <w:spacing w:after="0"/>
              <w:rPr>
                <w:sz w:val="15"/>
                <w:szCs w:val="15"/>
                <w:color w:val="auto"/>
              </w:rPr>
            </w:pPr>
          </w:p>
        </w:tc>
        <w:tc>
          <w:tcPr>
            <w:tcW w:w="94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3,809,078</w:t>
            </w:r>
          </w:p>
        </w:tc>
        <w:tc>
          <w:tcPr>
            <w:tcW w:w="300" w:type="dxa"/>
            <w:vAlign w:val="bottom"/>
            <w:tcBorders>
              <w:bottom w:val="single" w:sz="8" w:color="0077C0"/>
            </w:tcBorders>
            <w:shd w:val="clear" w:color="auto" w:fill="E8EFF9"/>
          </w:tcPr>
          <w:p>
            <w:pPr>
              <w:spacing w:after="0"/>
              <w:rPr>
                <w:sz w:val="15"/>
                <w:szCs w:val="15"/>
                <w:color w:val="auto"/>
              </w:rPr>
            </w:pPr>
          </w:p>
        </w:tc>
        <w:tc>
          <w:tcPr>
            <w:tcW w:w="1080" w:type="dxa"/>
            <w:vAlign w:val="bottom"/>
            <w:tcBorders>
              <w:bottom w:val="single" w:sz="8" w:color="0077C0"/>
              <w:right w:val="single" w:sz="8" w:color="E8EFF9"/>
            </w:tcBorders>
            <w:shd w:val="clear" w:color="auto" w:fill="E8EFF9"/>
          </w:tcPr>
          <w:p>
            <w:pPr>
              <w:spacing w:after="0"/>
              <w:rPr>
                <w:sz w:val="15"/>
                <w:szCs w:val="15"/>
                <w:color w:val="auto"/>
              </w:rPr>
            </w:pPr>
          </w:p>
        </w:tc>
        <w:tc>
          <w:tcPr>
            <w:tcW w:w="220" w:type="dxa"/>
            <w:vAlign w:val="bottom"/>
            <w:tcBorders>
              <w:bottom w:val="single" w:sz="8" w:color="0077C0"/>
            </w:tcBorders>
            <w:shd w:val="clear" w:color="auto" w:fill="E8EFF9"/>
          </w:tcPr>
          <w:p>
            <w:pPr>
              <w:spacing w:after="0"/>
              <w:rPr>
                <w:sz w:val="15"/>
                <w:szCs w:val="15"/>
                <w:color w:val="auto"/>
              </w:rPr>
            </w:pPr>
          </w:p>
        </w:tc>
        <w:tc>
          <w:tcPr>
            <w:tcW w:w="10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color w:val="auto"/>
              </w:rPr>
              <w:t>3,809,078</w:t>
            </w:r>
          </w:p>
        </w:tc>
        <w:tc>
          <w:tcPr>
            <w:tcW w:w="120" w:type="dxa"/>
            <w:vAlign w:val="bottom"/>
            <w:tcBorders>
              <w:bottom w:val="single" w:sz="8" w:color="E8EFF9"/>
              <w:right w:val="single" w:sz="8" w:color="E8EFF9"/>
            </w:tcBorders>
            <w:shd w:val="clear" w:color="auto" w:fill="E8EFF9"/>
          </w:tcPr>
          <w:p>
            <w:pPr>
              <w:spacing w:after="0"/>
              <w:rPr>
                <w:sz w:val="15"/>
                <w:szCs w:val="15"/>
                <w:color w:val="auto"/>
              </w:rPr>
            </w:pPr>
          </w:p>
        </w:tc>
        <w:tc>
          <w:tcPr>
            <w:tcW w:w="420" w:type="dxa"/>
            <w:vAlign w:val="bottom"/>
            <w:tcBorders>
              <w:bottom w:val="single" w:sz="8" w:color="E8EFF9"/>
            </w:tcBorders>
            <w:shd w:val="clear" w:color="auto" w:fill="E8EFF9"/>
          </w:tcPr>
          <w:p>
            <w:pPr>
              <w:spacing w:after="0"/>
              <w:rPr>
                <w:sz w:val="15"/>
                <w:szCs w:val="15"/>
                <w:color w:val="auto"/>
              </w:rPr>
            </w:pPr>
          </w:p>
        </w:tc>
        <w:tc>
          <w:tcPr>
            <w:tcW w:w="800" w:type="dxa"/>
            <w:vAlign w:val="bottom"/>
            <w:tcBorders>
              <w:bottom w:val="single" w:sz="8" w:color="E8EFF9"/>
            </w:tcBorders>
            <w:shd w:val="clear" w:color="auto" w:fill="E8EFF9"/>
          </w:tcPr>
          <w:p>
            <w:pPr>
              <w:spacing w:after="0"/>
              <w:rPr>
                <w:sz w:val="15"/>
                <w:szCs w:val="15"/>
                <w:color w:val="auto"/>
              </w:rPr>
            </w:pPr>
          </w:p>
        </w:tc>
      </w:tr>
      <w:tr>
        <w:trPr>
          <w:trHeight w:val="171"/>
        </w:trPr>
        <w:tc>
          <w:tcPr>
            <w:tcW w:w="2520" w:type="dxa"/>
            <w:vAlign w:val="bottom"/>
            <w:tcBorders>
              <w:bottom w:val="single" w:sz="8" w:color="0077C0"/>
            </w:tcBorders>
            <w:shd w:val="clear" w:color="auto" w:fill="E8EFF9"/>
          </w:tcPr>
          <w:p>
            <w:pPr>
              <w:ind w:left="20"/>
              <w:spacing w:after="0"/>
              <w:rPr>
                <w:sz w:val="20"/>
                <w:szCs w:val="20"/>
                <w:color w:val="auto"/>
              </w:rPr>
            </w:pPr>
            <w:r>
              <w:rPr>
                <w:rFonts w:ascii="Times New Roman" w:cs="Times New Roman" w:eastAsia="Times New Roman" w:hAnsi="Times New Roman"/>
                <w:sz w:val="13"/>
                <w:szCs w:val="13"/>
                <w:b w:val="1"/>
                <w:bCs w:val="1"/>
                <w:color w:val="0077C0"/>
              </w:rPr>
              <w:t>Balance at December 31, 2024</w:t>
            </w:r>
          </w:p>
        </w:tc>
        <w:tc>
          <w:tcPr>
            <w:tcW w:w="420" w:type="dxa"/>
            <w:vAlign w:val="bottom"/>
            <w:tcBorders>
              <w:bottom w:val="single" w:sz="8" w:color="0077C0"/>
            </w:tcBorders>
            <w:shd w:val="clear" w:color="auto" w:fill="E8EFF9"/>
          </w:tcPr>
          <w:p>
            <w:pPr>
              <w:spacing w:after="0"/>
              <w:rPr>
                <w:sz w:val="14"/>
                <w:szCs w:val="14"/>
                <w:color w:val="auto"/>
              </w:rPr>
            </w:pPr>
          </w:p>
        </w:tc>
        <w:tc>
          <w:tcPr>
            <w:tcW w:w="600" w:type="dxa"/>
            <w:vAlign w:val="bottom"/>
            <w:tcBorders>
              <w:bottom w:val="single" w:sz="8" w:color="0077C0"/>
            </w:tcBorders>
            <w:shd w:val="clear" w:color="auto" w:fill="E8EFF9"/>
          </w:tcPr>
          <w:p>
            <w:pPr>
              <w:spacing w:after="0"/>
              <w:rPr>
                <w:sz w:val="14"/>
                <w:szCs w:val="14"/>
                <w:color w:val="auto"/>
              </w:rPr>
            </w:pPr>
          </w:p>
        </w:tc>
        <w:tc>
          <w:tcPr>
            <w:tcW w:w="260" w:type="dxa"/>
            <w:vAlign w:val="bottom"/>
            <w:tcBorders>
              <w:bottom w:val="single" w:sz="8" w:color="0077C0"/>
            </w:tcBorders>
            <w:shd w:val="clear" w:color="auto" w:fill="E8EFF9"/>
          </w:tcPr>
          <w:p>
            <w:pPr>
              <w:spacing w:after="0"/>
              <w:rPr>
                <w:sz w:val="14"/>
                <w:szCs w:val="14"/>
                <w:color w:val="auto"/>
              </w:rPr>
            </w:pPr>
          </w:p>
        </w:tc>
        <w:tc>
          <w:tcPr>
            <w:tcW w:w="98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b w:val="1"/>
                <w:bCs w:val="1"/>
                <w:color w:val="auto"/>
              </w:rPr>
              <w:t>2,442,676,580</w:t>
            </w:r>
          </w:p>
        </w:tc>
        <w:tc>
          <w:tcPr>
            <w:tcW w:w="240" w:type="dxa"/>
            <w:vAlign w:val="bottom"/>
            <w:tcBorders>
              <w:bottom w:val="single" w:sz="8" w:color="0077C0"/>
            </w:tcBorders>
            <w:shd w:val="clear" w:color="auto" w:fill="E8EFF9"/>
          </w:tcPr>
          <w:p>
            <w:pPr>
              <w:spacing w:after="0"/>
              <w:rPr>
                <w:sz w:val="14"/>
                <w:szCs w:val="14"/>
                <w:color w:val="auto"/>
              </w:rPr>
            </w:pPr>
          </w:p>
        </w:tc>
        <w:tc>
          <w:tcPr>
            <w:tcW w:w="1000" w:type="dxa"/>
            <w:vAlign w:val="bottom"/>
            <w:tcBorders>
              <w:bottom w:val="single" w:sz="8" w:color="0077C0"/>
            </w:tcBorders>
            <w:shd w:val="clear" w:color="auto" w:fill="E8EFF9"/>
          </w:tcPr>
          <w:p>
            <w:pPr>
              <w:spacing w:after="0"/>
              <w:rPr>
                <w:sz w:val="14"/>
                <w:szCs w:val="14"/>
                <w:color w:val="auto"/>
              </w:rPr>
            </w:pPr>
          </w:p>
        </w:tc>
        <w:tc>
          <w:tcPr>
            <w:tcW w:w="300" w:type="dxa"/>
            <w:vAlign w:val="bottom"/>
            <w:tcBorders>
              <w:bottom w:val="single" w:sz="8" w:color="0077C0"/>
            </w:tcBorders>
            <w:shd w:val="clear" w:color="auto" w:fill="E8EFF9"/>
          </w:tcPr>
          <w:p>
            <w:pPr>
              <w:spacing w:after="0"/>
              <w:rPr>
                <w:sz w:val="14"/>
                <w:szCs w:val="14"/>
                <w:color w:val="auto"/>
              </w:rPr>
            </w:pPr>
          </w:p>
        </w:tc>
        <w:tc>
          <w:tcPr>
            <w:tcW w:w="94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b w:val="1"/>
                <w:bCs w:val="1"/>
                <w:color w:val="auto"/>
              </w:rPr>
              <w:t>(673,664,306)</w:t>
            </w:r>
          </w:p>
        </w:tc>
        <w:tc>
          <w:tcPr>
            <w:tcW w:w="300" w:type="dxa"/>
            <w:vAlign w:val="bottom"/>
            <w:tcBorders>
              <w:bottom w:val="single" w:sz="8" w:color="0077C0"/>
            </w:tcBorders>
            <w:shd w:val="clear" w:color="auto" w:fill="E8EFF9"/>
          </w:tcPr>
          <w:p>
            <w:pPr>
              <w:spacing w:after="0"/>
              <w:rPr>
                <w:sz w:val="14"/>
                <w:szCs w:val="14"/>
                <w:color w:val="auto"/>
              </w:rPr>
            </w:pPr>
          </w:p>
        </w:tc>
        <w:tc>
          <w:tcPr>
            <w:tcW w:w="1080" w:type="dxa"/>
            <w:vAlign w:val="bottom"/>
            <w:tcBorders>
              <w:bottom w:val="single" w:sz="8" w:color="0077C0"/>
              <w:right w:val="single" w:sz="8" w:color="E8EFF9"/>
            </w:tcBorders>
            <w:shd w:val="clear" w:color="auto" w:fill="E8EFF9"/>
          </w:tcPr>
          <w:p>
            <w:pPr>
              <w:spacing w:after="0"/>
              <w:rPr>
                <w:sz w:val="14"/>
                <w:szCs w:val="14"/>
                <w:color w:val="auto"/>
              </w:rPr>
            </w:pPr>
          </w:p>
        </w:tc>
        <w:tc>
          <w:tcPr>
            <w:tcW w:w="220" w:type="dxa"/>
            <w:vAlign w:val="bottom"/>
            <w:tcBorders>
              <w:bottom w:val="single" w:sz="8" w:color="0077C0"/>
            </w:tcBorders>
            <w:shd w:val="clear" w:color="auto" w:fill="E8EFF9"/>
          </w:tcPr>
          <w:p>
            <w:pPr>
              <w:spacing w:after="0"/>
              <w:rPr>
                <w:sz w:val="14"/>
                <w:szCs w:val="14"/>
                <w:color w:val="auto"/>
              </w:rPr>
            </w:pPr>
          </w:p>
        </w:tc>
        <w:tc>
          <w:tcPr>
            <w:tcW w:w="1000" w:type="dxa"/>
            <w:vAlign w:val="bottom"/>
            <w:tcBorders>
              <w:bottom w:val="single" w:sz="8" w:color="0077C0"/>
            </w:tcBorders>
            <w:shd w:val="clear" w:color="auto" w:fill="E8EFF9"/>
          </w:tcPr>
          <w:p>
            <w:pPr>
              <w:jc w:val="right"/>
              <w:spacing w:after="0"/>
              <w:rPr>
                <w:sz w:val="20"/>
                <w:szCs w:val="20"/>
                <w:color w:val="auto"/>
              </w:rPr>
            </w:pPr>
            <w:r>
              <w:rPr>
                <w:rFonts w:ascii="Times New Roman" w:cs="Times New Roman" w:eastAsia="Times New Roman" w:hAnsi="Times New Roman"/>
                <w:sz w:val="13"/>
                <w:szCs w:val="13"/>
                <w:b w:val="1"/>
                <w:bCs w:val="1"/>
                <w:color w:val="auto"/>
              </w:rPr>
              <w:t>1,769,012,274</w:t>
            </w:r>
          </w:p>
        </w:tc>
        <w:tc>
          <w:tcPr>
            <w:tcW w:w="120" w:type="dxa"/>
            <w:vAlign w:val="bottom"/>
            <w:tcBorders>
              <w:bottom w:val="single" w:sz="8" w:color="0077C0"/>
              <w:right w:val="single" w:sz="8" w:color="E8EFF9"/>
            </w:tcBorders>
            <w:shd w:val="clear" w:color="auto" w:fill="E8EFF9"/>
          </w:tcPr>
          <w:p>
            <w:pPr>
              <w:spacing w:after="0"/>
              <w:rPr>
                <w:sz w:val="14"/>
                <w:szCs w:val="14"/>
                <w:color w:val="auto"/>
              </w:rPr>
            </w:pPr>
          </w:p>
        </w:tc>
        <w:tc>
          <w:tcPr>
            <w:tcW w:w="420" w:type="dxa"/>
            <w:vAlign w:val="bottom"/>
            <w:tcBorders>
              <w:bottom w:val="single" w:sz="8" w:color="0077C0"/>
            </w:tcBorders>
            <w:shd w:val="clear" w:color="auto" w:fill="E8EFF9"/>
          </w:tcPr>
          <w:p>
            <w:pPr>
              <w:spacing w:after="0"/>
              <w:rPr>
                <w:sz w:val="14"/>
                <w:szCs w:val="14"/>
                <w:color w:val="auto"/>
              </w:rPr>
            </w:pPr>
          </w:p>
        </w:tc>
        <w:tc>
          <w:tcPr>
            <w:tcW w:w="800" w:type="dxa"/>
            <w:vAlign w:val="bottom"/>
            <w:tcBorders>
              <w:bottom w:val="single" w:sz="8" w:color="0077C0"/>
            </w:tcBorders>
            <w:shd w:val="clear" w:color="auto" w:fill="E8EFF9"/>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7115175" cy="9772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15175" cy="977265"/>
                    </a:xfrm>
                    <a:prstGeom prst="rect">
                      <a:avLst/>
                    </a:prstGeom>
                    <a:noFill/>
                  </pic:spPr>
                </pic:pic>
              </a:graphicData>
            </a:graphic>
          </wp:anchor>
        </w:drawing>
      </w:r>
    </w:p>
    <w:p>
      <w:pPr>
        <w:ind w:left="80" w:hanging="61"/>
        <w:spacing w:after="0" w:line="221" w:lineRule="auto"/>
        <w:tabs>
          <w:tab w:leader="none" w:pos="80" w:val="left"/>
        </w:tabs>
        <w:numPr>
          <w:ilvl w:val="0"/>
          <w:numId w:val="29"/>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Beginning and ending balances for all periods include capital in excess of par, common stock issued at par for $1,832, and $(240) associated with Chevron’s Benefit Plan Trust. Changes reflect capital in excess of par.</w:t>
      </w:r>
    </w:p>
    <w:p>
      <w:pPr>
        <w:spacing w:after="0" w:line="55" w:lineRule="exact"/>
        <w:rPr>
          <w:rFonts w:ascii="Times New Roman" w:cs="Times New Roman" w:eastAsia="Times New Roman" w:hAnsi="Times New Roman"/>
          <w:sz w:val="15"/>
          <w:szCs w:val="15"/>
          <w:color w:val="auto"/>
          <w:vertAlign w:val="superscript"/>
        </w:rPr>
      </w:pPr>
    </w:p>
    <w:p>
      <w:pPr>
        <w:ind w:left="20"/>
        <w:spacing w:after="0"/>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 xml:space="preserve"> Includes excise tax on share repurchases.</w:t>
      </w:r>
    </w:p>
    <w:p>
      <w:pPr>
        <w:spacing w:after="0" w:line="32" w:lineRule="exact"/>
        <w:rPr>
          <w:rFonts w:ascii="Times New Roman" w:cs="Times New Roman" w:eastAsia="Times New Roman" w:hAnsi="Times New Roman"/>
          <w:sz w:val="15"/>
          <w:szCs w:val="15"/>
          <w:color w:val="auto"/>
          <w:vertAlign w:val="superscript"/>
        </w:rPr>
      </w:pPr>
    </w:p>
    <w:p>
      <w:pPr>
        <w:ind w:left="20" w:right="4960"/>
        <w:spacing w:after="0" w:line="310" w:lineRule="auto"/>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6"/>
          <w:szCs w:val="16"/>
          <w:color w:val="auto"/>
          <w:vertAlign w:val="superscript"/>
        </w:rPr>
        <w:t>3</w:t>
      </w:r>
      <w:r>
        <w:rPr>
          <w:rFonts w:ascii="Times New Roman" w:cs="Times New Roman" w:eastAsia="Times New Roman" w:hAnsi="Times New Roman"/>
          <w:sz w:val="13"/>
          <w:szCs w:val="13"/>
          <w:color w:val="auto"/>
        </w:rPr>
        <w:t xml:space="preserve"> Beginning and ending total issued share balances include 14,168,000 shares associated with Chevron’s Benefit Plan Trust. 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230505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61" w:right="359" w:bottom="1440" w:gutter="0" w:footer="0" w:header="0"/>
        </w:sectPr>
      </w:pPr>
    </w:p>
    <w:bookmarkStart w:id="69" w:name="page70"/>
    <w:bookmarkEnd w:id="69"/>
    <w:p>
      <w:pPr>
        <w:ind w:left="20"/>
        <w:spacing w:after="0"/>
        <w:tabs>
          <w:tab w:leader="none" w:pos="9460" w:val="left"/>
        </w:tabs>
        <w:rPr>
          <w:sz w:val="20"/>
          <w:szCs w:val="20"/>
          <w:color w:val="auto"/>
        </w:rPr>
      </w:pPr>
      <w:r>
        <w:rPr>
          <w:rFonts w:ascii="Arial" w:cs="Arial" w:eastAsia="Arial" w:hAnsi="Arial"/>
          <w:sz w:val="14"/>
          <w:szCs w:val="14"/>
          <w:color w:val="0077C0"/>
        </w:rPr>
        <w:t>Notes to the Consolidated Financial Statements</w:t>
      </w:r>
      <w:r>
        <w:rPr>
          <w:sz w:val="20"/>
          <w:szCs w:val="20"/>
          <w:color w:val="auto"/>
        </w:rPr>
        <w:tab/>
      </w:r>
      <w:r>
        <w:rPr>
          <w:rFonts w:ascii="Arial" w:cs="Arial" w:eastAsia="Arial" w:hAnsi="Arial"/>
          <w:sz w:val="14"/>
          <w:szCs w:val="14"/>
          <w:color w:val="0077C0"/>
        </w:rPr>
        <w:t>Financial Table of Contents</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11"/>
          <w:szCs w:val="11"/>
          <w:color w:val="0077C0"/>
        </w:rPr>
        <w:t>Millions of dollars, except per-share amounts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1</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0077C0"/>
        </w:rPr>
        <w:t>Summary of Significant Accounting Policies</w:t>
      </w:r>
    </w:p>
    <w:p>
      <w:pPr>
        <w:spacing w:after="0" w:line="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General </w:t>
      </w:r>
      <w:r>
        <w:rPr>
          <w:rFonts w:ascii="Times New Roman" w:cs="Times New Roman" w:eastAsia="Times New Roman" w:hAnsi="Times New Roman"/>
          <w:sz w:val="18"/>
          <w:szCs w:val="18"/>
          <w:color w:val="000000"/>
        </w:rPr>
        <w:t>The company’s Consolidated Financial Statements are prepared in accordance with accounting principles generally accepted in the United States</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of America. These require the use of estimates and assumptions that affect the assets, liabilities, revenues and expenses reported in the financial statements, as well as amounts included in the notes thereto, including discussion and disclosure of contingent liabilities. Although the company uses its best estimates and judgments, actual results could differ from these estimates as circumstances change and additional information becomes known. Prior years’ data have been reclassified in certain cases to conform to the 2024 presentation basis.</w:t>
      </w:r>
    </w:p>
    <w:p>
      <w:pPr>
        <w:spacing w:after="0" w:line="6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Subsidiary and Affiliated Companies </w:t>
      </w:r>
      <w:r>
        <w:rPr>
          <w:rFonts w:ascii="Times New Roman" w:cs="Times New Roman" w:eastAsia="Times New Roman" w:hAnsi="Times New Roman"/>
          <w:sz w:val="18"/>
          <w:szCs w:val="18"/>
          <w:color w:val="000000"/>
        </w:rPr>
        <w:t>The Consolidated Financial Statements include the accounts of controlled subsidiary companies more than</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50 percent-owned and any variable interest entities in which the company is the primary beneficiary. Undivided interests in oil and gas joint ventures and certain other assets are consolidated on a proportionate basis. Investments in and advances to affiliates in which the company has a substantial ownership interest of approximately 20 percent to 50 percent, or for which the company exercises significant influence but not control over policy decisions, are accounted for by the equity method.</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Investments in affiliates are assessed for possible impairment when events indicate that the fair value of the investment may be below the company’s carrying value. When such a condition is deemed to be other than temporary, the carrying value of the investment is written down to its fair value, and the amount of the write-down is included in net income. In making the determination as to whether a decline is other than temporary, the company considers such factors as the duration and extent of the decline, the investee’s financial performance, and the company’s ability and intention to retain its investment for a period that will be sufficient to allow for any anticipated recovery in the investment’s market value. The new cost basis of investments in these equity investees is not changed for subsequent recoveries in fair value.</w:t>
      </w:r>
    </w:p>
    <w:p>
      <w:pPr>
        <w:spacing w:after="0" w:line="5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Differences between the company’s carrying value of an equity investment and its underlying equity in the net assets of the affiliate are assigned to the extent practicable to specific assets and liabilities based on the company’s analysis of the various factors giving rise to the difference. When appropriate, the company’s share of the affiliate’s reported earnings is adjusted quarterly to reflect the difference between these allocated values and the affiliate’s historical book values.</w:t>
      </w:r>
    </w:p>
    <w:p>
      <w:pPr>
        <w:spacing w:after="0" w:line="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Noncontrolling Interests </w:t>
      </w:r>
      <w:r>
        <w:rPr>
          <w:rFonts w:ascii="Times New Roman" w:cs="Times New Roman" w:eastAsia="Times New Roman" w:hAnsi="Times New Roman"/>
          <w:sz w:val="18"/>
          <w:szCs w:val="18"/>
          <w:color w:val="000000"/>
        </w:rPr>
        <w:t>Ownership interests in the company’s subsidiaries held by parties other than the parent are presented separately from the parent’s</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equity on the Consolidated Balance Sheet. The amount of consolidated net income attributable to the parent and the noncontrolling interests are both presented on the face of the Consolidated Statement of Income and Consolidated Statement of Equity. Included within noncontrolling interest is redeemable noncontrolling interest.</w:t>
      </w:r>
    </w:p>
    <w:p>
      <w:pPr>
        <w:spacing w:after="0" w:line="5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Fair Value Measurements </w:t>
      </w:r>
      <w:r>
        <w:rPr>
          <w:rFonts w:ascii="Times New Roman" w:cs="Times New Roman" w:eastAsia="Times New Roman" w:hAnsi="Times New Roman"/>
          <w:sz w:val="18"/>
          <w:szCs w:val="18"/>
          <w:color w:val="000000"/>
        </w:rPr>
        <w:t>The three levels of the fair value hierarchy of inputs the company uses to measure the fair value of an asset or a liability are as</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follows. Level 1 inputs are quoted prices in active markets for identical assets or liabilities. Level 2 inputs are inputs other than quoted prices included within Level 1 that are directly or indirectly observable for the asset or liability. Level 3 inputs are inputs that are not observable in the market.</w:t>
      </w:r>
    </w:p>
    <w:p>
      <w:pPr>
        <w:spacing w:after="0" w:line="4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Derivatives </w:t>
      </w:r>
      <w:r>
        <w:rPr>
          <w:rFonts w:ascii="Times New Roman" w:cs="Times New Roman" w:eastAsia="Times New Roman" w:hAnsi="Times New Roman"/>
          <w:sz w:val="18"/>
          <w:szCs w:val="18"/>
          <w:color w:val="000000"/>
        </w:rPr>
        <w:t>The majority of the company’s activity in derivative commodity instruments is intended to manage the financial risk posed by physical</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transactions. For some of this derivative activity, the company may elect to apply fair value or cash flow hedge accounting with changes in fair value recorded as components of accumulated other comprehensive income (loss). For other similar derivative instruments, generally because of the short-term nature of the contracts or their limited use, the company does not apply hedge accounting, and changes in the fair value of those contracts are reflected in current income. For the company’s commodity trading activity, gains and losses from derivative instruments are reported in current income. The company may enter into interest rate swaps from time to time as part of its overall strategy to manage the interest rate risk on its debt. Interest rate swaps related to a portion of the company’s fixed-rate debt, if any, may be accounted for as fair value hedges. Interest rate swaps related to floating-rate debt, if any, are recorded at fair value on the balance sheet with resulting gains and losses reflected in income. Where Chevron is a party to master netting arrangements, fair value receivable and payable amounts recognized for derivative instruments executed with the same counterparty are generally offset on the balance sheet.</w:t>
      </w:r>
    </w:p>
    <w:p>
      <w:pPr>
        <w:spacing w:after="0" w:line="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Inventories </w:t>
      </w:r>
      <w:r>
        <w:rPr>
          <w:rFonts w:ascii="Times New Roman" w:cs="Times New Roman" w:eastAsia="Times New Roman" w:hAnsi="Times New Roman"/>
          <w:sz w:val="18"/>
          <w:szCs w:val="18"/>
          <w:color w:val="000000"/>
        </w:rPr>
        <w:t>Crude oil, products and chemicals inventories are generally stated at cost, using a last-in, first-out method. In the aggregate, these costs are</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below market. “Materials, supplies and other” inventories are primarily stated at cost or net realizable value.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70" w:name="page71"/>
    <w:bookmarkEnd w:id="70"/>
    <w:p>
      <w:pPr>
        <w:ind w:left="20"/>
        <w:spacing w:after="0"/>
        <w:tabs>
          <w:tab w:leader="none" w:pos="9460" w:val="left"/>
        </w:tabs>
        <w:rPr>
          <w:sz w:val="20"/>
          <w:szCs w:val="20"/>
          <w:color w:val="auto"/>
        </w:rPr>
      </w:pPr>
      <w:r>
        <w:rPr>
          <w:rFonts w:ascii="Arial" w:cs="Arial" w:eastAsia="Arial" w:hAnsi="Arial"/>
          <w:sz w:val="14"/>
          <w:szCs w:val="14"/>
          <w:color w:val="0077C0"/>
        </w:rPr>
        <w:t>Notes to the Consolidated Financial Statements</w:t>
      </w:r>
      <w:r>
        <w:rPr>
          <w:sz w:val="20"/>
          <w:szCs w:val="20"/>
          <w:color w:val="auto"/>
        </w:rPr>
        <w:tab/>
      </w:r>
      <w:r>
        <w:rPr>
          <w:rFonts w:ascii="Arial" w:cs="Arial" w:eastAsia="Arial" w:hAnsi="Arial"/>
          <w:sz w:val="14"/>
          <w:szCs w:val="14"/>
          <w:color w:val="0077C0"/>
        </w:rPr>
        <w:t>Financial Table of Contents</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11"/>
          <w:szCs w:val="11"/>
          <w:color w:val="0077C0"/>
        </w:rPr>
        <w:t>Millions of dollars, except per-share amounts</w:t>
      </w:r>
    </w:p>
    <w:p>
      <w:pPr>
        <w:spacing w:after="0" w:line="200" w:lineRule="exact"/>
        <w:rPr>
          <w:sz w:val="20"/>
          <w:szCs w:val="20"/>
          <w:color w:val="auto"/>
        </w:rPr>
      </w:pPr>
    </w:p>
    <w:p>
      <w:pPr>
        <w:spacing w:after="0" w:line="3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Properties, Plant and Equipment </w:t>
      </w:r>
      <w:r>
        <w:rPr>
          <w:rFonts w:ascii="Times New Roman" w:cs="Times New Roman" w:eastAsia="Times New Roman" w:hAnsi="Times New Roman"/>
          <w:sz w:val="18"/>
          <w:szCs w:val="18"/>
          <w:color w:val="000000"/>
        </w:rPr>
        <w:t>The successful efforts method is used for crude oil and natural gas exploration and production activities. All costs for</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 xml:space="preserve">development wells, related plant and equipment, proved mineral interests in crude oil and natural gas properties, and related asset retirement obligation (ARO) assets are capitalized. Costs of exploratory wells are capitalized pending determination of whether the wells found proved reserves. Costs of wells that are assigned proved reserves remain capitalized. Costs also are capitalized for exploratory wells that have found crude oil and natural gas reserves even if the reserves cannot be classified as proved when the drilling is completed, provided the exploratory well has found a sufficient quantity of reserves to justify its completion as a producing well and the company is making sufficient progress assessing the reserves and the economic and operating viability of the project. All other exploratory wells and costs are expensed. Refer to </w:t>
      </w:r>
      <w:r>
        <w:rPr>
          <w:rFonts w:ascii="Times New Roman" w:cs="Times New Roman" w:eastAsia="Times New Roman" w:hAnsi="Times New Roman"/>
          <w:sz w:val="18"/>
          <w:szCs w:val="18"/>
          <w:u w:val="single" w:color="auto"/>
          <w:color w:val="0000FF"/>
        </w:rPr>
        <w:t>Note 21 Accounting for Suspended Exploratory Wells</w:t>
      </w:r>
      <w:r>
        <w:rPr>
          <w:rFonts w:ascii="Times New Roman" w:cs="Times New Roman" w:eastAsia="Times New Roman" w:hAnsi="Times New Roman"/>
          <w:sz w:val="18"/>
          <w:szCs w:val="18"/>
          <w:color w:val="000000"/>
        </w:rPr>
        <w:t xml:space="preserve"> for additional discussion of accounting for suspended exploratory well costs.</w:t>
      </w:r>
    </w:p>
    <w:p>
      <w:pPr>
        <w:spacing w:after="0" w:line="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Long-lived assets to be held and used, including proved crude oil and natural gas properties, are assessed for possible impairment by comparing their carrying values with their associated undiscounted, future net cash flows. Events that can trigger assessments for possible impairments include write-downs of proved reserves based on field performance, significant decreases in the market value of an asset (including changes to the commodity price forecast or carbon costs), significant change in the extent or manner of use of or a physical change in an asset, and a more likely than not expectation that a long-lived asset or asset group will be sold or otherwise disposed of significantly sooner than the end of its previously estimated useful life. Impaired assets are written down to their estimated fair values, generally their discounted, future net cash flows. For proved crude oil and natural gas properties, the company performs impairment reviews on a country, concession, PSC, development area or field basis, as appropriate. In downstream, impairment reviews are performed on the basis of a refinery, a plant, a marketing/lubricants area or distribution area, as appropriate. Impairment amounts are recorded as incremental “Depreciation, depletion and amortization” expense.</w:t>
      </w:r>
    </w:p>
    <w:p>
      <w:pPr>
        <w:spacing w:after="0" w:line="5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 xml:space="preserve">Long-lived assets that are held for sale are evaluated for possible impairment by comparing the carrying value of the asset with its fair value less the cost to sell. If the net book value exceeds the fair value less cost to sell, the asset is considered impaired and adjusted to the lower value. Refer to </w:t>
      </w:r>
      <w:r>
        <w:rPr>
          <w:rFonts w:ascii="Times New Roman" w:cs="Times New Roman" w:eastAsia="Times New Roman" w:hAnsi="Times New Roman"/>
          <w:sz w:val="18"/>
          <w:szCs w:val="18"/>
          <w:u w:val="single" w:color="auto"/>
          <w:color w:val="0000FF"/>
        </w:rPr>
        <w:t>Note 9 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Measurements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relating to fair value measurements.</w:t>
      </w:r>
    </w:p>
    <w:p>
      <w:pPr>
        <w:spacing w:after="0" w:line="4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 xml:space="preserve">The fair value of a liability for an ARO is recorded as an asset and a liability when there is a legal obligation associated with the retirement of a long-lived asset and the amount can be reasonably estimated. Refer also to </w:t>
      </w:r>
      <w:r>
        <w:rPr>
          <w:rFonts w:ascii="Times New Roman" w:cs="Times New Roman" w:eastAsia="Times New Roman" w:hAnsi="Times New Roman"/>
          <w:sz w:val="18"/>
          <w:szCs w:val="18"/>
          <w:u w:val="single" w:color="auto"/>
          <w:color w:val="0000FF"/>
        </w:rPr>
        <w:t>Note 25 Asset Retirement Obligations</w:t>
      </w:r>
      <w:r>
        <w:rPr>
          <w:rFonts w:ascii="Times New Roman" w:cs="Times New Roman" w:eastAsia="Times New Roman" w:hAnsi="Times New Roman"/>
          <w:sz w:val="18"/>
          <w:szCs w:val="18"/>
          <w:color w:val="auto"/>
        </w:rPr>
        <w:t xml:space="preserve"> relating to AROs.</w:t>
      </w:r>
    </w:p>
    <w:p>
      <w:pPr>
        <w:spacing w:after="0" w:line="2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Depreciation and depletion of all capitalized costs of proved crude oil and natural gas producing properties, except mineral interests, are expensed using the unit-of-production method, generally by individual field, as the proved developed reserves are produced. Depletion expenses for capitalized costs of proved mineral interests are recognized using the unit-of-production method by individual field as the related proved reserves are produced. Impairments of capitalized costs of unproved mineral interests are expensed.</w:t>
      </w:r>
    </w:p>
    <w:p>
      <w:pPr>
        <w:spacing w:after="0" w:line="5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capitalized costs of all other plant and equipment are depreciated or amortized over their estimated useful lives. In general, the declining-balance method is used to depreciate plant and equipment in the United States; the straight-line method is generally used to depreciate international plant and equipment and to amortize finance lease right-of-use assets.</w:t>
      </w:r>
    </w:p>
    <w:p>
      <w:pPr>
        <w:spacing w:after="0" w:line="4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Gains or losses are not recognized for normal retirements of properties, plant and equipment subject to composite group amortization or depreciation. Gains or losses from abnormal retirements are recorded as expenses, and from sales as “Other income.”</w:t>
      </w:r>
    </w:p>
    <w:p>
      <w:pPr>
        <w:spacing w:after="0" w:line="2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Expenditures for maintenance (including those for planned major maintenance projects), repairs and minor renewals to maintain facilities in operating condition are generally expensed as incurred. Major replacements and renewals are capitalized.</w:t>
      </w:r>
    </w:p>
    <w:p>
      <w:pPr>
        <w:spacing w:after="0" w:line="2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Leases </w:t>
      </w:r>
      <w:r>
        <w:rPr>
          <w:rFonts w:ascii="Times New Roman" w:cs="Times New Roman" w:eastAsia="Times New Roman" w:hAnsi="Times New Roman"/>
          <w:sz w:val="18"/>
          <w:szCs w:val="18"/>
          <w:color w:val="000000"/>
        </w:rPr>
        <w:t>Leases are classified as operating or finance leases. Both operating and finance leases recognize lease liabilities and associated right-of-use assets.</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The company has elected the short-term lease exception and therefore only recognizes right-of-use assets and lease liabilities for leases with a term greater than one year. The company has elected the practical expedient to not separate non-lease components from lease components for most asset classes except for certain asset classes that have significant non-lease (i.e., service) components.</w:t>
      </w:r>
    </w:p>
    <w:p>
      <w:pPr>
        <w:spacing w:after="0" w:line="4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Where leases are used in joint ventures, the company recognizes 100 percent of the right-of-use assets and lease liabilities when the company is the sole signatory for the lease (in most cases, where the company is the operator of a joint venture). Lease costs reflect only the costs associated with the operator’s working interest share. The lease term includes the committed lease term identified in the contract, taking into account renewal and termination options that management is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71" w:name="page72"/>
    <w:bookmarkEnd w:id="71"/>
    <w:p>
      <w:pPr>
        <w:ind w:left="20"/>
        <w:spacing w:after="0"/>
        <w:tabs>
          <w:tab w:leader="none" w:pos="9460" w:val="left"/>
        </w:tabs>
        <w:rPr>
          <w:sz w:val="20"/>
          <w:szCs w:val="20"/>
          <w:color w:val="auto"/>
        </w:rPr>
      </w:pPr>
      <w:r>
        <w:rPr>
          <w:rFonts w:ascii="Arial" w:cs="Arial" w:eastAsia="Arial" w:hAnsi="Arial"/>
          <w:sz w:val="14"/>
          <w:szCs w:val="14"/>
          <w:color w:val="0077C0"/>
        </w:rPr>
        <w:t>Notes to the Consolidated Financial Statements</w:t>
      </w:r>
      <w:r>
        <w:rPr>
          <w:sz w:val="20"/>
          <w:szCs w:val="20"/>
          <w:color w:val="auto"/>
        </w:rPr>
        <w:tab/>
      </w:r>
      <w:r>
        <w:rPr>
          <w:rFonts w:ascii="Arial" w:cs="Arial" w:eastAsia="Arial" w:hAnsi="Arial"/>
          <w:sz w:val="14"/>
          <w:szCs w:val="14"/>
          <w:color w:val="0077C0"/>
        </w:rPr>
        <w:t>Financial Table of Contents</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11"/>
          <w:szCs w:val="11"/>
          <w:color w:val="0077C0"/>
        </w:rPr>
        <w:t>Millions of dollars, except per-share amounts</w:t>
      </w:r>
    </w:p>
    <w:p>
      <w:pPr>
        <w:spacing w:after="0" w:line="200" w:lineRule="exact"/>
        <w:rPr>
          <w:sz w:val="20"/>
          <w:szCs w:val="20"/>
          <w:color w:val="auto"/>
        </w:rPr>
      </w:pPr>
    </w:p>
    <w:p>
      <w:pPr>
        <w:spacing w:after="0" w:line="37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reasonably certain to exercise. The company uses its incremental borrowing rate as a proxy for the discount rate based on the term of the lease unless the implicit rate is available.</w:t>
      </w:r>
    </w:p>
    <w:p>
      <w:pPr>
        <w:spacing w:after="0" w:line="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Decommissioning Obligations from Previously Divested Assets </w:t>
      </w:r>
      <w:r>
        <w:rPr>
          <w:rFonts w:ascii="Times New Roman" w:cs="Times New Roman" w:eastAsia="Times New Roman" w:hAnsi="Times New Roman"/>
          <w:sz w:val="18"/>
          <w:szCs w:val="18"/>
          <w:color w:val="000000"/>
        </w:rPr>
        <w:t>Some assets are divested with their related liabilities, including decommissioning</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 xml:space="preserve">obligations, to a buyer that results in de-recognition of the liability from the balance sheet. In certain instances, such transferred obligations may return to the company and result in losses. To the extent the current owners of the company’s previously divested assets default on their decommissioning obligations, regulators may require that Chevron assume such obligations. The company would accrue losses associated with these obligations when management determines the loss to be both probable and reasonably estimable. This typically requires judgment to assess the likelihood of decommissioning obligations reverting to the company, the timing of decommissioning activity, regulatory requirements and the scope of decommissioning activities. For more information on decommissioning obligations related to previously divested assets, refer to </w:t>
      </w:r>
      <w:r>
        <w:rPr>
          <w:rFonts w:ascii="Times New Roman" w:cs="Times New Roman" w:eastAsia="Times New Roman" w:hAnsi="Times New Roman"/>
          <w:sz w:val="18"/>
          <w:szCs w:val="18"/>
          <w:u w:val="single" w:color="auto"/>
          <w:color w:val="0000FF"/>
        </w:rPr>
        <w:t>Note 24 Other Contingencies and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Commitments</w:t>
      </w:r>
      <w:r>
        <w:rPr>
          <w:rFonts w:ascii="Times New Roman" w:cs="Times New Roman" w:eastAsia="Times New Roman" w:hAnsi="Times New Roman"/>
          <w:sz w:val="18"/>
          <w:szCs w:val="18"/>
          <w:color w:val="000000"/>
        </w:rPr>
        <w:t>.</w:t>
      </w:r>
    </w:p>
    <w:p>
      <w:pPr>
        <w:spacing w:after="0" w:line="5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Goodwill </w:t>
      </w:r>
      <w:r>
        <w:rPr>
          <w:rFonts w:ascii="Times New Roman" w:cs="Times New Roman" w:eastAsia="Times New Roman" w:hAnsi="Times New Roman"/>
          <w:sz w:val="18"/>
          <w:szCs w:val="18"/>
          <w:color w:val="000000"/>
        </w:rPr>
        <w:t>Goodwill resulting from a business combination is not subject to amortization. The company tests such goodwill at the reporting unit level for</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impairment annually at December 31, or more frequently if an event occurs or circumstances change that would more likely than not reduce the fair value of the reporting unit below its carrying amount.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FF0000"/>
        </w:rPr>
        <w:t xml:space="preserve">Environmental Expenditures </w:t>
      </w:r>
      <w:r>
        <w:rPr>
          <w:rFonts w:ascii="Times New Roman" w:cs="Times New Roman" w:eastAsia="Times New Roman" w:hAnsi="Times New Roman"/>
          <w:sz w:val="18"/>
          <w:szCs w:val="18"/>
          <w:color w:val="000000"/>
        </w:rPr>
        <w:t>Environmental expenditures that relate to ongoing operations or to conditions caused by past operations are expensed.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Expenditures that create future benefits or contribute to future revenue generation are capitalized.</w:t>
      </w:r>
    </w:p>
    <w:p>
      <w:pPr>
        <w:spacing w:after="0" w:line="8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 xml:space="preserve">Liabilities related to future remediation costs are recorded when environmental assessments or cleanups or both are probable and the costs can be reasonably estimated. For crude oil, natural gas and mineral-producing properties, a liability for an ARO is made in accordance with accounting standards for asset retirement and environmental obligations. Refer to </w:t>
      </w:r>
      <w:r>
        <w:rPr>
          <w:rFonts w:ascii="Times New Roman" w:cs="Times New Roman" w:eastAsia="Times New Roman" w:hAnsi="Times New Roman"/>
          <w:sz w:val="18"/>
          <w:szCs w:val="18"/>
          <w:u w:val="single" w:color="auto"/>
          <w:color w:val="0000FF"/>
        </w:rPr>
        <w:t>Note 25 Asset Retirement Obligations</w:t>
      </w:r>
      <w:r>
        <w:rPr>
          <w:rFonts w:ascii="Times New Roman" w:cs="Times New Roman" w:eastAsia="Times New Roman" w:hAnsi="Times New Roman"/>
          <w:sz w:val="18"/>
          <w:szCs w:val="18"/>
          <w:color w:val="auto"/>
        </w:rPr>
        <w:t xml:space="preserve"> for a discussion of the company’s AROs.</w:t>
      </w:r>
    </w:p>
    <w:p>
      <w:pPr>
        <w:spacing w:after="0" w:line="4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For U.S. federal Superfund sites and analogous sites under state laws, the company records a liability for its designated share of the probable and estimable costs, and probable amounts for other potentially responsible parties when mandated by the regulatory agencies because the other parties are not able to pay their respective shares. The gross amount of environmental liabilities is based on the company’s best estimate of future costs using currently available technology and applying current regulations and the company’s own internal environmental policies. Future amounts are not discounted. Recoveries or reimbursements are recorded as assets when receipt is reasonably assured.</w:t>
      </w:r>
    </w:p>
    <w:p>
      <w:pPr>
        <w:spacing w:after="0" w:line="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Currency Translation </w:t>
      </w:r>
      <w:r>
        <w:rPr>
          <w:rFonts w:ascii="Times New Roman" w:cs="Times New Roman" w:eastAsia="Times New Roman" w:hAnsi="Times New Roman"/>
          <w:sz w:val="18"/>
          <w:szCs w:val="18"/>
          <w:color w:val="000000"/>
        </w:rPr>
        <w:t>The U.S. dollar is the functional currency for substantially all of the company’s consolidated operations and those of its equity</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affiliates. For those operations, all gains and losses from currency remeasurement are included in current period income. The cumulative translation effects for those few entities, both consolidated and affiliated, using functional currencies other than the U.S. dollar are included in “Currency translation adjustment” on the Consolidated Statement of Equity.</w:t>
      </w:r>
    </w:p>
    <w:p>
      <w:pPr>
        <w:spacing w:after="0" w:line="4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Revenue Recognition </w:t>
      </w:r>
      <w:r>
        <w:rPr>
          <w:rFonts w:ascii="Times New Roman" w:cs="Times New Roman" w:eastAsia="Times New Roman" w:hAnsi="Times New Roman"/>
          <w:sz w:val="18"/>
          <w:szCs w:val="18"/>
          <w:color w:val="000000"/>
        </w:rPr>
        <w:t>The company accounts for each delivery order of crude oil, NGLs, natural gas, petroleum and chemical products as a separate</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performance obligation. Revenue is recognized when the performance obligation is satisfied, which typically occurs at the point in time when control of the product transfers to the customer. Payment is generally due within 30 days of delivery. The company accounts for delivery transportation as a fulfillment cost, not a separate performance obligation, and recognizes these costs as an operating expense in the period when revenue for the related commodity is recognized.</w:t>
      </w:r>
    </w:p>
    <w:p>
      <w:pPr>
        <w:spacing w:after="0" w:line="5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Revenue is measured as the amount the company expects to receive in exchange for transferring commodities to the customer. The company’s commodity sales are typically based on prevailing market-based prices and may include discounts and allowances. Until market prices become known under terms of the company’s contracts, the transaction price included in revenue is based on the company’s estimate of the most likely outcome.</w:t>
      </w:r>
    </w:p>
    <w:p>
      <w:pPr>
        <w:spacing w:after="0" w:line="4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Discounts and allowances are estimated using a combination of historical and recent data trends. When deliveries contain multiple products, an observable standalone selling price is generally used to measure revenue for each product. The company includes estimates in the transaction price only to the extent that a significant reversal of revenue is not probable in subsequent periods.</w:t>
      </w:r>
    </w:p>
    <w:p>
      <w:pPr>
        <w:spacing w:after="0" w:line="5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Stock Options and Other Share-Based Compensation </w:t>
      </w:r>
      <w:r>
        <w:rPr>
          <w:rFonts w:ascii="Times New Roman" w:cs="Times New Roman" w:eastAsia="Times New Roman" w:hAnsi="Times New Roman"/>
          <w:sz w:val="18"/>
          <w:szCs w:val="18"/>
          <w:color w:val="000000"/>
        </w:rPr>
        <w:t>The company issues stock options and other share-based compensation to certain employees. For</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equity awards, such as stock options and certain restricted stock units, total compensation cost is based on the grant date fair value, and for liability awards, such as stock appreciation rights, total compensation cost is based on the settlement value. The company recognizes stock-based compensation expense for all awards over the service period required to earn the award, which is the shorter of the vesting period or the time period in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72" w:name="page73"/>
    <w:bookmarkEnd w:id="72"/>
    <w:p>
      <w:pPr>
        <w:ind w:left="20"/>
        <w:spacing w:after="0"/>
        <w:tabs>
          <w:tab w:leader="none" w:pos="9460" w:val="left"/>
        </w:tabs>
        <w:rPr>
          <w:sz w:val="20"/>
          <w:szCs w:val="20"/>
          <w:color w:val="auto"/>
        </w:rPr>
      </w:pPr>
      <w:r>
        <w:rPr>
          <w:rFonts w:ascii="Arial" w:cs="Arial" w:eastAsia="Arial" w:hAnsi="Arial"/>
          <w:sz w:val="14"/>
          <w:szCs w:val="14"/>
          <w:color w:val="0077C0"/>
        </w:rPr>
        <w:t>Notes to the Consolidated Financial Statements</w:t>
      </w:r>
      <w:r>
        <w:rPr>
          <w:sz w:val="20"/>
          <w:szCs w:val="20"/>
          <w:color w:val="auto"/>
        </w:rPr>
        <w:tab/>
      </w:r>
      <w:r>
        <w:rPr>
          <w:rFonts w:ascii="Arial" w:cs="Arial" w:eastAsia="Arial" w:hAnsi="Arial"/>
          <w:sz w:val="14"/>
          <w:szCs w:val="14"/>
          <w:color w:val="0077C0"/>
        </w:rPr>
        <w:t>Financial Table of Contents</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11"/>
          <w:szCs w:val="11"/>
          <w:color w:val="0077C0"/>
        </w:rPr>
        <w:t>Millions of dollars, except per-share amounts</w:t>
      </w:r>
    </w:p>
    <w:p>
      <w:pPr>
        <w:spacing w:after="0" w:line="200" w:lineRule="exact"/>
        <w:rPr>
          <w:sz w:val="20"/>
          <w:szCs w:val="20"/>
          <w:color w:val="auto"/>
        </w:rPr>
      </w:pPr>
    </w:p>
    <w:p>
      <w:pPr>
        <w:spacing w:after="0" w:line="370"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 xml:space="preserve">which an employee becomes eligible to retain the award at retirement. For more information on stock options and other share-based compensation, refer to </w:t>
      </w:r>
      <w:r>
        <w:rPr>
          <w:rFonts w:ascii="Times New Roman" w:cs="Times New Roman" w:eastAsia="Times New Roman" w:hAnsi="Times New Roman"/>
          <w:sz w:val="18"/>
          <w:szCs w:val="18"/>
          <w:u w:val="single" w:color="auto"/>
          <w:color w:val="0000FF"/>
        </w:rPr>
        <w:t>Note 22 Stock Options and Other Share-Based Compensation</w:t>
      </w:r>
      <w:r>
        <w:rPr>
          <w:rFonts w:ascii="Times New Roman" w:cs="Times New Roman" w:eastAsia="Times New Roman" w:hAnsi="Times New Roman"/>
          <w:sz w:val="18"/>
          <w:szCs w:val="18"/>
          <w:color w:val="000000"/>
        </w:rPr>
        <w:t>.</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2</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0077C0"/>
        </w:rPr>
        <w:t>Changes in Accumulated Other Comprehensive Losses</w:t>
      </w:r>
    </w:p>
    <w:p>
      <w:pPr>
        <w:spacing w:after="0" w:line="1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The change in Accumulated Other Comprehensive Losses (AOCL) presented on the Consolidated Balance Sheet and the impact of significant amounts reclassified from AOCL on information presented in the Consolidated Statement of Income for the year ended December 31, 2024, are reflected in the table below.</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Currency</w:t>
            </w:r>
          </w:p>
        </w:tc>
        <w:tc>
          <w:tcPr>
            <w:tcW w:w="14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Unrealized Holding</w:t>
            </w:r>
          </w:p>
        </w:tc>
        <w:tc>
          <w:tcPr>
            <w:tcW w:w="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Defined Benefit</w:t>
            </w: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Translation</w:t>
            </w:r>
          </w:p>
        </w:tc>
        <w:tc>
          <w:tcPr>
            <w:tcW w:w="240" w:type="dxa"/>
            <w:vAlign w:val="bottom"/>
          </w:tcPr>
          <w:p>
            <w:pPr>
              <w:spacing w:after="0"/>
              <w:rPr>
                <w:sz w:val="12"/>
                <w:szCs w:val="12"/>
                <w:color w:val="auto"/>
              </w:rPr>
            </w:pPr>
          </w:p>
        </w:tc>
        <w:tc>
          <w:tcPr>
            <w:tcW w:w="1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Gains (Losses) on</w:t>
            </w:r>
          </w:p>
        </w:tc>
        <w:tc>
          <w:tcPr>
            <w:tcW w:w="440" w:type="dxa"/>
            <w:vAlign w:val="bottom"/>
          </w:tcPr>
          <w:p>
            <w:pPr>
              <w:spacing w:after="0"/>
              <w:rPr>
                <w:sz w:val="12"/>
                <w:szCs w:val="12"/>
                <w:color w:val="auto"/>
              </w:rPr>
            </w:pPr>
          </w:p>
        </w:tc>
        <w:tc>
          <w:tcPr>
            <w:tcW w:w="10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Derivatives</w:t>
            </w:r>
          </w:p>
        </w:tc>
        <w:tc>
          <w:tcPr>
            <w:tcW w:w="2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3"/>
        </w:trPr>
        <w:tc>
          <w:tcPr>
            <w:tcW w:w="3740" w:type="dxa"/>
            <w:vAlign w:val="bottom"/>
            <w:tcBorders>
              <w:bottom w:val="single" w:sz="8" w:color="0077C0"/>
            </w:tcBorders>
          </w:tcPr>
          <w:p>
            <w:pPr>
              <w:spacing w:after="0"/>
              <w:rPr>
                <w:sz w:val="16"/>
                <w:szCs w:val="16"/>
                <w:color w:val="auto"/>
              </w:rPr>
            </w:pPr>
          </w:p>
        </w:tc>
        <w:tc>
          <w:tcPr>
            <w:tcW w:w="820" w:type="dxa"/>
            <w:vAlign w:val="bottom"/>
            <w:tcBorders>
              <w:bottom w:val="single" w:sz="8" w:color="0077C0"/>
            </w:tcBorders>
          </w:tcPr>
          <w:p>
            <w:pPr>
              <w:spacing w:after="0"/>
              <w:rPr>
                <w:sz w:val="16"/>
                <w:szCs w:val="16"/>
                <w:color w:val="auto"/>
              </w:rPr>
            </w:pPr>
          </w:p>
        </w:tc>
        <w:tc>
          <w:tcPr>
            <w:tcW w:w="1040" w:type="dxa"/>
            <w:vAlign w:val="bottom"/>
            <w:tcBorders>
              <w:bottom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color w:val="auto"/>
              </w:rPr>
              <w:t>Adjustments</w:t>
            </w:r>
          </w:p>
        </w:tc>
        <w:tc>
          <w:tcPr>
            <w:tcW w:w="240" w:type="dxa"/>
            <w:vAlign w:val="bottom"/>
            <w:tcBorders>
              <w:bottom w:val="single" w:sz="8" w:color="0077C0"/>
            </w:tcBorders>
          </w:tcPr>
          <w:p>
            <w:pPr>
              <w:spacing w:after="0"/>
              <w:rPr>
                <w:sz w:val="16"/>
                <w:szCs w:val="16"/>
                <w:color w:val="auto"/>
              </w:rPr>
            </w:pPr>
          </w:p>
        </w:tc>
        <w:tc>
          <w:tcPr>
            <w:tcW w:w="1200" w:type="dxa"/>
            <w:vAlign w:val="bottom"/>
            <w:tcBorders>
              <w:bottom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color w:val="auto"/>
              </w:rPr>
              <w:t>Securities</w:t>
            </w:r>
          </w:p>
        </w:tc>
        <w:tc>
          <w:tcPr>
            <w:tcW w:w="440" w:type="dxa"/>
            <w:vAlign w:val="bottom"/>
            <w:tcBorders>
              <w:bottom w:val="single" w:sz="8" w:color="0077C0"/>
            </w:tcBorders>
          </w:tcPr>
          <w:p>
            <w:pPr>
              <w:spacing w:after="0"/>
              <w:rPr>
                <w:sz w:val="16"/>
                <w:szCs w:val="16"/>
                <w:color w:val="auto"/>
              </w:rPr>
            </w:pPr>
          </w:p>
        </w:tc>
        <w:tc>
          <w:tcPr>
            <w:tcW w:w="1020" w:type="dxa"/>
            <w:vAlign w:val="bottom"/>
            <w:tcBorders>
              <w:bottom w:val="single" w:sz="8" w:color="0077C0"/>
            </w:tcBorders>
            <w:vMerge w:val="continue"/>
          </w:tcPr>
          <w:p>
            <w:pPr>
              <w:spacing w:after="0"/>
              <w:rPr>
                <w:sz w:val="16"/>
                <w:szCs w:val="16"/>
                <w:color w:val="auto"/>
              </w:rPr>
            </w:pPr>
          </w:p>
        </w:tc>
        <w:tc>
          <w:tcPr>
            <w:tcW w:w="280" w:type="dxa"/>
            <w:vAlign w:val="bottom"/>
            <w:tcBorders>
              <w:bottom w:val="single" w:sz="8" w:color="0077C0"/>
            </w:tcBorders>
          </w:tcPr>
          <w:p>
            <w:pPr>
              <w:spacing w:after="0"/>
              <w:rPr>
                <w:sz w:val="16"/>
                <w:szCs w:val="16"/>
                <w:color w:val="auto"/>
              </w:rPr>
            </w:pPr>
          </w:p>
        </w:tc>
        <w:tc>
          <w:tcPr>
            <w:tcW w:w="1140" w:type="dxa"/>
            <w:vAlign w:val="bottom"/>
            <w:tcBorders>
              <w:bottom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color w:val="auto"/>
              </w:rPr>
              <w:t>Plans</w:t>
            </w:r>
          </w:p>
        </w:tc>
        <w:tc>
          <w:tcPr>
            <w:tcW w:w="540" w:type="dxa"/>
            <w:vAlign w:val="bottom"/>
            <w:tcBorders>
              <w:bottom w:val="single" w:sz="8" w:color="0077C0"/>
            </w:tcBorders>
          </w:tcPr>
          <w:p>
            <w:pPr>
              <w:spacing w:after="0"/>
              <w:rPr>
                <w:sz w:val="16"/>
                <w:szCs w:val="16"/>
                <w:color w:val="auto"/>
              </w:rPr>
            </w:pPr>
          </w:p>
        </w:tc>
        <w:tc>
          <w:tcPr>
            <w:tcW w:w="780" w:type="dxa"/>
            <w:vAlign w:val="bottom"/>
            <w:tcBorders>
              <w:bottom w:val="single" w:sz="8" w:color="0077C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4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820" w:type="dxa"/>
            <w:vAlign w:val="bottom"/>
            <w:tcBorders>
              <w:bottom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(162)</w:t>
            </w:r>
          </w:p>
        </w:tc>
        <w:tc>
          <w:tcPr>
            <w:tcW w:w="2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(11)</w:t>
            </w:r>
          </w:p>
        </w:tc>
        <w:tc>
          <w:tcPr>
            <w:tcW w:w="440" w:type="dxa"/>
            <w:vAlign w:val="bottom"/>
            <w:tcBorders>
              <w:bottom w:val="single" w:sz="8" w:color="0077C0"/>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(3,716)</w:t>
            </w:r>
          </w:p>
        </w:tc>
        <w:tc>
          <w:tcPr>
            <w:tcW w:w="540" w:type="dxa"/>
            <w:vAlign w:val="bottom"/>
            <w:tcBorders>
              <w:bottom w:val="single" w:sz="8" w:color="0077C0"/>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(3,889)</w:t>
            </w:r>
          </w:p>
        </w:tc>
        <w:tc>
          <w:tcPr>
            <w:tcW w:w="0" w:type="dxa"/>
            <w:vAlign w:val="bottom"/>
          </w:tcPr>
          <w:p>
            <w:pPr>
              <w:spacing w:after="0"/>
              <w:rPr>
                <w:sz w:val="1"/>
                <w:szCs w:val="1"/>
                <w:color w:val="auto"/>
              </w:rPr>
            </w:pPr>
          </w:p>
        </w:tc>
      </w:tr>
      <w:tr>
        <w:trPr>
          <w:trHeight w:val="188"/>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Components of Other Comprehensive Income (Loss)</w:t>
            </w:r>
            <w:r>
              <w:rPr>
                <w:rFonts w:ascii="Times New Roman" w:cs="Times New Roman" w:eastAsia="Times New Roman" w:hAnsi="Times New Roman"/>
                <w:sz w:val="9"/>
                <w:szCs w:val="9"/>
                <w:color w:val="auto"/>
              </w:rPr>
              <w:t>1</w:t>
            </w:r>
            <w:r>
              <w:rPr>
                <w:rFonts w:ascii="Times New Roman" w:cs="Times New Roman" w:eastAsia="Times New Roman" w:hAnsi="Times New Roman"/>
                <w:sz w:val="14"/>
                <w:szCs w:val="14"/>
                <w:color w:val="auto"/>
              </w:rPr>
              <w:t>:</w:t>
            </w: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Before Reclassifications</w:t>
            </w:r>
          </w:p>
        </w:tc>
        <w:tc>
          <w:tcPr>
            <w:tcW w:w="82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(41)</w:t>
            </w:r>
          </w:p>
        </w:tc>
        <w:tc>
          <w:tcPr>
            <w:tcW w:w="240" w:type="dxa"/>
            <w:vAlign w:val="bottom"/>
          </w:tcPr>
          <w:p>
            <w:pPr>
              <w:spacing w:after="0"/>
              <w:rPr>
                <w:sz w:val="16"/>
                <w:szCs w:val="16"/>
                <w:color w:val="auto"/>
              </w:rPr>
            </w:pP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44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68</w:t>
            </w:r>
          </w:p>
        </w:tc>
        <w:tc>
          <w:tcPr>
            <w:tcW w:w="280" w:type="dxa"/>
            <w:vAlign w:val="bottom"/>
          </w:tcPr>
          <w:p>
            <w:pPr>
              <w:spacing w:after="0"/>
              <w:rPr>
                <w:sz w:val="16"/>
                <w:szCs w:val="16"/>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703</w:t>
            </w:r>
          </w:p>
        </w:tc>
        <w:tc>
          <w:tcPr>
            <w:tcW w:w="5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0" w:type="dxa"/>
            <w:vAlign w:val="bottom"/>
          </w:tcPr>
          <w:p>
            <w:pPr>
              <w:spacing w:after="0"/>
              <w:rPr>
                <w:sz w:val="1"/>
                <w:szCs w:val="1"/>
                <w:color w:val="auto"/>
              </w:rPr>
            </w:pPr>
          </w:p>
        </w:tc>
      </w:tr>
      <w:tr>
        <w:trPr>
          <w:trHeight w:val="203"/>
        </w:trPr>
        <w:tc>
          <w:tcPr>
            <w:tcW w:w="3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Reclassifications</w:t>
            </w:r>
            <w:r>
              <w:rPr>
                <w:rFonts w:ascii="Times New Roman" w:cs="Times New Roman" w:eastAsia="Times New Roman" w:hAnsi="Times New Roman"/>
                <w:sz w:val="9"/>
                <w:szCs w:val="9"/>
                <w:color w:val="auto"/>
              </w:rPr>
              <w:t>2, 3</w:t>
            </w:r>
          </w:p>
        </w:tc>
        <w:tc>
          <w:tcPr>
            <w:tcW w:w="82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2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(80)</w:t>
            </w:r>
          </w:p>
        </w:tc>
        <w:tc>
          <w:tcPr>
            <w:tcW w:w="28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442</w:t>
            </w:r>
          </w:p>
        </w:tc>
        <w:tc>
          <w:tcPr>
            <w:tcW w:w="5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0" w:type="dxa"/>
            <w:vAlign w:val="bottom"/>
          </w:tcPr>
          <w:p>
            <w:pPr>
              <w:spacing w:after="0"/>
              <w:rPr>
                <w:sz w:val="1"/>
                <w:szCs w:val="1"/>
                <w:color w:val="auto"/>
              </w:rPr>
            </w:pPr>
          </w:p>
        </w:tc>
      </w:tr>
      <w:tr>
        <w:trPr>
          <w:trHeight w:val="203"/>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Other Comprehensive Income (Loss)</w:t>
            </w:r>
          </w:p>
        </w:tc>
        <w:tc>
          <w:tcPr>
            <w:tcW w:w="82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(41)</w:t>
            </w:r>
          </w:p>
        </w:tc>
        <w:tc>
          <w:tcPr>
            <w:tcW w:w="24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44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w:t>
            </w:r>
          </w:p>
        </w:tc>
        <w:tc>
          <w:tcPr>
            <w:tcW w:w="28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1,145</w:t>
            </w:r>
          </w:p>
        </w:tc>
        <w:tc>
          <w:tcPr>
            <w:tcW w:w="5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1,091</w:t>
            </w:r>
          </w:p>
        </w:tc>
        <w:tc>
          <w:tcPr>
            <w:tcW w:w="0" w:type="dxa"/>
            <w:vAlign w:val="bottom"/>
          </w:tcPr>
          <w:p>
            <w:pPr>
              <w:spacing w:after="0"/>
              <w:rPr>
                <w:sz w:val="1"/>
                <w:szCs w:val="1"/>
                <w:color w:val="auto"/>
              </w:rPr>
            </w:pPr>
          </w:p>
        </w:tc>
      </w:tr>
      <w:tr>
        <w:trPr>
          <w:trHeight w:val="23"/>
        </w:trPr>
        <w:tc>
          <w:tcPr>
            <w:tcW w:w="3740" w:type="dxa"/>
            <w:vAlign w:val="bottom"/>
            <w:tcBorders>
              <w:bottom w:val="single" w:sz="8" w:color="0077C0"/>
            </w:tcBorders>
          </w:tcPr>
          <w:p>
            <w:pPr>
              <w:spacing w:after="0"/>
              <w:rPr>
                <w:sz w:val="2"/>
                <w:szCs w:val="2"/>
                <w:color w:val="auto"/>
              </w:rPr>
            </w:pPr>
          </w:p>
        </w:tc>
        <w:tc>
          <w:tcPr>
            <w:tcW w:w="820" w:type="dxa"/>
            <w:vAlign w:val="bottom"/>
            <w:tcBorders>
              <w:bottom w:val="single" w:sz="8" w:color="0077C0"/>
            </w:tcBorders>
          </w:tcPr>
          <w:p>
            <w:pPr>
              <w:spacing w:after="0"/>
              <w:rPr>
                <w:sz w:val="2"/>
                <w:szCs w:val="2"/>
                <w:color w:val="auto"/>
              </w:rPr>
            </w:pPr>
          </w:p>
        </w:tc>
        <w:tc>
          <w:tcPr>
            <w:tcW w:w="1040" w:type="dxa"/>
            <w:vAlign w:val="bottom"/>
            <w:tcBorders>
              <w:bottom w:val="single" w:sz="8" w:color="0077C0"/>
            </w:tcBorders>
          </w:tcPr>
          <w:p>
            <w:pPr>
              <w:spacing w:after="0"/>
              <w:rPr>
                <w:sz w:val="2"/>
                <w:szCs w:val="2"/>
                <w:color w:val="auto"/>
              </w:rPr>
            </w:pPr>
          </w:p>
        </w:tc>
        <w:tc>
          <w:tcPr>
            <w:tcW w:w="240" w:type="dxa"/>
            <w:vAlign w:val="bottom"/>
            <w:tcBorders>
              <w:bottom w:val="single" w:sz="8" w:color="0077C0"/>
            </w:tcBorders>
          </w:tcPr>
          <w:p>
            <w:pPr>
              <w:spacing w:after="0"/>
              <w:rPr>
                <w:sz w:val="2"/>
                <w:szCs w:val="2"/>
                <w:color w:val="auto"/>
              </w:rPr>
            </w:pPr>
          </w:p>
        </w:tc>
        <w:tc>
          <w:tcPr>
            <w:tcW w:w="1200" w:type="dxa"/>
            <w:vAlign w:val="bottom"/>
            <w:tcBorders>
              <w:bottom w:val="single" w:sz="8" w:color="0077C0"/>
            </w:tcBorders>
          </w:tcPr>
          <w:p>
            <w:pPr>
              <w:spacing w:after="0"/>
              <w:rPr>
                <w:sz w:val="2"/>
                <w:szCs w:val="2"/>
                <w:color w:val="auto"/>
              </w:rPr>
            </w:pPr>
          </w:p>
        </w:tc>
        <w:tc>
          <w:tcPr>
            <w:tcW w:w="440" w:type="dxa"/>
            <w:vAlign w:val="bottom"/>
            <w:tcBorders>
              <w:bottom w:val="single" w:sz="8" w:color="0077C0"/>
            </w:tcBorders>
          </w:tcPr>
          <w:p>
            <w:pPr>
              <w:spacing w:after="0"/>
              <w:rPr>
                <w:sz w:val="2"/>
                <w:szCs w:val="2"/>
                <w:color w:val="auto"/>
              </w:rPr>
            </w:pPr>
          </w:p>
        </w:tc>
        <w:tc>
          <w:tcPr>
            <w:tcW w:w="102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1140" w:type="dxa"/>
            <w:vAlign w:val="bottom"/>
            <w:tcBorders>
              <w:bottom w:val="single" w:sz="8" w:color="0077C0"/>
            </w:tcBorders>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78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4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820" w:type="dxa"/>
            <w:vAlign w:val="bottom"/>
            <w:tcBorders>
              <w:bottom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(203)</w:t>
            </w:r>
          </w:p>
        </w:tc>
        <w:tc>
          <w:tcPr>
            <w:tcW w:w="2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(12)</w:t>
            </w:r>
          </w:p>
        </w:tc>
        <w:tc>
          <w:tcPr>
            <w:tcW w:w="440" w:type="dxa"/>
            <w:vAlign w:val="bottom"/>
            <w:tcBorders>
              <w:bottom w:val="single" w:sz="8" w:color="0077C0"/>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(12)</w:t>
            </w:r>
          </w:p>
        </w:tc>
        <w:tc>
          <w:tcPr>
            <w:tcW w:w="28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(2,571)</w:t>
            </w:r>
          </w:p>
        </w:tc>
        <w:tc>
          <w:tcPr>
            <w:tcW w:w="540" w:type="dxa"/>
            <w:vAlign w:val="bottom"/>
            <w:tcBorders>
              <w:bottom w:val="single" w:sz="8" w:color="0077C0"/>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(2,798)</w:t>
            </w:r>
          </w:p>
        </w:tc>
        <w:tc>
          <w:tcPr>
            <w:tcW w:w="0" w:type="dxa"/>
            <w:vAlign w:val="bottom"/>
          </w:tcPr>
          <w:p>
            <w:pPr>
              <w:spacing w:after="0"/>
              <w:rPr>
                <w:sz w:val="1"/>
                <w:szCs w:val="1"/>
                <w:color w:val="auto"/>
              </w:rPr>
            </w:pPr>
          </w:p>
        </w:tc>
      </w:tr>
      <w:tr>
        <w:trPr>
          <w:trHeight w:val="188"/>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Components of Other Comprehensive Income (Loss)</w:t>
            </w:r>
            <w:r>
              <w:rPr>
                <w:rFonts w:ascii="Times New Roman" w:cs="Times New Roman" w:eastAsia="Times New Roman" w:hAnsi="Times New Roman"/>
                <w:sz w:val="9"/>
                <w:szCs w:val="9"/>
                <w:color w:val="auto"/>
              </w:rPr>
              <w:t>1</w:t>
            </w:r>
            <w:r>
              <w:rPr>
                <w:rFonts w:ascii="Times New Roman" w:cs="Times New Roman" w:eastAsia="Times New Roman" w:hAnsi="Times New Roman"/>
                <w:sz w:val="14"/>
                <w:szCs w:val="14"/>
                <w:color w:val="auto"/>
              </w:rPr>
              <w:t>:</w:t>
            </w: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Before Reclassifications</w:t>
            </w:r>
          </w:p>
        </w:tc>
        <w:tc>
          <w:tcPr>
            <w:tcW w:w="82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tcPr>
          <w:p>
            <w:pPr>
              <w:spacing w:after="0"/>
              <w:rPr>
                <w:sz w:val="16"/>
                <w:szCs w:val="16"/>
                <w:color w:val="auto"/>
              </w:rPr>
            </w:pPr>
          </w:p>
        </w:tc>
        <w:tc>
          <w:tcPr>
            <w:tcW w:w="12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w:t>
            </w:r>
          </w:p>
        </w:tc>
        <w:tc>
          <w:tcPr>
            <w:tcW w:w="440" w:type="dxa"/>
            <w:vAlign w:val="bottom"/>
          </w:tcPr>
          <w:p>
            <w:pPr>
              <w:spacing w:after="0"/>
              <w:rPr>
                <w:sz w:val="16"/>
                <w:szCs w:val="16"/>
                <w:color w:val="auto"/>
              </w:rPr>
            </w:pP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(16)</w:t>
            </w:r>
          </w:p>
        </w:tc>
        <w:tc>
          <w:tcPr>
            <w:tcW w:w="280" w:type="dxa"/>
            <w:vAlign w:val="bottom"/>
          </w:tcPr>
          <w:p>
            <w:pPr>
              <w:spacing w:after="0"/>
              <w:rPr>
                <w:sz w:val="16"/>
                <w:szCs w:val="16"/>
                <w:color w:val="auto"/>
              </w:rPr>
            </w:pPr>
          </w:p>
        </w:tc>
        <w:tc>
          <w:tcPr>
            <w:tcW w:w="11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(397)</w:t>
            </w:r>
          </w:p>
        </w:tc>
        <w:tc>
          <w:tcPr>
            <w:tcW w:w="5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0" w:type="dxa"/>
            <w:vAlign w:val="bottom"/>
          </w:tcPr>
          <w:p>
            <w:pPr>
              <w:spacing w:after="0"/>
              <w:rPr>
                <w:sz w:val="1"/>
                <w:szCs w:val="1"/>
                <w:color w:val="auto"/>
              </w:rPr>
            </w:pPr>
          </w:p>
        </w:tc>
      </w:tr>
      <w:tr>
        <w:trPr>
          <w:trHeight w:val="203"/>
        </w:trPr>
        <w:tc>
          <w:tcPr>
            <w:tcW w:w="3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Reclassifications</w:t>
            </w:r>
            <w:r>
              <w:rPr>
                <w:rFonts w:ascii="Times New Roman" w:cs="Times New Roman" w:eastAsia="Times New Roman" w:hAnsi="Times New Roman"/>
                <w:sz w:val="9"/>
                <w:szCs w:val="9"/>
                <w:color w:val="auto"/>
              </w:rPr>
              <w:t>2, 3</w:t>
            </w:r>
          </w:p>
        </w:tc>
        <w:tc>
          <w:tcPr>
            <w:tcW w:w="82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2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33</w:t>
            </w:r>
          </w:p>
        </w:tc>
        <w:tc>
          <w:tcPr>
            <w:tcW w:w="28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206</w:t>
            </w:r>
          </w:p>
        </w:tc>
        <w:tc>
          <w:tcPr>
            <w:tcW w:w="5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203"/>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Other Comprehensive Income (Loss)</w:t>
            </w:r>
          </w:p>
        </w:tc>
        <w:tc>
          <w:tcPr>
            <w:tcW w:w="82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tcPr>
          <w:p>
            <w:pPr>
              <w:spacing w:after="0"/>
              <w:rPr>
                <w:sz w:val="17"/>
                <w:szCs w:val="17"/>
                <w:color w:val="auto"/>
              </w:rPr>
            </w:pPr>
          </w:p>
        </w:tc>
        <w:tc>
          <w:tcPr>
            <w:tcW w:w="12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w:t>
            </w:r>
          </w:p>
        </w:tc>
        <w:tc>
          <w:tcPr>
            <w:tcW w:w="440" w:type="dxa"/>
            <w:vAlign w:val="bottom"/>
          </w:tcPr>
          <w:p>
            <w:pPr>
              <w:spacing w:after="0"/>
              <w:rPr>
                <w:sz w:val="17"/>
                <w:szCs w:val="17"/>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w:t>
            </w:r>
          </w:p>
        </w:tc>
        <w:tc>
          <w:tcPr>
            <w:tcW w:w="28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(191)</w:t>
            </w:r>
          </w:p>
        </w:tc>
        <w:tc>
          <w:tcPr>
            <w:tcW w:w="5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23"/>
        </w:trPr>
        <w:tc>
          <w:tcPr>
            <w:tcW w:w="3740" w:type="dxa"/>
            <w:vAlign w:val="bottom"/>
            <w:tcBorders>
              <w:bottom w:val="single" w:sz="8" w:color="0077C0"/>
            </w:tcBorders>
          </w:tcPr>
          <w:p>
            <w:pPr>
              <w:spacing w:after="0"/>
              <w:rPr>
                <w:sz w:val="2"/>
                <w:szCs w:val="2"/>
                <w:color w:val="auto"/>
              </w:rPr>
            </w:pPr>
          </w:p>
        </w:tc>
        <w:tc>
          <w:tcPr>
            <w:tcW w:w="820" w:type="dxa"/>
            <w:vAlign w:val="bottom"/>
            <w:tcBorders>
              <w:bottom w:val="single" w:sz="8" w:color="0077C0"/>
            </w:tcBorders>
          </w:tcPr>
          <w:p>
            <w:pPr>
              <w:spacing w:after="0"/>
              <w:rPr>
                <w:sz w:val="2"/>
                <w:szCs w:val="2"/>
                <w:color w:val="auto"/>
              </w:rPr>
            </w:pPr>
          </w:p>
        </w:tc>
        <w:tc>
          <w:tcPr>
            <w:tcW w:w="1040" w:type="dxa"/>
            <w:vAlign w:val="bottom"/>
            <w:tcBorders>
              <w:bottom w:val="single" w:sz="8" w:color="0077C0"/>
            </w:tcBorders>
          </w:tcPr>
          <w:p>
            <w:pPr>
              <w:spacing w:after="0"/>
              <w:rPr>
                <w:sz w:val="2"/>
                <w:szCs w:val="2"/>
                <w:color w:val="auto"/>
              </w:rPr>
            </w:pPr>
          </w:p>
        </w:tc>
        <w:tc>
          <w:tcPr>
            <w:tcW w:w="240" w:type="dxa"/>
            <w:vAlign w:val="bottom"/>
            <w:tcBorders>
              <w:bottom w:val="single" w:sz="8" w:color="0077C0"/>
            </w:tcBorders>
          </w:tcPr>
          <w:p>
            <w:pPr>
              <w:spacing w:after="0"/>
              <w:rPr>
                <w:sz w:val="2"/>
                <w:szCs w:val="2"/>
                <w:color w:val="auto"/>
              </w:rPr>
            </w:pPr>
          </w:p>
        </w:tc>
        <w:tc>
          <w:tcPr>
            <w:tcW w:w="1200" w:type="dxa"/>
            <w:vAlign w:val="bottom"/>
            <w:tcBorders>
              <w:bottom w:val="single" w:sz="8" w:color="0077C0"/>
            </w:tcBorders>
          </w:tcPr>
          <w:p>
            <w:pPr>
              <w:spacing w:after="0"/>
              <w:rPr>
                <w:sz w:val="2"/>
                <w:szCs w:val="2"/>
                <w:color w:val="auto"/>
              </w:rPr>
            </w:pPr>
          </w:p>
        </w:tc>
        <w:tc>
          <w:tcPr>
            <w:tcW w:w="440" w:type="dxa"/>
            <w:vAlign w:val="bottom"/>
            <w:tcBorders>
              <w:bottom w:val="single" w:sz="8" w:color="0077C0"/>
            </w:tcBorders>
          </w:tcPr>
          <w:p>
            <w:pPr>
              <w:spacing w:after="0"/>
              <w:rPr>
                <w:sz w:val="2"/>
                <w:szCs w:val="2"/>
                <w:color w:val="auto"/>
              </w:rPr>
            </w:pPr>
          </w:p>
        </w:tc>
        <w:tc>
          <w:tcPr>
            <w:tcW w:w="102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1140" w:type="dxa"/>
            <w:vAlign w:val="bottom"/>
            <w:tcBorders>
              <w:bottom w:val="single" w:sz="8" w:color="0077C0"/>
            </w:tcBorders>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78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4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820" w:type="dxa"/>
            <w:vAlign w:val="bottom"/>
            <w:tcBorders>
              <w:bottom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(192)</w:t>
            </w:r>
          </w:p>
        </w:tc>
        <w:tc>
          <w:tcPr>
            <w:tcW w:w="2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(11)</w:t>
            </w:r>
          </w:p>
        </w:tc>
        <w:tc>
          <w:tcPr>
            <w:tcW w:w="440" w:type="dxa"/>
            <w:vAlign w:val="bottom"/>
            <w:tcBorders>
              <w:bottom w:val="single" w:sz="8" w:color="0077C0"/>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5</w:t>
            </w:r>
          </w:p>
        </w:tc>
        <w:tc>
          <w:tcPr>
            <w:tcW w:w="28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(2,762)</w:t>
            </w:r>
          </w:p>
        </w:tc>
        <w:tc>
          <w:tcPr>
            <w:tcW w:w="540" w:type="dxa"/>
            <w:vAlign w:val="bottom"/>
            <w:tcBorders>
              <w:bottom w:val="single" w:sz="8" w:color="0077C0"/>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(2,960)</w:t>
            </w:r>
          </w:p>
        </w:tc>
        <w:tc>
          <w:tcPr>
            <w:tcW w:w="0" w:type="dxa"/>
            <w:vAlign w:val="bottom"/>
          </w:tcPr>
          <w:p>
            <w:pPr>
              <w:spacing w:after="0"/>
              <w:rPr>
                <w:sz w:val="1"/>
                <w:szCs w:val="1"/>
                <w:color w:val="auto"/>
              </w:rPr>
            </w:pPr>
          </w:p>
        </w:tc>
      </w:tr>
      <w:tr>
        <w:trPr>
          <w:trHeight w:val="188"/>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Components of Other Comprehensive Income (Loss)</w:t>
            </w:r>
            <w:r>
              <w:rPr>
                <w:rFonts w:ascii="Times New Roman" w:cs="Times New Roman" w:eastAsia="Times New Roman" w:hAnsi="Times New Roman"/>
                <w:sz w:val="9"/>
                <w:szCs w:val="9"/>
                <w:color w:val="auto"/>
              </w:rPr>
              <w:t>1</w:t>
            </w:r>
            <w:r>
              <w:rPr>
                <w:rFonts w:ascii="Times New Roman" w:cs="Times New Roman" w:eastAsia="Times New Roman" w:hAnsi="Times New Roman"/>
                <w:sz w:val="14"/>
                <w:szCs w:val="14"/>
                <w:color w:val="auto"/>
              </w:rPr>
              <w:t>:</w:t>
            </w: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Before Reclassifications</w:t>
            </w:r>
          </w:p>
        </w:tc>
        <w:tc>
          <w:tcPr>
            <w:tcW w:w="82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(67)</w:t>
            </w:r>
          </w:p>
        </w:tc>
        <w:tc>
          <w:tcPr>
            <w:tcW w:w="240" w:type="dxa"/>
            <w:vAlign w:val="bottom"/>
          </w:tcPr>
          <w:p>
            <w:pPr>
              <w:spacing w:after="0"/>
              <w:rPr>
                <w:sz w:val="16"/>
                <w:szCs w:val="16"/>
                <w:color w:val="auto"/>
              </w:rPr>
            </w:pP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w:t>
            </w:r>
          </w:p>
        </w:tc>
        <w:tc>
          <w:tcPr>
            <w:tcW w:w="440" w:type="dxa"/>
            <w:vAlign w:val="bottom"/>
          </w:tcPr>
          <w:p>
            <w:pPr>
              <w:spacing w:after="0"/>
              <w:rPr>
                <w:sz w:val="16"/>
                <w:szCs w:val="16"/>
                <w:color w:val="auto"/>
              </w:rPr>
            </w:pP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(44)</w:t>
            </w:r>
          </w:p>
        </w:tc>
        <w:tc>
          <w:tcPr>
            <w:tcW w:w="280" w:type="dxa"/>
            <w:vAlign w:val="bottom"/>
          </w:tcPr>
          <w:p>
            <w:pPr>
              <w:spacing w:after="0"/>
              <w:rPr>
                <w:sz w:val="16"/>
                <w:szCs w:val="16"/>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119</w:t>
            </w:r>
          </w:p>
        </w:tc>
        <w:tc>
          <w:tcPr>
            <w:tcW w:w="5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3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Reclassifications</w:t>
            </w:r>
            <w:r>
              <w:rPr>
                <w:rFonts w:ascii="Times New Roman" w:cs="Times New Roman" w:eastAsia="Times New Roman" w:hAnsi="Times New Roman"/>
                <w:sz w:val="9"/>
                <w:szCs w:val="9"/>
                <w:color w:val="auto"/>
              </w:rPr>
              <w:t>2, 3</w:t>
            </w:r>
          </w:p>
        </w:tc>
        <w:tc>
          <w:tcPr>
            <w:tcW w:w="82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2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w:t>
            </w:r>
          </w:p>
        </w:tc>
        <w:tc>
          <w:tcPr>
            <w:tcW w:w="28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175</w:t>
            </w:r>
          </w:p>
        </w:tc>
        <w:tc>
          <w:tcPr>
            <w:tcW w:w="5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203"/>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Other Comprehensive Income (Loss)</w:t>
            </w:r>
          </w:p>
        </w:tc>
        <w:tc>
          <w:tcPr>
            <w:tcW w:w="82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(67)</w:t>
            </w:r>
          </w:p>
        </w:tc>
        <w:tc>
          <w:tcPr>
            <w:tcW w:w="24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w:t>
            </w:r>
          </w:p>
        </w:tc>
        <w:tc>
          <w:tcPr>
            <w:tcW w:w="44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(19)</w:t>
            </w:r>
          </w:p>
        </w:tc>
        <w:tc>
          <w:tcPr>
            <w:tcW w:w="28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294</w:t>
            </w:r>
          </w:p>
        </w:tc>
        <w:tc>
          <w:tcPr>
            <w:tcW w:w="5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23"/>
        </w:trPr>
        <w:tc>
          <w:tcPr>
            <w:tcW w:w="3740" w:type="dxa"/>
            <w:vAlign w:val="bottom"/>
            <w:tcBorders>
              <w:bottom w:val="single" w:sz="8" w:color="0077C0"/>
            </w:tcBorders>
          </w:tcPr>
          <w:p>
            <w:pPr>
              <w:spacing w:after="0"/>
              <w:rPr>
                <w:sz w:val="2"/>
                <w:szCs w:val="2"/>
                <w:color w:val="auto"/>
              </w:rPr>
            </w:pPr>
          </w:p>
        </w:tc>
        <w:tc>
          <w:tcPr>
            <w:tcW w:w="820" w:type="dxa"/>
            <w:vAlign w:val="bottom"/>
            <w:tcBorders>
              <w:bottom w:val="single" w:sz="8" w:color="0077C0"/>
            </w:tcBorders>
          </w:tcPr>
          <w:p>
            <w:pPr>
              <w:spacing w:after="0"/>
              <w:rPr>
                <w:sz w:val="2"/>
                <w:szCs w:val="2"/>
                <w:color w:val="auto"/>
              </w:rPr>
            </w:pPr>
          </w:p>
        </w:tc>
        <w:tc>
          <w:tcPr>
            <w:tcW w:w="1040" w:type="dxa"/>
            <w:vAlign w:val="bottom"/>
            <w:tcBorders>
              <w:bottom w:val="single" w:sz="8" w:color="0077C0"/>
            </w:tcBorders>
          </w:tcPr>
          <w:p>
            <w:pPr>
              <w:spacing w:after="0"/>
              <w:rPr>
                <w:sz w:val="2"/>
                <w:szCs w:val="2"/>
                <w:color w:val="auto"/>
              </w:rPr>
            </w:pPr>
          </w:p>
        </w:tc>
        <w:tc>
          <w:tcPr>
            <w:tcW w:w="240" w:type="dxa"/>
            <w:vAlign w:val="bottom"/>
            <w:tcBorders>
              <w:bottom w:val="single" w:sz="8" w:color="0077C0"/>
            </w:tcBorders>
          </w:tcPr>
          <w:p>
            <w:pPr>
              <w:spacing w:after="0"/>
              <w:rPr>
                <w:sz w:val="2"/>
                <w:szCs w:val="2"/>
                <w:color w:val="auto"/>
              </w:rPr>
            </w:pPr>
          </w:p>
        </w:tc>
        <w:tc>
          <w:tcPr>
            <w:tcW w:w="1200" w:type="dxa"/>
            <w:vAlign w:val="bottom"/>
            <w:tcBorders>
              <w:bottom w:val="single" w:sz="8" w:color="0077C0"/>
            </w:tcBorders>
          </w:tcPr>
          <w:p>
            <w:pPr>
              <w:spacing w:after="0"/>
              <w:rPr>
                <w:sz w:val="2"/>
                <w:szCs w:val="2"/>
                <w:color w:val="auto"/>
              </w:rPr>
            </w:pPr>
          </w:p>
        </w:tc>
        <w:tc>
          <w:tcPr>
            <w:tcW w:w="440" w:type="dxa"/>
            <w:vAlign w:val="bottom"/>
            <w:tcBorders>
              <w:bottom w:val="single" w:sz="8" w:color="0077C0"/>
            </w:tcBorders>
          </w:tcPr>
          <w:p>
            <w:pPr>
              <w:spacing w:after="0"/>
              <w:rPr>
                <w:sz w:val="2"/>
                <w:szCs w:val="2"/>
                <w:color w:val="auto"/>
              </w:rPr>
            </w:pPr>
          </w:p>
        </w:tc>
        <w:tc>
          <w:tcPr>
            <w:tcW w:w="102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1140" w:type="dxa"/>
            <w:vAlign w:val="bottom"/>
            <w:tcBorders>
              <w:bottom w:val="single" w:sz="8" w:color="0077C0"/>
            </w:tcBorders>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78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4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820" w:type="dxa"/>
            <w:vAlign w:val="bottom"/>
            <w:tcBorders>
              <w:bottom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(259)</w:t>
            </w:r>
          </w:p>
        </w:tc>
        <w:tc>
          <w:tcPr>
            <w:tcW w:w="2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(19)</w:t>
            </w:r>
          </w:p>
        </w:tc>
        <w:tc>
          <w:tcPr>
            <w:tcW w:w="440" w:type="dxa"/>
            <w:vAlign w:val="bottom"/>
            <w:tcBorders>
              <w:bottom w:val="single" w:sz="8" w:color="0077C0"/>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(14)</w:t>
            </w:r>
          </w:p>
        </w:tc>
        <w:tc>
          <w:tcPr>
            <w:tcW w:w="28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(2,468)</w:t>
            </w:r>
          </w:p>
        </w:tc>
        <w:tc>
          <w:tcPr>
            <w:tcW w:w="540" w:type="dxa"/>
            <w:vAlign w:val="bottom"/>
            <w:tcBorders>
              <w:bottom w:val="single" w:sz="8" w:color="0077C0"/>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(2,760)</w:t>
            </w: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60" w:hanging="52"/>
        <w:spacing w:after="0"/>
        <w:tabs>
          <w:tab w:leader="none" w:pos="60" w:val="left"/>
        </w:tabs>
        <w:numPr>
          <w:ilvl w:val="0"/>
          <w:numId w:val="30"/>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All amounts are net of tax.</w:t>
      </w:r>
    </w:p>
    <w:p>
      <w:pPr>
        <w:ind w:left="180" w:hanging="172"/>
        <w:spacing w:after="0" w:line="221" w:lineRule="auto"/>
        <w:tabs>
          <w:tab w:leader="none" w:pos="93" w:val="left"/>
        </w:tabs>
        <w:numPr>
          <w:ilvl w:val="0"/>
          <w:numId w:val="3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 xml:space="preserve">Refer to </w:t>
      </w:r>
      <w:r>
        <w:rPr>
          <w:rFonts w:ascii="Times New Roman" w:cs="Times New Roman" w:eastAsia="Times New Roman" w:hAnsi="Times New Roman"/>
          <w:sz w:val="13"/>
          <w:szCs w:val="13"/>
          <w:u w:val="single" w:color="auto"/>
          <w:color w:val="0000FF"/>
        </w:rPr>
        <w:t>Note 23 Employee Benefit Plans</w:t>
      </w:r>
      <w:r>
        <w:rPr>
          <w:rFonts w:ascii="Times New Roman" w:cs="Times New Roman" w:eastAsia="Times New Roman" w:hAnsi="Times New Roman"/>
          <w:sz w:val="13"/>
          <w:szCs w:val="13"/>
          <w:color w:val="auto"/>
        </w:rPr>
        <w:t>, for reclassified components, including amortization of actuarial gains or losses, amortization of prior service costs and settlement losses, totaling $237 that are included in employee benefit costs for the year ended December 31, 2024. Related income taxes for the same period, totaling $62, are reflected in Income Tax Expense on the Consolidated Statement of Income. All other reclassified amounts were insignificant.</w:t>
      </w:r>
    </w:p>
    <w:p>
      <w:pPr>
        <w:ind w:left="60" w:hanging="52"/>
        <w:spacing w:after="0" w:line="230" w:lineRule="auto"/>
        <w:tabs>
          <w:tab w:leader="none" w:pos="60" w:val="left"/>
        </w:tabs>
        <w:numPr>
          <w:ilvl w:val="0"/>
          <w:numId w:val="32"/>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 xml:space="preserve">Refer to </w:t>
      </w:r>
      <w:r>
        <w:rPr>
          <w:rFonts w:ascii="Times New Roman" w:cs="Times New Roman" w:eastAsia="Times New Roman" w:hAnsi="Times New Roman"/>
          <w:sz w:val="12"/>
          <w:szCs w:val="12"/>
          <w:u w:val="single" w:color="auto"/>
          <w:color w:val="0000FF"/>
        </w:rPr>
        <w:t>Note 10 Financial and Derivative Instruments</w:t>
      </w:r>
      <w:r>
        <w:rPr>
          <w:rFonts w:ascii="Times New Roman" w:cs="Times New Roman" w:eastAsia="Times New Roman" w:hAnsi="Times New Roman"/>
          <w:sz w:val="12"/>
          <w:szCs w:val="12"/>
          <w:color w:val="auto"/>
        </w:rPr>
        <w:t xml:space="preserve"> for cash flow hedging.</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73" w:name="page74"/>
    <w:bookmarkEnd w:id="73"/>
    <w:tbl>
      <w:tblPr>
        <w:tblLayout w:type="fixed"/>
        <w:tblInd w:w="20" w:type="dxa"/>
        <w:tblCellMar>
          <w:top w:w="0" w:type="dxa"/>
          <w:left w:w="0" w:type="dxa"/>
          <w:bottom w:w="0" w:type="dxa"/>
          <w:right w:w="0" w:type="dxa"/>
        </w:tblCellMar>
      </w:tblPr>
      <w:tr>
        <w:trPr>
          <w:trHeight w:val="204"/>
        </w:trPr>
        <w:tc>
          <w:tcPr>
            <w:tcW w:w="6260" w:type="dxa"/>
            <w:vAlign w:val="bottom"/>
          </w:tcPr>
          <w:p>
            <w:pPr>
              <w:spacing w:after="0"/>
              <w:rPr>
                <w:sz w:val="20"/>
                <w:szCs w:val="20"/>
                <w:color w:val="auto"/>
              </w:rPr>
            </w:pPr>
            <w:r>
              <w:rPr>
                <w:rFonts w:ascii="Arial" w:cs="Arial" w:eastAsia="Arial" w:hAnsi="Arial"/>
                <w:sz w:val="14"/>
                <w:szCs w:val="14"/>
                <w:color w:val="0077C0"/>
              </w:rPr>
              <w:t>Notes to the Consolidated Financial Statements</w:t>
            </w:r>
          </w:p>
        </w:tc>
        <w:tc>
          <w:tcPr>
            <w:tcW w:w="4940" w:type="dxa"/>
            <w:vAlign w:val="bottom"/>
          </w:tcPr>
          <w:p>
            <w:pPr>
              <w:ind w:left="3200"/>
              <w:spacing w:after="0"/>
              <w:rPr>
                <w:sz w:val="20"/>
                <w:szCs w:val="20"/>
                <w:color w:val="auto"/>
              </w:rPr>
            </w:pPr>
            <w:r>
              <w:rPr>
                <w:rFonts w:ascii="Arial" w:cs="Arial" w:eastAsia="Arial" w:hAnsi="Arial"/>
                <w:sz w:val="14"/>
                <w:szCs w:val="14"/>
                <w:color w:val="0077C0"/>
              </w:rPr>
              <w:t>Financial Table of Contents</w:t>
            </w:r>
          </w:p>
        </w:tc>
      </w:tr>
      <w:tr>
        <w:trPr>
          <w:trHeight w:val="150"/>
        </w:trPr>
        <w:tc>
          <w:tcPr>
            <w:tcW w:w="6260" w:type="dxa"/>
            <w:vAlign w:val="bottom"/>
          </w:tcPr>
          <w:p>
            <w:pPr>
              <w:ind w:left="40"/>
              <w:spacing w:after="0"/>
              <w:rPr>
                <w:sz w:val="20"/>
                <w:szCs w:val="20"/>
                <w:color w:val="auto"/>
              </w:rPr>
            </w:pPr>
            <w:r>
              <w:rPr>
                <w:rFonts w:ascii="Arial" w:cs="Arial" w:eastAsia="Arial" w:hAnsi="Arial"/>
                <w:sz w:val="11"/>
                <w:szCs w:val="11"/>
                <w:color w:val="0077C0"/>
              </w:rPr>
              <w:t>Millions of dollars, except per-share amounts</w:t>
            </w:r>
          </w:p>
        </w:tc>
        <w:tc>
          <w:tcPr>
            <w:tcW w:w="4940" w:type="dxa"/>
            <w:vAlign w:val="bottom"/>
          </w:tcPr>
          <w:p>
            <w:pPr>
              <w:spacing w:after="0"/>
              <w:rPr>
                <w:sz w:val="13"/>
                <w:szCs w:val="13"/>
                <w:color w:val="auto"/>
              </w:rPr>
            </w:pPr>
          </w:p>
        </w:tc>
      </w:tr>
    </w:tbl>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3</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0077C0"/>
        </w:rPr>
        <w:t>Information Relating to the Consolidated Statement of Cash Flows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Year ended December 31</w:t>
            </w:r>
          </w:p>
        </w:tc>
        <w:tc>
          <w:tcPr>
            <w:tcW w:w="0" w:type="dxa"/>
            <w:vAlign w:val="bottom"/>
          </w:tcPr>
          <w:p>
            <w:pPr>
              <w:spacing w:after="0"/>
              <w:rPr>
                <w:sz w:val="1"/>
                <w:szCs w:val="1"/>
                <w:color w:val="auto"/>
              </w:rPr>
            </w:pPr>
          </w:p>
        </w:tc>
      </w:tr>
      <w:tr>
        <w:trPr>
          <w:trHeight w:val="23"/>
        </w:trPr>
        <w:tc>
          <w:tcPr>
            <w:tcW w:w="6840" w:type="dxa"/>
            <w:vAlign w:val="bottom"/>
          </w:tcPr>
          <w:p>
            <w:pPr>
              <w:spacing w:after="0"/>
              <w:rPr>
                <w:sz w:val="2"/>
                <w:szCs w:val="2"/>
                <w:color w:val="auto"/>
              </w:rPr>
            </w:pPr>
          </w:p>
        </w:tc>
        <w:tc>
          <w:tcPr>
            <w:tcW w:w="460" w:type="dxa"/>
            <w:vAlign w:val="bottom"/>
            <w:tcBorders>
              <w:bottom w:val="single" w:sz="8" w:color="0077C0"/>
            </w:tcBorders>
          </w:tcPr>
          <w:p>
            <w:pPr>
              <w:spacing w:after="0"/>
              <w:rPr>
                <w:sz w:val="2"/>
                <w:szCs w:val="2"/>
                <w:color w:val="auto"/>
              </w:rPr>
            </w:pPr>
          </w:p>
        </w:tc>
        <w:tc>
          <w:tcPr>
            <w:tcW w:w="1020" w:type="dxa"/>
            <w:vAlign w:val="bottom"/>
            <w:tcBorders>
              <w:bottom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40" w:type="dxa"/>
            <w:vAlign w:val="bottom"/>
            <w:tcBorders>
              <w:bottom w:val="single" w:sz="8" w:color="0077C0"/>
            </w:tcBorders>
          </w:tcPr>
          <w:p>
            <w:pPr>
              <w:spacing w:after="0"/>
              <w:rPr>
                <w:sz w:val="16"/>
                <w:szCs w:val="16"/>
                <w:color w:val="auto"/>
              </w:rPr>
            </w:pPr>
          </w:p>
        </w:tc>
        <w:tc>
          <w:tcPr>
            <w:tcW w:w="460" w:type="dxa"/>
            <w:vAlign w:val="bottom"/>
            <w:tcBorders>
              <w:bottom w:val="single" w:sz="8" w:color="0077C0"/>
            </w:tcBorders>
          </w:tcPr>
          <w:p>
            <w:pPr>
              <w:spacing w:after="0"/>
              <w:rPr>
                <w:sz w:val="16"/>
                <w:szCs w:val="16"/>
                <w:color w:val="auto"/>
              </w:rPr>
            </w:pPr>
          </w:p>
        </w:tc>
        <w:tc>
          <w:tcPr>
            <w:tcW w:w="1020" w:type="dxa"/>
            <w:vAlign w:val="bottom"/>
            <w:tcBorders>
              <w:bottom w:val="single" w:sz="8" w:color="0077C0"/>
              <w:right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0077C0"/>
            </w:tcBorders>
          </w:tcPr>
          <w:p>
            <w:pPr>
              <w:spacing w:after="0"/>
              <w:rPr>
                <w:sz w:val="16"/>
                <w:szCs w:val="16"/>
                <w:color w:val="auto"/>
              </w:rPr>
            </w:pPr>
          </w:p>
        </w:tc>
        <w:tc>
          <w:tcPr>
            <w:tcW w:w="8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580" w:type="dxa"/>
            <w:vAlign w:val="bottom"/>
            <w:tcBorders>
              <w:bottom w:val="single" w:sz="8" w:color="0077C0"/>
            </w:tcBorders>
          </w:tcPr>
          <w:p>
            <w:pPr>
              <w:spacing w:after="0"/>
              <w:rPr>
                <w:sz w:val="16"/>
                <w:szCs w:val="16"/>
                <w:color w:val="auto"/>
              </w:rPr>
            </w:pPr>
          </w:p>
        </w:tc>
        <w:tc>
          <w:tcPr>
            <w:tcW w:w="9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188"/>
        </w:trPr>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more (less) than income from equity affiliates includes the following:</w:t>
            </w:r>
          </w:p>
        </w:tc>
        <w:tc>
          <w:tcPr>
            <w:tcW w:w="460" w:type="dxa"/>
            <w:vAlign w:val="bottom"/>
          </w:tcPr>
          <w:p>
            <w:pPr>
              <w:spacing w:after="0"/>
              <w:rPr>
                <w:sz w:val="16"/>
                <w:szCs w:val="16"/>
                <w:color w:val="auto"/>
              </w:rPr>
            </w:pPr>
          </w:p>
        </w:tc>
        <w:tc>
          <w:tcPr>
            <w:tcW w:w="1020" w:type="dxa"/>
            <w:vAlign w:val="bottom"/>
            <w:tcBorders>
              <w:right w:val="single" w:sz="8" w:color="0077C0"/>
            </w:tcBorders>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Distributions from equity affiliates</w:t>
            </w:r>
          </w:p>
        </w:tc>
        <w:tc>
          <w:tcPr>
            <w:tcW w:w="4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4,230</w:t>
            </w:r>
          </w:p>
        </w:tc>
        <w:tc>
          <w:tcPr>
            <w:tcW w:w="5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4,246</w:t>
            </w:r>
          </w:p>
        </w:tc>
        <w:tc>
          <w:tcPr>
            <w:tcW w:w="5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3,855</w:t>
            </w:r>
          </w:p>
        </w:tc>
        <w:tc>
          <w:tcPr>
            <w:tcW w:w="0" w:type="dxa"/>
            <w:vAlign w:val="bottom"/>
          </w:tcPr>
          <w:p>
            <w:pPr>
              <w:spacing w:after="0"/>
              <w:rPr>
                <w:sz w:val="1"/>
                <w:szCs w:val="1"/>
                <w:color w:val="auto"/>
              </w:rPr>
            </w:pPr>
          </w:p>
        </w:tc>
      </w:tr>
      <w:tr>
        <w:trPr>
          <w:trHeight w:val="203"/>
        </w:trPr>
        <w:tc>
          <w:tcPr>
            <w:tcW w:w="6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(Income) loss from equity affiliates</w:t>
            </w:r>
          </w:p>
        </w:tc>
        <w:tc>
          <w:tcPr>
            <w:tcW w:w="460" w:type="dxa"/>
            <w:vAlign w:val="bottom"/>
          </w:tcPr>
          <w:p>
            <w:pPr>
              <w:spacing w:after="0"/>
              <w:rPr>
                <w:sz w:val="17"/>
                <w:szCs w:val="17"/>
                <w:color w:val="auto"/>
              </w:rPr>
            </w:pPr>
          </w:p>
        </w:tc>
        <w:tc>
          <w:tcPr>
            <w:tcW w:w="1020" w:type="dxa"/>
            <w:vAlign w:val="bottom"/>
            <w:tcBorders>
              <w:right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(4,596)</w:t>
            </w:r>
          </w:p>
        </w:tc>
        <w:tc>
          <w:tcPr>
            <w:tcW w:w="5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(5,131)</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(8,585)</w:t>
            </w:r>
          </w:p>
        </w:tc>
        <w:tc>
          <w:tcPr>
            <w:tcW w:w="0" w:type="dxa"/>
            <w:vAlign w:val="bottom"/>
          </w:tcPr>
          <w:p>
            <w:pPr>
              <w:spacing w:after="0"/>
              <w:rPr>
                <w:sz w:val="1"/>
                <w:szCs w:val="1"/>
                <w:color w:val="auto"/>
              </w:rPr>
            </w:pPr>
          </w:p>
        </w:tc>
      </w:tr>
      <w:tr>
        <w:trPr>
          <w:trHeight w:val="23"/>
        </w:trPr>
        <w:tc>
          <w:tcPr>
            <w:tcW w:w="6840" w:type="dxa"/>
            <w:vAlign w:val="bottom"/>
            <w:tcBorders>
              <w:bottom w:val="single" w:sz="8" w:color="0077C0"/>
            </w:tcBorders>
          </w:tcPr>
          <w:p>
            <w:pPr>
              <w:spacing w:after="0"/>
              <w:rPr>
                <w:sz w:val="2"/>
                <w:szCs w:val="2"/>
                <w:color w:val="auto"/>
              </w:rPr>
            </w:pPr>
          </w:p>
        </w:tc>
        <w:tc>
          <w:tcPr>
            <w:tcW w:w="460" w:type="dxa"/>
            <w:vAlign w:val="bottom"/>
            <w:tcBorders>
              <w:bottom w:val="single" w:sz="8" w:color="0077C0"/>
            </w:tcBorders>
          </w:tcPr>
          <w:p>
            <w:pPr>
              <w:spacing w:after="0"/>
              <w:rPr>
                <w:sz w:val="2"/>
                <w:szCs w:val="2"/>
                <w:color w:val="auto"/>
              </w:rPr>
            </w:pPr>
          </w:p>
        </w:tc>
        <w:tc>
          <w:tcPr>
            <w:tcW w:w="1020" w:type="dxa"/>
            <w:vAlign w:val="bottom"/>
            <w:tcBorders>
              <w:bottom w:val="single" w:sz="8" w:color="0077C0"/>
              <w:right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4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Distributions more (less) than income from equity affiliates</w:t>
            </w:r>
          </w:p>
        </w:tc>
        <w:tc>
          <w:tcPr>
            <w:tcW w:w="460" w:type="dxa"/>
            <w:vAlign w:val="bottom"/>
            <w:tcBorders>
              <w:bottom w:val="single" w:sz="8" w:color="0077C0"/>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0077C0"/>
              <w:right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(366)</w:t>
            </w:r>
          </w:p>
        </w:tc>
        <w:tc>
          <w:tcPr>
            <w:tcW w:w="560" w:type="dxa"/>
            <w:vAlign w:val="bottom"/>
            <w:tcBorders>
              <w:bottom w:val="single" w:sz="8" w:color="0077C0"/>
            </w:tcBorders>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(885)</w:t>
            </w:r>
          </w:p>
        </w:tc>
        <w:tc>
          <w:tcPr>
            <w:tcW w:w="580" w:type="dxa"/>
            <w:vAlign w:val="bottom"/>
            <w:tcBorders>
              <w:bottom w:val="single" w:sz="8" w:color="0077C0"/>
            </w:tcBorders>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(4,730)</w:t>
            </w:r>
          </w:p>
        </w:tc>
        <w:tc>
          <w:tcPr>
            <w:tcW w:w="0" w:type="dxa"/>
            <w:vAlign w:val="bottom"/>
          </w:tcPr>
          <w:p>
            <w:pPr>
              <w:spacing w:after="0"/>
              <w:rPr>
                <w:sz w:val="1"/>
                <w:szCs w:val="1"/>
                <w:color w:val="auto"/>
              </w:rPr>
            </w:pPr>
          </w:p>
        </w:tc>
      </w:tr>
      <w:tr>
        <w:trPr>
          <w:trHeight w:val="188"/>
        </w:trPr>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 (increase) in operating working capital was composed of the following:</w:t>
            </w:r>
          </w:p>
        </w:tc>
        <w:tc>
          <w:tcPr>
            <w:tcW w:w="460" w:type="dxa"/>
            <w:vAlign w:val="bottom"/>
          </w:tcPr>
          <w:p>
            <w:pPr>
              <w:spacing w:after="0"/>
              <w:rPr>
                <w:sz w:val="16"/>
                <w:szCs w:val="16"/>
                <w:color w:val="auto"/>
              </w:rPr>
            </w:pPr>
          </w:p>
        </w:tc>
        <w:tc>
          <w:tcPr>
            <w:tcW w:w="1020" w:type="dxa"/>
            <w:vAlign w:val="bottom"/>
            <w:tcBorders>
              <w:right w:val="single" w:sz="8" w:color="0077C0"/>
            </w:tcBorders>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Decrease (increase) in accounts and notes receivable</w:t>
            </w:r>
          </w:p>
        </w:tc>
        <w:tc>
          <w:tcPr>
            <w:tcW w:w="4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right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(932)</w:t>
            </w:r>
          </w:p>
        </w:tc>
        <w:tc>
          <w:tcPr>
            <w:tcW w:w="5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1,187</w:t>
            </w:r>
          </w:p>
        </w:tc>
        <w:tc>
          <w:tcPr>
            <w:tcW w:w="5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(2,317)</w:t>
            </w:r>
          </w:p>
        </w:tc>
        <w:tc>
          <w:tcPr>
            <w:tcW w:w="0" w:type="dxa"/>
            <w:vAlign w:val="bottom"/>
          </w:tcPr>
          <w:p>
            <w:pPr>
              <w:spacing w:after="0"/>
              <w:rPr>
                <w:sz w:val="1"/>
                <w:szCs w:val="1"/>
                <w:color w:val="auto"/>
              </w:rPr>
            </w:pPr>
          </w:p>
        </w:tc>
      </w:tr>
      <w:tr>
        <w:trPr>
          <w:trHeight w:val="203"/>
        </w:trPr>
        <w:tc>
          <w:tcPr>
            <w:tcW w:w="6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Decrease (increase) in inventories</w:t>
            </w:r>
          </w:p>
        </w:tc>
        <w:tc>
          <w:tcPr>
            <w:tcW w:w="460" w:type="dxa"/>
            <w:vAlign w:val="bottom"/>
          </w:tcPr>
          <w:p>
            <w:pPr>
              <w:spacing w:after="0"/>
              <w:rPr>
                <w:sz w:val="17"/>
                <w:szCs w:val="17"/>
                <w:color w:val="auto"/>
              </w:rPr>
            </w:pPr>
          </w:p>
        </w:tc>
        <w:tc>
          <w:tcPr>
            <w:tcW w:w="1020" w:type="dxa"/>
            <w:vAlign w:val="bottom"/>
            <w:tcBorders>
              <w:right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(574)</w:t>
            </w:r>
          </w:p>
        </w:tc>
        <w:tc>
          <w:tcPr>
            <w:tcW w:w="5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w:t>
            </w:r>
          </w:p>
        </w:tc>
        <w:tc>
          <w:tcPr>
            <w:tcW w:w="0" w:type="dxa"/>
            <w:vAlign w:val="bottom"/>
          </w:tcPr>
          <w:p>
            <w:pPr>
              <w:spacing w:after="0"/>
              <w:rPr>
                <w:sz w:val="1"/>
                <w:szCs w:val="1"/>
                <w:color w:val="auto"/>
              </w:rPr>
            </w:pPr>
          </w:p>
        </w:tc>
      </w:tr>
      <w:tr>
        <w:trPr>
          <w:trHeight w:val="203"/>
        </w:trPr>
        <w:tc>
          <w:tcPr>
            <w:tcW w:w="6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Decrease (increase) in prepaid expenses and other current assets</w:t>
            </w:r>
          </w:p>
        </w:tc>
        <w:tc>
          <w:tcPr>
            <w:tcW w:w="460" w:type="dxa"/>
            <w:vAlign w:val="bottom"/>
          </w:tcPr>
          <w:p>
            <w:pPr>
              <w:spacing w:after="0"/>
              <w:rPr>
                <w:sz w:val="17"/>
                <w:szCs w:val="17"/>
                <w:color w:val="auto"/>
              </w:rPr>
            </w:pPr>
          </w:p>
        </w:tc>
        <w:tc>
          <w:tcPr>
            <w:tcW w:w="1020" w:type="dxa"/>
            <w:vAlign w:val="bottom"/>
            <w:tcBorders>
              <w:right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(16)</w:t>
            </w:r>
          </w:p>
        </w:tc>
        <w:tc>
          <w:tcPr>
            <w:tcW w:w="5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0" w:type="dxa"/>
            <w:vAlign w:val="bottom"/>
          </w:tcPr>
          <w:p>
            <w:pPr>
              <w:spacing w:after="0"/>
              <w:rPr>
                <w:sz w:val="1"/>
                <w:szCs w:val="1"/>
                <w:color w:val="auto"/>
              </w:rPr>
            </w:pPr>
          </w:p>
        </w:tc>
      </w:tr>
      <w:tr>
        <w:trPr>
          <w:trHeight w:val="203"/>
        </w:trPr>
        <w:tc>
          <w:tcPr>
            <w:tcW w:w="6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Increase (decrease) in accounts payable and accrued liabilities</w:t>
            </w:r>
          </w:p>
        </w:tc>
        <w:tc>
          <w:tcPr>
            <w:tcW w:w="460" w:type="dxa"/>
            <w:vAlign w:val="bottom"/>
          </w:tcPr>
          <w:p>
            <w:pPr>
              <w:spacing w:after="0"/>
              <w:rPr>
                <w:sz w:val="17"/>
                <w:szCs w:val="17"/>
                <w:color w:val="auto"/>
              </w:rPr>
            </w:pPr>
          </w:p>
        </w:tc>
        <w:tc>
          <w:tcPr>
            <w:tcW w:w="102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2,569</w:t>
            </w:r>
          </w:p>
        </w:tc>
        <w:tc>
          <w:tcPr>
            <w:tcW w:w="5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2,750</w:t>
            </w:r>
          </w:p>
        </w:tc>
        <w:tc>
          <w:tcPr>
            <w:tcW w:w="0" w:type="dxa"/>
            <w:vAlign w:val="bottom"/>
          </w:tcPr>
          <w:p>
            <w:pPr>
              <w:spacing w:after="0"/>
              <w:rPr>
                <w:sz w:val="1"/>
                <w:szCs w:val="1"/>
                <w:color w:val="auto"/>
              </w:rPr>
            </w:pPr>
          </w:p>
        </w:tc>
      </w:tr>
      <w:tr>
        <w:trPr>
          <w:trHeight w:val="203"/>
        </w:trPr>
        <w:tc>
          <w:tcPr>
            <w:tcW w:w="6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Increase (decrease) in income and other taxes payable</w:t>
            </w:r>
          </w:p>
        </w:tc>
        <w:tc>
          <w:tcPr>
            <w:tcW w:w="460" w:type="dxa"/>
            <w:vAlign w:val="bottom"/>
          </w:tcPr>
          <w:p>
            <w:pPr>
              <w:spacing w:after="0"/>
              <w:rPr>
                <w:sz w:val="17"/>
                <w:szCs w:val="17"/>
                <w:color w:val="auto"/>
              </w:rPr>
            </w:pPr>
          </w:p>
        </w:tc>
        <w:tc>
          <w:tcPr>
            <w:tcW w:w="102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164</w:t>
            </w:r>
          </w:p>
        </w:tc>
        <w:tc>
          <w:tcPr>
            <w:tcW w:w="5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(2,801)</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2,848</w:t>
            </w:r>
          </w:p>
        </w:tc>
        <w:tc>
          <w:tcPr>
            <w:tcW w:w="0" w:type="dxa"/>
            <w:vAlign w:val="bottom"/>
          </w:tcPr>
          <w:p>
            <w:pPr>
              <w:spacing w:after="0"/>
              <w:rPr>
                <w:sz w:val="1"/>
                <w:szCs w:val="1"/>
                <w:color w:val="auto"/>
              </w:rPr>
            </w:pPr>
          </w:p>
        </w:tc>
      </w:tr>
      <w:tr>
        <w:trPr>
          <w:trHeight w:val="23"/>
        </w:trPr>
        <w:tc>
          <w:tcPr>
            <w:tcW w:w="6840" w:type="dxa"/>
            <w:vAlign w:val="bottom"/>
            <w:tcBorders>
              <w:bottom w:val="single" w:sz="8" w:color="0077C0"/>
            </w:tcBorders>
          </w:tcPr>
          <w:p>
            <w:pPr>
              <w:spacing w:after="0"/>
              <w:rPr>
                <w:sz w:val="2"/>
                <w:szCs w:val="2"/>
                <w:color w:val="auto"/>
              </w:rPr>
            </w:pPr>
          </w:p>
        </w:tc>
        <w:tc>
          <w:tcPr>
            <w:tcW w:w="460" w:type="dxa"/>
            <w:vAlign w:val="bottom"/>
            <w:tcBorders>
              <w:bottom w:val="single" w:sz="8" w:color="0077C0"/>
            </w:tcBorders>
          </w:tcPr>
          <w:p>
            <w:pPr>
              <w:spacing w:after="0"/>
              <w:rPr>
                <w:sz w:val="2"/>
                <w:szCs w:val="2"/>
                <w:color w:val="auto"/>
              </w:rPr>
            </w:pPr>
          </w:p>
        </w:tc>
        <w:tc>
          <w:tcPr>
            <w:tcW w:w="1020" w:type="dxa"/>
            <w:vAlign w:val="bottom"/>
            <w:tcBorders>
              <w:bottom w:val="single" w:sz="8" w:color="0077C0"/>
              <w:right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4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decrease (increase) in operating working capital</w:t>
            </w:r>
          </w:p>
        </w:tc>
        <w:tc>
          <w:tcPr>
            <w:tcW w:w="460" w:type="dxa"/>
            <w:vAlign w:val="bottom"/>
            <w:tcBorders>
              <w:bottom w:val="single" w:sz="8" w:color="0077C0"/>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0077C0"/>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1,211</w:t>
            </w:r>
          </w:p>
        </w:tc>
        <w:tc>
          <w:tcPr>
            <w:tcW w:w="560" w:type="dxa"/>
            <w:vAlign w:val="bottom"/>
            <w:tcBorders>
              <w:bottom w:val="single" w:sz="8" w:color="0077C0"/>
            </w:tcBorders>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(3,185)</w:t>
            </w:r>
          </w:p>
        </w:tc>
        <w:tc>
          <w:tcPr>
            <w:tcW w:w="580" w:type="dxa"/>
            <w:vAlign w:val="bottom"/>
            <w:tcBorders>
              <w:bottom w:val="single" w:sz="8" w:color="0077C0"/>
            </w:tcBorders>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2,125</w:t>
            </w:r>
          </w:p>
        </w:tc>
        <w:tc>
          <w:tcPr>
            <w:tcW w:w="0" w:type="dxa"/>
            <w:vAlign w:val="bottom"/>
          </w:tcPr>
          <w:p>
            <w:pPr>
              <w:spacing w:after="0"/>
              <w:rPr>
                <w:sz w:val="1"/>
                <w:szCs w:val="1"/>
                <w:color w:val="auto"/>
              </w:rPr>
            </w:pPr>
          </w:p>
        </w:tc>
      </w:tr>
      <w:tr>
        <w:trPr>
          <w:trHeight w:val="188"/>
        </w:trPr>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 includes the following cash payments:</w:t>
            </w:r>
          </w:p>
        </w:tc>
        <w:tc>
          <w:tcPr>
            <w:tcW w:w="460" w:type="dxa"/>
            <w:vAlign w:val="bottom"/>
          </w:tcPr>
          <w:p>
            <w:pPr>
              <w:spacing w:after="0"/>
              <w:rPr>
                <w:sz w:val="16"/>
                <w:szCs w:val="16"/>
                <w:color w:val="auto"/>
              </w:rPr>
            </w:pPr>
          </w:p>
        </w:tc>
        <w:tc>
          <w:tcPr>
            <w:tcW w:w="1020" w:type="dxa"/>
            <w:vAlign w:val="bottom"/>
            <w:tcBorders>
              <w:right w:val="single" w:sz="8" w:color="0077C0"/>
            </w:tcBorders>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Interest on debt (net of capitalized interest)</w:t>
            </w:r>
          </w:p>
        </w:tc>
        <w:tc>
          <w:tcPr>
            <w:tcW w:w="4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587</w:t>
            </w:r>
          </w:p>
        </w:tc>
        <w:tc>
          <w:tcPr>
            <w:tcW w:w="5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5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0" w:type="dxa"/>
            <w:vAlign w:val="bottom"/>
          </w:tcPr>
          <w:p>
            <w:pPr>
              <w:spacing w:after="0"/>
              <w:rPr>
                <w:sz w:val="1"/>
                <w:szCs w:val="1"/>
                <w:color w:val="auto"/>
              </w:rPr>
            </w:pPr>
          </w:p>
        </w:tc>
      </w:tr>
      <w:tr>
        <w:trPr>
          <w:trHeight w:val="203"/>
        </w:trPr>
        <w:tc>
          <w:tcPr>
            <w:tcW w:w="6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Income taxes</w:t>
            </w:r>
          </w:p>
        </w:tc>
        <w:tc>
          <w:tcPr>
            <w:tcW w:w="460" w:type="dxa"/>
            <w:vAlign w:val="bottom"/>
          </w:tcPr>
          <w:p>
            <w:pPr>
              <w:spacing w:after="0"/>
              <w:rPr>
                <w:sz w:val="17"/>
                <w:szCs w:val="17"/>
                <w:color w:val="auto"/>
              </w:rPr>
            </w:pPr>
          </w:p>
        </w:tc>
        <w:tc>
          <w:tcPr>
            <w:tcW w:w="102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8,458</w:t>
            </w:r>
          </w:p>
        </w:tc>
        <w:tc>
          <w:tcPr>
            <w:tcW w:w="5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10,416</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9,148</w:t>
            </w:r>
          </w:p>
        </w:tc>
        <w:tc>
          <w:tcPr>
            <w:tcW w:w="0" w:type="dxa"/>
            <w:vAlign w:val="bottom"/>
          </w:tcPr>
          <w:p>
            <w:pPr>
              <w:spacing w:after="0"/>
              <w:rPr>
                <w:sz w:val="1"/>
                <w:szCs w:val="1"/>
                <w:color w:val="auto"/>
              </w:rPr>
            </w:pPr>
          </w:p>
        </w:tc>
      </w:tr>
      <w:tr>
        <w:trPr>
          <w:trHeight w:val="23"/>
        </w:trPr>
        <w:tc>
          <w:tcPr>
            <w:tcW w:w="6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Proceeds and deposits related to asset sales and returns of investment consisted of the following gross amounts:</w:t>
            </w:r>
          </w:p>
        </w:tc>
        <w:tc>
          <w:tcPr>
            <w:tcW w:w="460" w:type="dxa"/>
            <w:vAlign w:val="bottom"/>
            <w:tcBorders>
              <w:bottom w:val="single" w:sz="8" w:color="0077C0"/>
            </w:tcBorders>
          </w:tcPr>
          <w:p>
            <w:pPr>
              <w:spacing w:after="0"/>
              <w:rPr>
                <w:sz w:val="2"/>
                <w:szCs w:val="2"/>
                <w:color w:val="auto"/>
              </w:rPr>
            </w:pPr>
          </w:p>
        </w:tc>
        <w:tc>
          <w:tcPr>
            <w:tcW w:w="1020" w:type="dxa"/>
            <w:vAlign w:val="bottom"/>
            <w:tcBorders>
              <w:bottom w:val="single" w:sz="8" w:color="0077C0"/>
              <w:right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6840" w:type="dxa"/>
            <w:vAlign w:val="bottom"/>
            <w:vMerge w:val="continue"/>
          </w:tcPr>
          <w:p>
            <w:pPr>
              <w:spacing w:after="0"/>
              <w:rPr>
                <w:sz w:val="13"/>
                <w:szCs w:val="13"/>
                <w:color w:val="auto"/>
              </w:rPr>
            </w:pPr>
          </w:p>
        </w:tc>
        <w:tc>
          <w:tcPr>
            <w:tcW w:w="46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right w:val="single" w:sz="8" w:color="0077C0"/>
            </w:tcBorders>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7,509</w:t>
            </w: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Proceeds and deposits related to asset sales</w:t>
            </w:r>
          </w:p>
        </w:tc>
        <w:tc>
          <w:tcPr>
            <w:tcW w:w="460" w:type="dxa"/>
            <w:vAlign w:val="bottom"/>
            <w:vMerge w:val="continue"/>
          </w:tcPr>
          <w:p>
            <w:pPr>
              <w:spacing w:after="0"/>
              <w:rPr>
                <w:sz w:val="17"/>
                <w:szCs w:val="17"/>
                <w:color w:val="auto"/>
              </w:rPr>
            </w:pPr>
          </w:p>
        </w:tc>
        <w:tc>
          <w:tcPr>
            <w:tcW w:w="1020" w:type="dxa"/>
            <w:vAlign w:val="bottom"/>
            <w:tcBorders>
              <w:right w:val="single" w:sz="8" w:color="0077C0"/>
            </w:tcBorders>
            <w:vMerge w:val="continue"/>
          </w:tcPr>
          <w:p>
            <w:pPr>
              <w:spacing w:after="0"/>
              <w:rPr>
                <w:sz w:val="17"/>
                <w:szCs w:val="17"/>
                <w:color w:val="auto"/>
              </w:rPr>
            </w:pPr>
          </w:p>
        </w:tc>
        <w:tc>
          <w:tcPr>
            <w:tcW w:w="5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5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1,435</w:t>
            </w:r>
          </w:p>
        </w:tc>
        <w:tc>
          <w:tcPr>
            <w:tcW w:w="0" w:type="dxa"/>
            <w:vAlign w:val="bottom"/>
          </w:tcPr>
          <w:p>
            <w:pPr>
              <w:spacing w:after="0"/>
              <w:rPr>
                <w:sz w:val="1"/>
                <w:szCs w:val="1"/>
                <w:color w:val="auto"/>
              </w:rPr>
            </w:pPr>
          </w:p>
        </w:tc>
      </w:tr>
      <w:tr>
        <w:trPr>
          <w:trHeight w:val="203"/>
        </w:trPr>
        <w:tc>
          <w:tcPr>
            <w:tcW w:w="6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Returns of investment from equity affiliates</w:t>
            </w:r>
          </w:p>
        </w:tc>
        <w:tc>
          <w:tcPr>
            <w:tcW w:w="460" w:type="dxa"/>
            <w:vAlign w:val="bottom"/>
          </w:tcPr>
          <w:p>
            <w:pPr>
              <w:spacing w:after="0"/>
              <w:rPr>
                <w:sz w:val="17"/>
                <w:szCs w:val="17"/>
                <w:color w:val="auto"/>
              </w:rPr>
            </w:pPr>
          </w:p>
        </w:tc>
        <w:tc>
          <w:tcPr>
            <w:tcW w:w="102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195</w:t>
            </w:r>
          </w:p>
        </w:tc>
        <w:tc>
          <w:tcPr>
            <w:tcW w:w="5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0" w:type="dxa"/>
            <w:vAlign w:val="bottom"/>
          </w:tcPr>
          <w:p>
            <w:pPr>
              <w:spacing w:after="0"/>
              <w:rPr>
                <w:sz w:val="1"/>
                <w:szCs w:val="1"/>
                <w:color w:val="auto"/>
              </w:rPr>
            </w:pPr>
          </w:p>
        </w:tc>
      </w:tr>
      <w:tr>
        <w:trPr>
          <w:trHeight w:val="23"/>
        </w:trPr>
        <w:tc>
          <w:tcPr>
            <w:tcW w:w="6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Proceeds and deposits related to asset sales and returns of investment</w:t>
            </w:r>
          </w:p>
        </w:tc>
        <w:tc>
          <w:tcPr>
            <w:tcW w:w="460" w:type="dxa"/>
            <w:vAlign w:val="bottom"/>
            <w:tcBorders>
              <w:bottom w:val="single" w:sz="8" w:color="0077C0"/>
            </w:tcBorders>
          </w:tcPr>
          <w:p>
            <w:pPr>
              <w:spacing w:after="0"/>
              <w:rPr>
                <w:sz w:val="2"/>
                <w:szCs w:val="2"/>
                <w:color w:val="auto"/>
              </w:rPr>
            </w:pPr>
          </w:p>
        </w:tc>
        <w:tc>
          <w:tcPr>
            <w:tcW w:w="1020" w:type="dxa"/>
            <w:vAlign w:val="bottom"/>
            <w:tcBorders>
              <w:bottom w:val="single" w:sz="8" w:color="0077C0"/>
              <w:right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40" w:type="dxa"/>
            <w:vAlign w:val="bottom"/>
            <w:tcBorders>
              <w:bottom w:val="single" w:sz="8" w:color="0077C0"/>
            </w:tcBorders>
            <w:vMerge w:val="continue"/>
          </w:tcPr>
          <w:p>
            <w:pPr>
              <w:spacing w:after="0"/>
              <w:rPr>
                <w:sz w:val="16"/>
                <w:szCs w:val="16"/>
                <w:color w:val="auto"/>
              </w:rPr>
            </w:pPr>
          </w:p>
        </w:tc>
        <w:tc>
          <w:tcPr>
            <w:tcW w:w="460" w:type="dxa"/>
            <w:vAlign w:val="bottom"/>
            <w:tcBorders>
              <w:bottom w:val="single" w:sz="8" w:color="0077C0"/>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0077C0"/>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7,704</w:t>
            </w:r>
          </w:p>
        </w:tc>
        <w:tc>
          <w:tcPr>
            <w:tcW w:w="560" w:type="dxa"/>
            <w:vAlign w:val="bottom"/>
            <w:tcBorders>
              <w:bottom w:val="single" w:sz="8" w:color="0077C0"/>
            </w:tcBorders>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580" w:type="dxa"/>
            <w:vAlign w:val="bottom"/>
            <w:tcBorders>
              <w:bottom w:val="single" w:sz="8" w:color="0077C0"/>
            </w:tcBorders>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2,635</w:t>
            </w:r>
          </w:p>
        </w:tc>
        <w:tc>
          <w:tcPr>
            <w:tcW w:w="0" w:type="dxa"/>
            <w:vAlign w:val="bottom"/>
          </w:tcPr>
          <w:p>
            <w:pPr>
              <w:spacing w:after="0"/>
              <w:rPr>
                <w:sz w:val="1"/>
                <w:szCs w:val="1"/>
                <w:color w:val="auto"/>
              </w:rPr>
            </w:pPr>
          </w:p>
        </w:tc>
      </w:tr>
      <w:tr>
        <w:trPr>
          <w:trHeight w:val="188"/>
        </w:trPr>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maturities (investments) of time deposits consisted of the following gross amounts:</w:t>
            </w:r>
          </w:p>
        </w:tc>
        <w:tc>
          <w:tcPr>
            <w:tcW w:w="460" w:type="dxa"/>
            <w:vAlign w:val="bottom"/>
          </w:tcPr>
          <w:p>
            <w:pPr>
              <w:spacing w:after="0"/>
              <w:rPr>
                <w:sz w:val="16"/>
                <w:szCs w:val="16"/>
                <w:color w:val="auto"/>
              </w:rPr>
            </w:pPr>
          </w:p>
        </w:tc>
        <w:tc>
          <w:tcPr>
            <w:tcW w:w="1020" w:type="dxa"/>
            <w:vAlign w:val="bottom"/>
            <w:tcBorders>
              <w:right w:val="single" w:sz="8" w:color="0077C0"/>
            </w:tcBorders>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Investments in time deposits</w:t>
            </w:r>
          </w:p>
        </w:tc>
        <w:tc>
          <w:tcPr>
            <w:tcW w:w="4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right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(6)</w:t>
            </w:r>
          </w:p>
        </w:tc>
        <w:tc>
          <w:tcPr>
            <w:tcW w:w="5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6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Maturities of time deposits</w:t>
            </w:r>
          </w:p>
        </w:tc>
        <w:tc>
          <w:tcPr>
            <w:tcW w:w="460" w:type="dxa"/>
            <w:vAlign w:val="bottom"/>
          </w:tcPr>
          <w:p>
            <w:pPr>
              <w:spacing w:after="0"/>
              <w:rPr>
                <w:sz w:val="17"/>
                <w:szCs w:val="17"/>
                <w:color w:val="auto"/>
              </w:rPr>
            </w:pPr>
          </w:p>
        </w:tc>
        <w:tc>
          <w:tcPr>
            <w:tcW w:w="102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w:t>
            </w:r>
          </w:p>
        </w:tc>
        <w:tc>
          <w:tcPr>
            <w:tcW w:w="5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6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maturities of (investments in) time deposits</w:t>
            </w:r>
          </w:p>
        </w:tc>
        <w:tc>
          <w:tcPr>
            <w:tcW w:w="460" w:type="dxa"/>
            <w:vAlign w:val="bottom"/>
            <w:tcBorders>
              <w:bottom w:val="single" w:sz="8" w:color="0077C0"/>
            </w:tcBorders>
          </w:tcPr>
          <w:p>
            <w:pPr>
              <w:spacing w:after="0"/>
              <w:rPr>
                <w:sz w:val="2"/>
                <w:szCs w:val="2"/>
                <w:color w:val="auto"/>
              </w:rPr>
            </w:pPr>
          </w:p>
        </w:tc>
        <w:tc>
          <w:tcPr>
            <w:tcW w:w="1020" w:type="dxa"/>
            <w:vAlign w:val="bottom"/>
            <w:tcBorders>
              <w:bottom w:val="single" w:sz="8" w:color="0077C0"/>
              <w:right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40" w:type="dxa"/>
            <w:vAlign w:val="bottom"/>
            <w:tcBorders>
              <w:bottom w:val="single" w:sz="8" w:color="0077C0"/>
            </w:tcBorders>
            <w:vMerge w:val="continue"/>
          </w:tcPr>
          <w:p>
            <w:pPr>
              <w:spacing w:after="0"/>
              <w:rPr>
                <w:sz w:val="16"/>
                <w:szCs w:val="16"/>
                <w:color w:val="auto"/>
              </w:rPr>
            </w:pPr>
          </w:p>
        </w:tc>
        <w:tc>
          <w:tcPr>
            <w:tcW w:w="460" w:type="dxa"/>
            <w:vAlign w:val="bottom"/>
            <w:tcBorders>
              <w:bottom w:val="single" w:sz="8" w:color="0077C0"/>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0077C0"/>
              <w:right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(4)</w:t>
            </w:r>
          </w:p>
        </w:tc>
        <w:tc>
          <w:tcPr>
            <w:tcW w:w="560" w:type="dxa"/>
            <w:vAlign w:val="bottom"/>
            <w:tcBorders>
              <w:bottom w:val="single" w:sz="8" w:color="0077C0"/>
            </w:tcBorders>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0077C0"/>
            </w:tcBorders>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sales (purchases) of marketable securities consisted of the following gross amounts:</w:t>
            </w:r>
          </w:p>
        </w:tc>
        <w:tc>
          <w:tcPr>
            <w:tcW w:w="460" w:type="dxa"/>
            <w:vAlign w:val="bottom"/>
          </w:tcPr>
          <w:p>
            <w:pPr>
              <w:spacing w:after="0"/>
              <w:rPr>
                <w:sz w:val="16"/>
                <w:szCs w:val="16"/>
                <w:color w:val="auto"/>
              </w:rPr>
            </w:pPr>
          </w:p>
        </w:tc>
        <w:tc>
          <w:tcPr>
            <w:tcW w:w="1020" w:type="dxa"/>
            <w:vAlign w:val="bottom"/>
            <w:tcBorders>
              <w:right w:val="single" w:sz="8" w:color="0077C0"/>
            </w:tcBorders>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Marketable securities purchased</w:t>
            </w:r>
          </w:p>
        </w:tc>
        <w:tc>
          <w:tcPr>
            <w:tcW w:w="4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5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3"/>
        </w:trPr>
        <w:tc>
          <w:tcPr>
            <w:tcW w:w="6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Marketable securities sold</w:t>
            </w:r>
          </w:p>
        </w:tc>
        <w:tc>
          <w:tcPr>
            <w:tcW w:w="460" w:type="dxa"/>
            <w:vAlign w:val="bottom"/>
          </w:tcPr>
          <w:p>
            <w:pPr>
              <w:spacing w:after="0"/>
              <w:rPr>
                <w:sz w:val="17"/>
                <w:szCs w:val="17"/>
                <w:color w:val="auto"/>
              </w:rPr>
            </w:pPr>
          </w:p>
        </w:tc>
        <w:tc>
          <w:tcPr>
            <w:tcW w:w="102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45</w:t>
            </w:r>
          </w:p>
        </w:tc>
        <w:tc>
          <w:tcPr>
            <w:tcW w:w="5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23"/>
        </w:trPr>
        <w:tc>
          <w:tcPr>
            <w:tcW w:w="6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sales (purchases) of marketable securities</w:t>
            </w:r>
          </w:p>
        </w:tc>
        <w:tc>
          <w:tcPr>
            <w:tcW w:w="460" w:type="dxa"/>
            <w:vAlign w:val="bottom"/>
            <w:tcBorders>
              <w:bottom w:val="single" w:sz="8" w:color="0077C0"/>
            </w:tcBorders>
          </w:tcPr>
          <w:p>
            <w:pPr>
              <w:spacing w:after="0"/>
              <w:rPr>
                <w:sz w:val="2"/>
                <w:szCs w:val="2"/>
                <w:color w:val="auto"/>
              </w:rPr>
            </w:pPr>
          </w:p>
        </w:tc>
        <w:tc>
          <w:tcPr>
            <w:tcW w:w="1020" w:type="dxa"/>
            <w:vAlign w:val="bottom"/>
            <w:tcBorders>
              <w:bottom w:val="single" w:sz="8" w:color="0077C0"/>
              <w:right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40" w:type="dxa"/>
            <w:vAlign w:val="bottom"/>
            <w:tcBorders>
              <w:bottom w:val="single" w:sz="8" w:color="0077C0"/>
            </w:tcBorders>
            <w:vMerge w:val="continue"/>
          </w:tcPr>
          <w:p>
            <w:pPr>
              <w:spacing w:after="0"/>
              <w:rPr>
                <w:sz w:val="16"/>
                <w:szCs w:val="16"/>
                <w:color w:val="auto"/>
              </w:rPr>
            </w:pPr>
          </w:p>
        </w:tc>
        <w:tc>
          <w:tcPr>
            <w:tcW w:w="460" w:type="dxa"/>
            <w:vAlign w:val="bottom"/>
            <w:tcBorders>
              <w:bottom w:val="single" w:sz="8" w:color="0077C0"/>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0077C0"/>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45</w:t>
            </w:r>
          </w:p>
        </w:tc>
        <w:tc>
          <w:tcPr>
            <w:tcW w:w="560" w:type="dxa"/>
            <w:vAlign w:val="bottom"/>
            <w:tcBorders>
              <w:bottom w:val="single" w:sz="8" w:color="0077C0"/>
            </w:tcBorders>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580" w:type="dxa"/>
            <w:vAlign w:val="bottom"/>
            <w:tcBorders>
              <w:bottom w:val="single" w:sz="8" w:color="0077C0"/>
            </w:tcBorders>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188"/>
        </w:trPr>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repayment (borrowing) of loans by equity affiliates:</w:t>
            </w:r>
          </w:p>
        </w:tc>
        <w:tc>
          <w:tcPr>
            <w:tcW w:w="460" w:type="dxa"/>
            <w:vAlign w:val="bottom"/>
          </w:tcPr>
          <w:p>
            <w:pPr>
              <w:spacing w:after="0"/>
              <w:rPr>
                <w:sz w:val="16"/>
                <w:szCs w:val="16"/>
                <w:color w:val="auto"/>
              </w:rPr>
            </w:pPr>
          </w:p>
        </w:tc>
        <w:tc>
          <w:tcPr>
            <w:tcW w:w="1020" w:type="dxa"/>
            <w:vAlign w:val="bottom"/>
            <w:tcBorders>
              <w:right w:val="single" w:sz="8" w:color="0077C0"/>
            </w:tcBorders>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Borrowing of loans by equity affiliates</w:t>
            </w:r>
          </w:p>
        </w:tc>
        <w:tc>
          <w:tcPr>
            <w:tcW w:w="4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right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(304)</w:t>
            </w:r>
          </w:p>
        </w:tc>
        <w:tc>
          <w:tcPr>
            <w:tcW w:w="5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5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203"/>
        </w:trPr>
        <w:tc>
          <w:tcPr>
            <w:tcW w:w="6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Repayment of loans by equity affiliates</w:t>
            </w:r>
          </w:p>
        </w:tc>
        <w:tc>
          <w:tcPr>
            <w:tcW w:w="460" w:type="dxa"/>
            <w:vAlign w:val="bottom"/>
          </w:tcPr>
          <w:p>
            <w:pPr>
              <w:spacing w:after="0"/>
              <w:rPr>
                <w:sz w:val="17"/>
                <w:szCs w:val="17"/>
                <w:color w:val="auto"/>
              </w:rPr>
            </w:pPr>
          </w:p>
        </w:tc>
        <w:tc>
          <w:tcPr>
            <w:tcW w:w="102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71</w:t>
            </w:r>
          </w:p>
        </w:tc>
        <w:tc>
          <w:tcPr>
            <w:tcW w:w="5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23"/>
        </w:trPr>
        <w:tc>
          <w:tcPr>
            <w:tcW w:w="6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repayment (borrowing) of loans by equity affiliates</w:t>
            </w:r>
          </w:p>
        </w:tc>
        <w:tc>
          <w:tcPr>
            <w:tcW w:w="460" w:type="dxa"/>
            <w:vAlign w:val="bottom"/>
            <w:tcBorders>
              <w:bottom w:val="single" w:sz="8" w:color="0077C0"/>
            </w:tcBorders>
          </w:tcPr>
          <w:p>
            <w:pPr>
              <w:spacing w:after="0"/>
              <w:rPr>
                <w:sz w:val="2"/>
                <w:szCs w:val="2"/>
                <w:color w:val="auto"/>
              </w:rPr>
            </w:pPr>
          </w:p>
        </w:tc>
        <w:tc>
          <w:tcPr>
            <w:tcW w:w="1020" w:type="dxa"/>
            <w:vAlign w:val="bottom"/>
            <w:tcBorders>
              <w:bottom w:val="single" w:sz="8" w:color="0077C0"/>
              <w:right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40" w:type="dxa"/>
            <w:vAlign w:val="bottom"/>
            <w:tcBorders>
              <w:bottom w:val="single" w:sz="8" w:color="0077C0"/>
            </w:tcBorders>
            <w:vMerge w:val="continue"/>
          </w:tcPr>
          <w:p>
            <w:pPr>
              <w:spacing w:after="0"/>
              <w:rPr>
                <w:sz w:val="16"/>
                <w:szCs w:val="16"/>
                <w:color w:val="auto"/>
              </w:rPr>
            </w:pPr>
          </w:p>
        </w:tc>
        <w:tc>
          <w:tcPr>
            <w:tcW w:w="460" w:type="dxa"/>
            <w:vAlign w:val="bottom"/>
            <w:tcBorders>
              <w:bottom w:val="single" w:sz="8" w:color="0077C0"/>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0077C0"/>
              <w:right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(233)</w:t>
            </w:r>
          </w:p>
        </w:tc>
        <w:tc>
          <w:tcPr>
            <w:tcW w:w="560" w:type="dxa"/>
            <w:vAlign w:val="bottom"/>
            <w:tcBorders>
              <w:bottom w:val="single" w:sz="8" w:color="0077C0"/>
            </w:tcBorders>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580" w:type="dxa"/>
            <w:vAlign w:val="bottom"/>
            <w:tcBorders>
              <w:bottom w:val="single" w:sz="8" w:color="0077C0"/>
            </w:tcBorders>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88"/>
        </w:trPr>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borrowings (repayments) of short-term obligations consisted of the following gross and net amounts:</w:t>
            </w:r>
          </w:p>
        </w:tc>
        <w:tc>
          <w:tcPr>
            <w:tcW w:w="460" w:type="dxa"/>
            <w:vAlign w:val="bottom"/>
          </w:tcPr>
          <w:p>
            <w:pPr>
              <w:spacing w:after="0"/>
              <w:rPr>
                <w:sz w:val="16"/>
                <w:szCs w:val="16"/>
                <w:color w:val="auto"/>
              </w:rPr>
            </w:pPr>
          </w:p>
        </w:tc>
        <w:tc>
          <w:tcPr>
            <w:tcW w:w="1020" w:type="dxa"/>
            <w:vAlign w:val="bottom"/>
            <w:tcBorders>
              <w:right w:val="single" w:sz="8" w:color="0077C0"/>
            </w:tcBorders>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Repayments of short-term obligations</w:t>
            </w:r>
          </w:p>
        </w:tc>
        <w:tc>
          <w:tcPr>
            <w:tcW w:w="4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right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(840)</w:t>
            </w:r>
          </w:p>
        </w:tc>
        <w:tc>
          <w:tcPr>
            <w:tcW w:w="5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6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Proceeds from issuances of short-term debt obligations</w:t>
            </w:r>
          </w:p>
        </w:tc>
        <w:tc>
          <w:tcPr>
            <w:tcW w:w="460" w:type="dxa"/>
            <w:vAlign w:val="bottom"/>
          </w:tcPr>
          <w:p>
            <w:pPr>
              <w:spacing w:after="0"/>
              <w:rPr>
                <w:sz w:val="17"/>
                <w:szCs w:val="17"/>
                <w:color w:val="auto"/>
              </w:rPr>
            </w:pPr>
          </w:p>
        </w:tc>
        <w:tc>
          <w:tcPr>
            <w:tcW w:w="102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4,539</w:t>
            </w:r>
          </w:p>
        </w:tc>
        <w:tc>
          <w:tcPr>
            <w:tcW w:w="5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6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Net borrowings (repayments) of short-term obligations with three months or less maturity</w:t>
            </w:r>
          </w:p>
        </w:tc>
        <w:tc>
          <w:tcPr>
            <w:tcW w:w="460" w:type="dxa"/>
            <w:vAlign w:val="bottom"/>
          </w:tcPr>
          <w:p>
            <w:pPr>
              <w:spacing w:after="0"/>
              <w:rPr>
                <w:sz w:val="17"/>
                <w:szCs w:val="17"/>
                <w:color w:val="auto"/>
              </w:rPr>
            </w:pPr>
          </w:p>
        </w:tc>
        <w:tc>
          <w:tcPr>
            <w:tcW w:w="102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1,169</w:t>
            </w:r>
          </w:p>
        </w:tc>
        <w:tc>
          <w:tcPr>
            <w:tcW w:w="5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0" w:type="dxa"/>
            <w:vAlign w:val="bottom"/>
          </w:tcPr>
          <w:p>
            <w:pPr>
              <w:spacing w:after="0"/>
              <w:rPr>
                <w:sz w:val="1"/>
                <w:szCs w:val="1"/>
                <w:color w:val="auto"/>
              </w:rPr>
            </w:pPr>
          </w:p>
        </w:tc>
      </w:tr>
      <w:tr>
        <w:trPr>
          <w:trHeight w:val="23"/>
        </w:trPr>
        <w:tc>
          <w:tcPr>
            <w:tcW w:w="6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borrowings (repayments) of short-term obligations</w:t>
            </w:r>
          </w:p>
        </w:tc>
        <w:tc>
          <w:tcPr>
            <w:tcW w:w="460" w:type="dxa"/>
            <w:vAlign w:val="bottom"/>
            <w:tcBorders>
              <w:bottom w:val="single" w:sz="8" w:color="0077C0"/>
            </w:tcBorders>
          </w:tcPr>
          <w:p>
            <w:pPr>
              <w:spacing w:after="0"/>
              <w:rPr>
                <w:sz w:val="2"/>
                <w:szCs w:val="2"/>
                <w:color w:val="auto"/>
              </w:rPr>
            </w:pPr>
          </w:p>
        </w:tc>
        <w:tc>
          <w:tcPr>
            <w:tcW w:w="1020" w:type="dxa"/>
            <w:vAlign w:val="bottom"/>
            <w:tcBorders>
              <w:bottom w:val="single" w:sz="8" w:color="0077C0"/>
              <w:right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40" w:type="dxa"/>
            <w:vAlign w:val="bottom"/>
            <w:tcBorders>
              <w:bottom w:val="single" w:sz="8" w:color="0077C0"/>
            </w:tcBorders>
            <w:vMerge w:val="continue"/>
          </w:tcPr>
          <w:p>
            <w:pPr>
              <w:spacing w:after="0"/>
              <w:rPr>
                <w:sz w:val="16"/>
                <w:szCs w:val="16"/>
                <w:color w:val="auto"/>
              </w:rPr>
            </w:pPr>
          </w:p>
        </w:tc>
        <w:tc>
          <w:tcPr>
            <w:tcW w:w="460" w:type="dxa"/>
            <w:vAlign w:val="bottom"/>
            <w:tcBorders>
              <w:bottom w:val="single" w:sz="8" w:color="0077C0"/>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0077C0"/>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4,868</w:t>
            </w:r>
          </w:p>
        </w:tc>
        <w:tc>
          <w:tcPr>
            <w:tcW w:w="560" w:type="dxa"/>
            <w:vAlign w:val="bottom"/>
            <w:tcBorders>
              <w:bottom w:val="single" w:sz="8" w:color="0077C0"/>
            </w:tcBorders>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580" w:type="dxa"/>
            <w:vAlign w:val="bottom"/>
            <w:tcBorders>
              <w:bottom w:val="single" w:sz="8" w:color="0077C0"/>
            </w:tcBorders>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0" w:type="dxa"/>
            <w:vAlign w:val="bottom"/>
          </w:tcPr>
          <w:p>
            <w:pPr>
              <w:spacing w:after="0"/>
              <w:rPr>
                <w:sz w:val="1"/>
                <w:szCs w:val="1"/>
                <w:color w:val="auto"/>
              </w:rPr>
            </w:pPr>
          </w:p>
        </w:tc>
      </w:tr>
      <w:tr>
        <w:trPr>
          <w:trHeight w:val="188"/>
        </w:trPr>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sales (purchases) of treasury shares consists of the following gross and net amounts:</w:t>
            </w:r>
          </w:p>
        </w:tc>
        <w:tc>
          <w:tcPr>
            <w:tcW w:w="460" w:type="dxa"/>
            <w:vAlign w:val="bottom"/>
          </w:tcPr>
          <w:p>
            <w:pPr>
              <w:spacing w:after="0"/>
              <w:rPr>
                <w:sz w:val="16"/>
                <w:szCs w:val="16"/>
                <w:color w:val="auto"/>
              </w:rPr>
            </w:pPr>
          </w:p>
        </w:tc>
        <w:tc>
          <w:tcPr>
            <w:tcW w:w="1020" w:type="dxa"/>
            <w:vAlign w:val="bottom"/>
            <w:tcBorders>
              <w:right w:val="single" w:sz="8" w:color="0077C0"/>
            </w:tcBorders>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Shares issued for share-based compensation plans</w:t>
            </w:r>
          </w:p>
        </w:tc>
        <w:tc>
          <w:tcPr>
            <w:tcW w:w="4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330</w:t>
            </w:r>
          </w:p>
        </w:tc>
        <w:tc>
          <w:tcPr>
            <w:tcW w:w="5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5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5,838</w:t>
            </w:r>
          </w:p>
        </w:tc>
        <w:tc>
          <w:tcPr>
            <w:tcW w:w="0" w:type="dxa"/>
            <w:vAlign w:val="bottom"/>
          </w:tcPr>
          <w:p>
            <w:pPr>
              <w:spacing w:after="0"/>
              <w:rPr>
                <w:sz w:val="1"/>
                <w:szCs w:val="1"/>
                <w:color w:val="auto"/>
              </w:rPr>
            </w:pPr>
          </w:p>
        </w:tc>
      </w:tr>
      <w:tr>
        <w:trPr>
          <w:trHeight w:val="203"/>
        </w:trPr>
        <w:tc>
          <w:tcPr>
            <w:tcW w:w="6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Shares purchased under share repurchase and deferred compensation plans</w:t>
            </w:r>
          </w:p>
        </w:tc>
        <w:tc>
          <w:tcPr>
            <w:tcW w:w="460" w:type="dxa"/>
            <w:vAlign w:val="bottom"/>
          </w:tcPr>
          <w:p>
            <w:pPr>
              <w:spacing w:after="0"/>
              <w:rPr>
                <w:sz w:val="17"/>
                <w:szCs w:val="17"/>
                <w:color w:val="auto"/>
              </w:rPr>
            </w:pPr>
          </w:p>
        </w:tc>
        <w:tc>
          <w:tcPr>
            <w:tcW w:w="1020" w:type="dxa"/>
            <w:vAlign w:val="bottom"/>
            <w:tcBorders>
              <w:right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(15,229)</w:t>
            </w:r>
          </w:p>
        </w:tc>
        <w:tc>
          <w:tcPr>
            <w:tcW w:w="5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(14,939)</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(11,255)</w:t>
            </w:r>
          </w:p>
        </w:tc>
        <w:tc>
          <w:tcPr>
            <w:tcW w:w="0" w:type="dxa"/>
            <w:vAlign w:val="bottom"/>
          </w:tcPr>
          <w:p>
            <w:pPr>
              <w:spacing w:after="0"/>
              <w:rPr>
                <w:sz w:val="1"/>
                <w:szCs w:val="1"/>
                <w:color w:val="auto"/>
              </w:rPr>
            </w:pPr>
          </w:p>
        </w:tc>
      </w:tr>
      <w:tr>
        <w:trPr>
          <w:trHeight w:val="203"/>
        </w:trPr>
        <w:tc>
          <w:tcPr>
            <w:tcW w:w="6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Share repurchase excise tax payments</w:t>
            </w:r>
          </w:p>
        </w:tc>
        <w:tc>
          <w:tcPr>
            <w:tcW w:w="460" w:type="dxa"/>
            <w:vAlign w:val="bottom"/>
          </w:tcPr>
          <w:p>
            <w:pPr>
              <w:spacing w:after="0"/>
              <w:rPr>
                <w:sz w:val="17"/>
                <w:szCs w:val="17"/>
                <w:color w:val="auto"/>
              </w:rPr>
            </w:pPr>
          </w:p>
        </w:tc>
        <w:tc>
          <w:tcPr>
            <w:tcW w:w="1020" w:type="dxa"/>
            <w:vAlign w:val="bottom"/>
            <w:tcBorders>
              <w:right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(145)</w:t>
            </w:r>
          </w:p>
        </w:tc>
        <w:tc>
          <w:tcPr>
            <w:tcW w:w="5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6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sales (purchases) of treasury shares</w:t>
            </w:r>
          </w:p>
        </w:tc>
        <w:tc>
          <w:tcPr>
            <w:tcW w:w="460" w:type="dxa"/>
            <w:vAlign w:val="bottom"/>
            <w:tcBorders>
              <w:bottom w:val="single" w:sz="8" w:color="0077C0"/>
            </w:tcBorders>
          </w:tcPr>
          <w:p>
            <w:pPr>
              <w:spacing w:after="0"/>
              <w:rPr>
                <w:sz w:val="2"/>
                <w:szCs w:val="2"/>
                <w:color w:val="auto"/>
              </w:rPr>
            </w:pPr>
          </w:p>
        </w:tc>
        <w:tc>
          <w:tcPr>
            <w:tcW w:w="1020" w:type="dxa"/>
            <w:vAlign w:val="bottom"/>
            <w:tcBorders>
              <w:bottom w:val="single" w:sz="8" w:color="0077C0"/>
              <w:right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40" w:type="dxa"/>
            <w:vAlign w:val="bottom"/>
            <w:tcBorders>
              <w:bottom w:val="single" w:sz="8" w:color="0077C0"/>
            </w:tcBorders>
            <w:vMerge w:val="continue"/>
          </w:tcPr>
          <w:p>
            <w:pPr>
              <w:spacing w:after="0"/>
              <w:rPr>
                <w:sz w:val="16"/>
                <w:szCs w:val="16"/>
                <w:color w:val="auto"/>
              </w:rPr>
            </w:pPr>
          </w:p>
        </w:tc>
        <w:tc>
          <w:tcPr>
            <w:tcW w:w="460" w:type="dxa"/>
            <w:vAlign w:val="bottom"/>
            <w:tcBorders>
              <w:bottom w:val="single" w:sz="8" w:color="0077C0"/>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0077C0"/>
              <w:right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(15,044)</w:t>
            </w:r>
          </w:p>
        </w:tc>
        <w:tc>
          <w:tcPr>
            <w:tcW w:w="560" w:type="dxa"/>
            <w:vAlign w:val="bottom"/>
            <w:tcBorders>
              <w:bottom w:val="single" w:sz="8" w:color="0077C0"/>
            </w:tcBorders>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(14,678)</w:t>
            </w:r>
          </w:p>
        </w:tc>
        <w:tc>
          <w:tcPr>
            <w:tcW w:w="580" w:type="dxa"/>
            <w:vAlign w:val="bottom"/>
            <w:tcBorders>
              <w:bottom w:val="single" w:sz="8" w:color="0077C0"/>
            </w:tcBorders>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(5,417)</w:t>
            </w:r>
          </w:p>
        </w:tc>
        <w:tc>
          <w:tcPr>
            <w:tcW w:w="0" w:type="dxa"/>
            <w:vAlign w:val="bottom"/>
          </w:tcPr>
          <w:p>
            <w:pPr>
              <w:spacing w:after="0"/>
              <w:rPr>
                <w:sz w:val="1"/>
                <w:szCs w:val="1"/>
                <w:color w:val="auto"/>
              </w:rPr>
            </w:pPr>
          </w:p>
        </w:tc>
      </w:tr>
      <w:tr>
        <w:trPr>
          <w:trHeight w:val="188"/>
        </w:trPr>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contributions from (distributions to) noncontrolling interests consisted of the following gross and net amounts:</w:t>
            </w:r>
          </w:p>
        </w:tc>
        <w:tc>
          <w:tcPr>
            <w:tcW w:w="460" w:type="dxa"/>
            <w:vAlign w:val="bottom"/>
          </w:tcPr>
          <w:p>
            <w:pPr>
              <w:spacing w:after="0"/>
              <w:rPr>
                <w:sz w:val="16"/>
                <w:szCs w:val="16"/>
                <w:color w:val="auto"/>
              </w:rPr>
            </w:pPr>
          </w:p>
        </w:tc>
        <w:tc>
          <w:tcPr>
            <w:tcW w:w="1020" w:type="dxa"/>
            <w:vAlign w:val="bottom"/>
            <w:tcBorders>
              <w:right w:val="single" w:sz="8" w:color="0077C0"/>
            </w:tcBorders>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4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right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(210)</w:t>
            </w:r>
          </w:p>
        </w:tc>
        <w:tc>
          <w:tcPr>
            <w:tcW w:w="5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5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203"/>
        </w:trPr>
        <w:tc>
          <w:tcPr>
            <w:tcW w:w="6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460" w:type="dxa"/>
            <w:vAlign w:val="bottom"/>
          </w:tcPr>
          <w:p>
            <w:pPr>
              <w:spacing w:after="0"/>
              <w:rPr>
                <w:sz w:val="17"/>
                <w:szCs w:val="17"/>
                <w:color w:val="auto"/>
              </w:rPr>
            </w:pPr>
          </w:p>
        </w:tc>
        <w:tc>
          <w:tcPr>
            <w:tcW w:w="102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15</w:t>
            </w:r>
          </w:p>
        </w:tc>
        <w:tc>
          <w:tcPr>
            <w:tcW w:w="5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3"/>
        </w:trPr>
        <w:tc>
          <w:tcPr>
            <w:tcW w:w="6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contributions from (distributions to) noncontrolling interests</w:t>
            </w:r>
          </w:p>
        </w:tc>
        <w:tc>
          <w:tcPr>
            <w:tcW w:w="460" w:type="dxa"/>
            <w:vAlign w:val="bottom"/>
            <w:tcBorders>
              <w:bottom w:val="single" w:sz="8" w:color="0077C0"/>
            </w:tcBorders>
          </w:tcPr>
          <w:p>
            <w:pPr>
              <w:spacing w:after="0"/>
              <w:rPr>
                <w:sz w:val="2"/>
                <w:szCs w:val="2"/>
                <w:color w:val="auto"/>
              </w:rPr>
            </w:pPr>
          </w:p>
        </w:tc>
        <w:tc>
          <w:tcPr>
            <w:tcW w:w="1020" w:type="dxa"/>
            <w:vAlign w:val="bottom"/>
            <w:tcBorders>
              <w:bottom w:val="single" w:sz="8" w:color="0077C0"/>
              <w:right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40" w:type="dxa"/>
            <w:vAlign w:val="bottom"/>
            <w:tcBorders>
              <w:bottom w:val="single" w:sz="8" w:color="0077C0"/>
            </w:tcBorders>
            <w:vMerge w:val="continue"/>
          </w:tcPr>
          <w:p>
            <w:pPr>
              <w:spacing w:after="0"/>
              <w:rPr>
                <w:sz w:val="16"/>
                <w:szCs w:val="16"/>
                <w:color w:val="auto"/>
              </w:rPr>
            </w:pPr>
          </w:p>
        </w:tc>
        <w:tc>
          <w:tcPr>
            <w:tcW w:w="460" w:type="dxa"/>
            <w:vAlign w:val="bottom"/>
            <w:tcBorders>
              <w:bottom w:val="single" w:sz="8" w:color="0077C0"/>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0077C0"/>
              <w:right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(195)</w:t>
            </w:r>
          </w:p>
        </w:tc>
        <w:tc>
          <w:tcPr>
            <w:tcW w:w="560" w:type="dxa"/>
            <w:vAlign w:val="bottom"/>
            <w:tcBorders>
              <w:bottom w:val="single" w:sz="8" w:color="0077C0"/>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w:t>
            </w:r>
          </w:p>
        </w:tc>
        <w:tc>
          <w:tcPr>
            <w:tcW w:w="580" w:type="dxa"/>
            <w:vAlign w:val="bottom"/>
            <w:tcBorders>
              <w:bottom w:val="single" w:sz="8" w:color="0077C0"/>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(114)</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 xml:space="preserve">The “Other” line in the Operating Activities section includes changes in asset retirement obligations, decommissioning obligations associated with previously divested assets, post-employment benefit obligations and other long-term liabilities. Refer also to </w:t>
      </w:r>
      <w:r>
        <w:rPr>
          <w:rFonts w:ascii="Times New Roman" w:cs="Times New Roman" w:eastAsia="Times New Roman" w:hAnsi="Times New Roman"/>
          <w:sz w:val="18"/>
          <w:szCs w:val="18"/>
          <w:u w:val="single" w:color="auto"/>
          <w:color w:val="0000FF"/>
        </w:rPr>
        <w:t>Note 25 Asset Retirement Obligations</w:t>
      </w:r>
      <w:r>
        <w:rPr>
          <w:rFonts w:ascii="Times New Roman" w:cs="Times New Roman" w:eastAsia="Times New Roman" w:hAnsi="Times New Roman"/>
          <w:sz w:val="18"/>
          <w:szCs w:val="18"/>
          <w:color w:val="auto"/>
        </w:rPr>
        <w:t xml:space="preserve"> for a discussion of the company’s AROs activity, including revisions that did not involve cash receipts or payments</w:t>
      </w:r>
      <w:r>
        <w:rPr>
          <w:rFonts w:ascii="Times New Roman" w:cs="Times New Roman" w:eastAsia="Times New Roman" w:hAnsi="Times New Roman"/>
          <w:sz w:val="18"/>
          <w:szCs w:val="18"/>
          <w:color w:val="E21836"/>
        </w:rPr>
        <w:t>.</w:t>
      </w:r>
    </w:p>
    <w:p>
      <w:pPr>
        <w:spacing w:after="0" w:line="6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Consolidated Statement of Cash Flows excludes changes to the Consolidated Balance Sheet that did not affect cash. “Depreciation, depletion and amortization” and “Deferred income tax provision” collectively include approximately $400</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74" w:name="page75"/>
    <w:bookmarkEnd w:id="74"/>
    <w:p>
      <w:pPr>
        <w:ind w:left="20"/>
        <w:spacing w:after="0"/>
        <w:tabs>
          <w:tab w:leader="none" w:pos="9460" w:val="left"/>
        </w:tabs>
        <w:rPr>
          <w:sz w:val="20"/>
          <w:szCs w:val="20"/>
          <w:color w:val="auto"/>
        </w:rPr>
      </w:pPr>
      <w:r>
        <w:rPr>
          <w:rFonts w:ascii="Arial" w:cs="Arial" w:eastAsia="Arial" w:hAnsi="Arial"/>
          <w:sz w:val="14"/>
          <w:szCs w:val="14"/>
          <w:color w:val="0077C0"/>
        </w:rPr>
        <w:t>Notes to the Consolidated Financial Statements</w:t>
      </w:r>
      <w:r>
        <w:rPr>
          <w:sz w:val="20"/>
          <w:szCs w:val="20"/>
          <w:color w:val="auto"/>
        </w:rPr>
        <w:tab/>
      </w:r>
      <w:r>
        <w:rPr>
          <w:rFonts w:ascii="Arial" w:cs="Arial" w:eastAsia="Arial" w:hAnsi="Arial"/>
          <w:sz w:val="14"/>
          <w:szCs w:val="14"/>
          <w:color w:val="0077C0"/>
        </w:rPr>
        <w:t>Financial Table of Contents</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11"/>
          <w:szCs w:val="11"/>
          <w:color w:val="0077C0"/>
        </w:rPr>
        <w:t>Millions of dollars, except per-share amounts</w:t>
      </w:r>
    </w:p>
    <w:p>
      <w:pPr>
        <w:spacing w:after="0" w:line="200" w:lineRule="exact"/>
        <w:rPr>
          <w:sz w:val="20"/>
          <w:szCs w:val="20"/>
          <w:color w:val="auto"/>
        </w:rPr>
      </w:pPr>
    </w:p>
    <w:p>
      <w:pPr>
        <w:spacing w:after="0" w:line="37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non-cash reductions to “Properties, plant and equipment” and “Investments and advances” in 2024 relating to impairments. “Operating expenses” and “Deferred income tax provision” include an approximately $715 severance charge related to non-cash increases to “Net decrease (increase) in operating working capital” and “Other” associated with employee severance. The cash outlay for severance payments is expected to take place through 2026.</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“Capital expenditures” are presented in the following table: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Year ended December 31</w:t>
            </w:r>
          </w:p>
        </w:tc>
      </w:tr>
      <w:tr>
        <w:trPr>
          <w:trHeight w:val="23"/>
        </w:trPr>
        <w:tc>
          <w:tcPr>
            <w:tcW w:w="6560" w:type="dxa"/>
            <w:vAlign w:val="bottom"/>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104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96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r>
      <w:tr>
        <w:trPr>
          <w:trHeight w:val="190"/>
        </w:trPr>
        <w:tc>
          <w:tcPr>
            <w:tcW w:w="6560" w:type="dxa"/>
            <w:vAlign w:val="bottom"/>
            <w:tcBorders>
              <w:bottom w:val="single" w:sz="8" w:color="0077C0"/>
            </w:tcBorders>
          </w:tcPr>
          <w:p>
            <w:pPr>
              <w:spacing w:after="0"/>
              <w:rPr>
                <w:sz w:val="16"/>
                <w:szCs w:val="16"/>
                <w:color w:val="auto"/>
              </w:rPr>
            </w:pPr>
          </w:p>
        </w:tc>
        <w:tc>
          <w:tcPr>
            <w:tcW w:w="540" w:type="dxa"/>
            <w:vAlign w:val="bottom"/>
            <w:tcBorders>
              <w:bottom w:val="single" w:sz="8" w:color="0077C0"/>
            </w:tcBorders>
          </w:tcPr>
          <w:p>
            <w:pPr>
              <w:spacing w:after="0"/>
              <w:rPr>
                <w:sz w:val="16"/>
                <w:szCs w:val="16"/>
                <w:color w:val="auto"/>
              </w:rPr>
            </w:pPr>
          </w:p>
        </w:tc>
        <w:tc>
          <w:tcPr>
            <w:tcW w:w="104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0077C0"/>
            </w:tcBorders>
          </w:tcPr>
          <w:p>
            <w:pPr>
              <w:spacing w:after="0"/>
              <w:rPr>
                <w:sz w:val="16"/>
                <w:szCs w:val="16"/>
                <w:color w:val="auto"/>
              </w:rPr>
            </w:pPr>
          </w:p>
        </w:tc>
        <w:tc>
          <w:tcPr>
            <w:tcW w:w="9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600" w:type="dxa"/>
            <w:vAlign w:val="bottom"/>
            <w:tcBorders>
              <w:bottom w:val="single" w:sz="8" w:color="0077C0"/>
            </w:tcBorders>
          </w:tcPr>
          <w:p>
            <w:pPr>
              <w:spacing w:after="0"/>
              <w:rPr>
                <w:sz w:val="16"/>
                <w:szCs w:val="16"/>
                <w:color w:val="auto"/>
              </w:rPr>
            </w:pPr>
          </w:p>
        </w:tc>
        <w:tc>
          <w:tcPr>
            <w:tcW w:w="9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r>
      <w:tr>
        <w:trPr>
          <w:trHeight w:val="191"/>
        </w:trPr>
        <w:tc>
          <w:tcPr>
            <w:tcW w:w="6560" w:type="dxa"/>
            <w:vAlign w:val="bottom"/>
          </w:tcPr>
          <w:p>
            <w:pPr>
              <w:ind w:left="20"/>
              <w:spacing w:after="0" w:line="191" w:lineRule="exact"/>
              <w:rPr>
                <w:sz w:val="20"/>
                <w:szCs w:val="20"/>
                <w:color w:val="auto"/>
              </w:rPr>
            </w:pPr>
            <w:r>
              <w:rPr>
                <w:rFonts w:ascii="Times New Roman" w:cs="Times New Roman" w:eastAsia="Times New Roman" w:hAnsi="Times New Roman"/>
                <w:sz w:val="14"/>
                <w:szCs w:val="14"/>
                <w:color w:val="auto"/>
              </w:rPr>
              <w:t>Additions to properties, plant and equipment</w:t>
            </w:r>
            <w:r>
              <w:rPr>
                <w:rFonts w:ascii="Times New Roman" w:cs="Times New Roman" w:eastAsia="Times New Roman" w:hAnsi="Times New Roman"/>
                <w:sz w:val="18"/>
                <w:szCs w:val="18"/>
                <w:color w:val="auto"/>
                <w:vertAlign w:val="superscript"/>
              </w:rPr>
              <w:t>*</w:t>
            </w:r>
          </w:p>
        </w:tc>
        <w:tc>
          <w:tcPr>
            <w:tcW w:w="5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15,544</w:t>
            </w:r>
          </w:p>
        </w:tc>
        <w:tc>
          <w:tcPr>
            <w:tcW w:w="6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14,788</w:t>
            </w:r>
          </w:p>
        </w:tc>
        <w:tc>
          <w:tcPr>
            <w:tcW w:w="6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10,349</w:t>
            </w:r>
          </w:p>
        </w:tc>
      </w:tr>
      <w:tr>
        <w:trPr>
          <w:trHeight w:val="190"/>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 to investments</w:t>
            </w:r>
          </w:p>
        </w:tc>
        <w:tc>
          <w:tcPr>
            <w:tcW w:w="540" w:type="dxa"/>
            <w:vAlign w:val="bottom"/>
          </w:tcPr>
          <w:p>
            <w:pPr>
              <w:spacing w:after="0"/>
              <w:rPr>
                <w:sz w:val="16"/>
                <w:szCs w:val="16"/>
                <w:color w:val="auto"/>
              </w:rPr>
            </w:pPr>
          </w:p>
        </w:tc>
        <w:tc>
          <w:tcPr>
            <w:tcW w:w="104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573</w:t>
            </w:r>
          </w:p>
        </w:tc>
        <w:tc>
          <w:tcPr>
            <w:tcW w:w="62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690</w:t>
            </w: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w:t>
            </w:r>
          </w:p>
        </w:tc>
      </w:tr>
      <w:tr>
        <w:trPr>
          <w:trHeight w:val="203"/>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Current-year dry hole expenditures</w:t>
            </w:r>
          </w:p>
        </w:tc>
        <w:tc>
          <w:tcPr>
            <w:tcW w:w="540" w:type="dxa"/>
            <w:vAlign w:val="bottom"/>
          </w:tcPr>
          <w:p>
            <w:pPr>
              <w:spacing w:after="0"/>
              <w:rPr>
                <w:sz w:val="17"/>
                <w:szCs w:val="17"/>
                <w:color w:val="auto"/>
              </w:rPr>
            </w:pPr>
          </w:p>
        </w:tc>
        <w:tc>
          <w:tcPr>
            <w:tcW w:w="104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331</w:t>
            </w:r>
          </w:p>
        </w:tc>
        <w:tc>
          <w:tcPr>
            <w:tcW w:w="6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326</w:t>
            </w: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r>
      <w:tr>
        <w:trPr>
          <w:trHeight w:val="203"/>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 for other assets and liabilities, net</w:t>
            </w:r>
          </w:p>
        </w:tc>
        <w:tc>
          <w:tcPr>
            <w:tcW w:w="540" w:type="dxa"/>
            <w:vAlign w:val="bottom"/>
          </w:tcPr>
          <w:p>
            <w:pPr>
              <w:spacing w:after="0"/>
              <w:rPr>
                <w:sz w:val="17"/>
                <w:szCs w:val="17"/>
                <w:color w:val="auto"/>
              </w:rPr>
            </w:pPr>
          </w:p>
        </w:tc>
        <w:tc>
          <w:tcPr>
            <w:tcW w:w="104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w:t>
            </w: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r>
      <w:tr>
        <w:trPr>
          <w:trHeight w:val="23"/>
        </w:trPr>
        <w:tc>
          <w:tcPr>
            <w:tcW w:w="6560" w:type="dxa"/>
            <w:vAlign w:val="bottom"/>
            <w:tcBorders>
              <w:bottom w:val="single" w:sz="8" w:color="0077C0"/>
            </w:tcBorders>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1040" w:type="dxa"/>
            <w:vAlign w:val="bottom"/>
            <w:tcBorders>
              <w:bottom w:val="single" w:sz="8" w:color="0077C0"/>
              <w:right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96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r>
      <w:tr>
        <w:trPr>
          <w:trHeight w:val="190"/>
        </w:trPr>
        <w:tc>
          <w:tcPr>
            <w:tcW w:w="65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Capital expenditures</w:t>
            </w:r>
          </w:p>
        </w:tc>
        <w:tc>
          <w:tcPr>
            <w:tcW w:w="540" w:type="dxa"/>
            <w:vAlign w:val="bottom"/>
            <w:tcBorders>
              <w:bottom w:val="single" w:sz="8" w:color="0077C0"/>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0077C0"/>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16,448</w:t>
            </w:r>
          </w:p>
        </w:tc>
        <w:tc>
          <w:tcPr>
            <w:tcW w:w="620" w:type="dxa"/>
            <w:vAlign w:val="bottom"/>
            <w:tcBorders>
              <w:bottom w:val="single" w:sz="8" w:color="0077C0"/>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15,829</w:t>
            </w:r>
          </w:p>
        </w:tc>
        <w:tc>
          <w:tcPr>
            <w:tcW w:w="600" w:type="dxa"/>
            <w:vAlign w:val="bottom"/>
            <w:tcBorders>
              <w:bottom w:val="single" w:sz="8" w:color="0077C0"/>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11,974</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Excludes non-cash movements of $395 in 2024, $1,559 in 2023 and $316 in 2022.</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quantifies the beginning and ending balances of restricted cash and restricted cash equivalents in the Consolidated Balance Sheet: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Year ended December 31</w:t>
            </w:r>
          </w:p>
        </w:tc>
      </w:tr>
      <w:tr>
        <w:trPr>
          <w:trHeight w:val="23"/>
        </w:trPr>
        <w:tc>
          <w:tcPr>
            <w:tcW w:w="6560" w:type="dxa"/>
            <w:vAlign w:val="bottom"/>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r>
      <w:tr>
        <w:trPr>
          <w:trHeight w:val="190"/>
        </w:trPr>
        <w:tc>
          <w:tcPr>
            <w:tcW w:w="6560" w:type="dxa"/>
            <w:vAlign w:val="bottom"/>
            <w:tcBorders>
              <w:bottom w:val="single" w:sz="8" w:color="0077C0"/>
            </w:tcBorders>
          </w:tcPr>
          <w:p>
            <w:pPr>
              <w:spacing w:after="0"/>
              <w:rPr>
                <w:sz w:val="16"/>
                <w:szCs w:val="16"/>
                <w:color w:val="auto"/>
              </w:rPr>
            </w:pPr>
          </w:p>
        </w:tc>
        <w:tc>
          <w:tcPr>
            <w:tcW w:w="580" w:type="dxa"/>
            <w:vAlign w:val="bottom"/>
            <w:tcBorders>
              <w:bottom w:val="single" w:sz="8" w:color="0077C0"/>
            </w:tcBorders>
          </w:tcPr>
          <w:p>
            <w:pPr>
              <w:spacing w:after="0"/>
              <w:rPr>
                <w:sz w:val="16"/>
                <w:szCs w:val="16"/>
                <w:color w:val="auto"/>
              </w:rPr>
            </w:pPr>
          </w:p>
        </w:tc>
        <w:tc>
          <w:tcPr>
            <w:tcW w:w="100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0077C0"/>
            </w:tcBorders>
          </w:tcPr>
          <w:p>
            <w:pPr>
              <w:spacing w:after="0"/>
              <w:rPr>
                <w:sz w:val="16"/>
                <w:szCs w:val="16"/>
                <w:color w:val="auto"/>
              </w:rPr>
            </w:pPr>
          </w:p>
        </w:tc>
        <w:tc>
          <w:tcPr>
            <w:tcW w:w="9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600" w:type="dxa"/>
            <w:vAlign w:val="bottom"/>
            <w:tcBorders>
              <w:bottom w:val="single" w:sz="8" w:color="0077C0"/>
            </w:tcBorders>
          </w:tcPr>
          <w:p>
            <w:pPr>
              <w:spacing w:after="0"/>
              <w:rPr>
                <w:sz w:val="16"/>
                <w:szCs w:val="16"/>
                <w:color w:val="auto"/>
              </w:rPr>
            </w:pPr>
          </w:p>
        </w:tc>
        <w:tc>
          <w:tcPr>
            <w:tcW w:w="9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r>
      <w:tr>
        <w:trPr>
          <w:trHeight w:val="190"/>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58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6,781</w:t>
            </w:r>
          </w:p>
        </w:tc>
        <w:tc>
          <w:tcPr>
            <w:tcW w:w="66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8,178</w:t>
            </w:r>
          </w:p>
        </w:tc>
        <w:tc>
          <w:tcPr>
            <w:tcW w:w="6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17,678</w:t>
            </w:r>
          </w:p>
        </w:tc>
      </w:tr>
      <w:tr>
        <w:trPr>
          <w:trHeight w:val="191"/>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 included in “Prepaid expenses and other current assets”</w:t>
            </w:r>
          </w:p>
        </w:tc>
        <w:tc>
          <w:tcPr>
            <w:tcW w:w="580" w:type="dxa"/>
            <w:vAlign w:val="bottom"/>
          </w:tcPr>
          <w:p>
            <w:pPr>
              <w:spacing w:after="0"/>
              <w:rPr>
                <w:sz w:val="16"/>
                <w:szCs w:val="16"/>
                <w:color w:val="auto"/>
              </w:rPr>
            </w:pPr>
          </w:p>
        </w:tc>
        <w:tc>
          <w:tcPr>
            <w:tcW w:w="100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281</w:t>
            </w:r>
          </w:p>
        </w:tc>
        <w:tc>
          <w:tcPr>
            <w:tcW w:w="66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275</w:t>
            </w: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w:t>
            </w:r>
          </w:p>
        </w:tc>
      </w:tr>
      <w:tr>
        <w:trPr>
          <w:trHeight w:val="203"/>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 included in “Deferred charges and other assets”</w:t>
            </w:r>
          </w:p>
        </w:tc>
        <w:tc>
          <w:tcPr>
            <w:tcW w:w="580" w:type="dxa"/>
            <w:vAlign w:val="bottom"/>
          </w:tcPr>
          <w:p>
            <w:pPr>
              <w:spacing w:after="0"/>
              <w:rPr>
                <w:sz w:val="17"/>
                <w:szCs w:val="17"/>
                <w:color w:val="auto"/>
              </w:rPr>
            </w:pPr>
          </w:p>
        </w:tc>
        <w:tc>
          <w:tcPr>
            <w:tcW w:w="100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1,200</w:t>
            </w:r>
          </w:p>
        </w:tc>
        <w:tc>
          <w:tcPr>
            <w:tcW w:w="6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822</w:t>
            </w: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w:t>
            </w:r>
          </w:p>
        </w:tc>
      </w:tr>
      <w:tr>
        <w:trPr>
          <w:trHeight w:val="23"/>
        </w:trPr>
        <w:tc>
          <w:tcPr>
            <w:tcW w:w="656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1000" w:type="dxa"/>
            <w:vAlign w:val="bottom"/>
            <w:tcBorders>
              <w:bottom w:val="single" w:sz="8" w:color="0077C0"/>
              <w:right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r>
      <w:tr>
        <w:trPr>
          <w:trHeight w:val="190"/>
        </w:trPr>
        <w:tc>
          <w:tcPr>
            <w:tcW w:w="65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cash, cash equivalents and restricted cash</w:t>
            </w:r>
          </w:p>
        </w:tc>
        <w:tc>
          <w:tcPr>
            <w:tcW w:w="580" w:type="dxa"/>
            <w:vAlign w:val="bottom"/>
            <w:tcBorders>
              <w:bottom w:val="single" w:sz="8" w:color="0077C0"/>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0077C0"/>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8,262</w:t>
            </w:r>
          </w:p>
        </w:tc>
        <w:tc>
          <w:tcPr>
            <w:tcW w:w="660" w:type="dxa"/>
            <w:vAlign w:val="bottom"/>
            <w:tcBorders>
              <w:bottom w:val="single" w:sz="8" w:color="0077C0"/>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9,275</w:t>
            </w:r>
          </w:p>
        </w:tc>
        <w:tc>
          <w:tcPr>
            <w:tcW w:w="600" w:type="dxa"/>
            <w:vAlign w:val="bottom"/>
            <w:tcBorders>
              <w:bottom w:val="single" w:sz="8" w:color="0077C0"/>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19,121</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4</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0077C0"/>
        </w:rPr>
        <w:t>New Accounting Standards</w:t>
      </w:r>
    </w:p>
    <w:p>
      <w:pPr>
        <w:spacing w:after="0" w:line="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Segment Reporting (Topic 280) Improvements to Reportable Segment Disclosures </w:t>
      </w:r>
      <w:r>
        <w:rPr>
          <w:rFonts w:ascii="Times New Roman" w:cs="Times New Roman" w:eastAsia="Times New Roman" w:hAnsi="Times New Roman"/>
          <w:sz w:val="18"/>
          <w:szCs w:val="18"/>
          <w:color w:val="000000"/>
        </w:rPr>
        <w:t>The company has adopted the Financial Accounting Standards Board</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 xml:space="preserve">(FASB) Accounting Standard Update (ASU) 2023-07 which is effective for fiscal years beginning after December 15, 2023, and interim periods within fiscal years beginning after December 15, 2024. The standard requires companies to disclose significant segment expenses. The adoption of this ASU did not have an impact on the company’s consolidated financial position or results of operations. For additional information, refer to </w:t>
      </w:r>
      <w:r>
        <w:rPr>
          <w:rFonts w:ascii="Times New Roman" w:cs="Times New Roman" w:eastAsia="Times New Roman" w:hAnsi="Times New Roman"/>
          <w:sz w:val="18"/>
          <w:szCs w:val="18"/>
          <w:u w:val="single" w:color="auto"/>
          <w:color w:val="0000FF"/>
        </w:rPr>
        <w:t>Note 14 Operating</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Segments and Geographic Data</w:t>
      </w:r>
      <w:r>
        <w:rPr>
          <w:rFonts w:ascii="Times New Roman" w:cs="Times New Roman" w:eastAsia="Times New Roman" w:hAnsi="Times New Roman"/>
          <w:sz w:val="18"/>
          <w:szCs w:val="18"/>
          <w:color w:val="000000"/>
        </w:rPr>
        <w:t>.</w:t>
      </w:r>
    </w:p>
    <w:p>
      <w:pPr>
        <w:spacing w:after="0" w:line="5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Income Taxes (Topic 740) Improvements to Income Tax Disclosures </w:t>
      </w:r>
      <w:r>
        <w:rPr>
          <w:rFonts w:ascii="Times New Roman" w:cs="Times New Roman" w:eastAsia="Times New Roman" w:hAnsi="Times New Roman"/>
          <w:sz w:val="18"/>
          <w:szCs w:val="18"/>
          <w:color w:val="000000"/>
        </w:rPr>
        <w:t>In December 2023, the FASB issued ASU 2023-09, which becomes effective for</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fiscal years beginning after December 15, 2024. The standard requires companies to disclose specific categories in the income tax rate reconciliation table and the amount of income taxes paid per major jurisdiction. The company does not expect the standard to have a material effect on its consolidated financial statements and continues to evaluate disclosure presentation alternatives.</w:t>
      </w:r>
    </w:p>
    <w:p>
      <w:pPr>
        <w:spacing w:after="0" w:line="5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Income Statement (Topic 220) Reporting Comprehensive Income - Expense Disaggregation Disclosures </w:t>
      </w:r>
      <w:r>
        <w:rPr>
          <w:rFonts w:ascii="Times New Roman" w:cs="Times New Roman" w:eastAsia="Times New Roman" w:hAnsi="Times New Roman"/>
          <w:sz w:val="18"/>
          <w:szCs w:val="18"/>
          <w:color w:val="000000"/>
        </w:rPr>
        <w:t>In November 2024, the FASB issued ASU</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2024-03, which becomes effective for fiscal years beginning after December 15, 2026, and interim periods within fiscal years beginning after December 15, 2027. The standard requires companies to disclose disaggregated information about certain income statement expense line items. The company does not expect the standard to have a material effect on its consolidated financial statements and has begun evaluating disclosure presentation alternatives.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5</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0077C0"/>
        </w:rPr>
        <w:t>Lease Commitments</w:t>
      </w:r>
    </w:p>
    <w:p>
      <w:pPr>
        <w:spacing w:after="0" w:line="1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The company enters into leasing arrangements as a lessee; any lessor arrangements are not significant. Operating lease arrangements mainly involve land, bareboat charters, terminals, drill ships, drilling rigs, time chartered vessels, office buildings and warehouses, and exploration and production equipment. Finance leases primarily include facilities, vessels and office buildings.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75" w:name="page76"/>
    <w:bookmarkEnd w:id="75"/>
    <w:p>
      <w:pPr>
        <w:ind w:left="20"/>
        <w:spacing w:after="0"/>
        <w:tabs>
          <w:tab w:leader="none" w:pos="9460" w:val="left"/>
        </w:tabs>
        <w:rPr>
          <w:sz w:val="20"/>
          <w:szCs w:val="20"/>
          <w:color w:val="auto"/>
        </w:rPr>
      </w:pPr>
      <w:r>
        <w:rPr>
          <w:rFonts w:ascii="Arial" w:cs="Arial" w:eastAsia="Arial" w:hAnsi="Arial"/>
          <w:sz w:val="14"/>
          <w:szCs w:val="14"/>
          <w:color w:val="0077C0"/>
        </w:rPr>
        <w:t>Notes to the Consolidated Financial Statements</w:t>
      </w:r>
      <w:r>
        <w:rPr>
          <w:sz w:val="20"/>
          <w:szCs w:val="20"/>
          <w:color w:val="auto"/>
        </w:rPr>
        <w:tab/>
      </w:r>
      <w:r>
        <w:rPr>
          <w:rFonts w:ascii="Arial" w:cs="Arial" w:eastAsia="Arial" w:hAnsi="Arial"/>
          <w:sz w:val="14"/>
          <w:szCs w:val="14"/>
          <w:color w:val="0077C0"/>
        </w:rPr>
        <w:t>Financial Table of Contents</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11"/>
          <w:szCs w:val="11"/>
          <w:color w:val="0077C0"/>
        </w:rPr>
        <w:t>Millions of dollars, except per-share amounts</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right-of-use assets and lease liabilities for operating and finance leases, including the balance sheet presentation,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At December 31, 2024</w:t>
            </w: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At December 31, 2023</w:t>
            </w:r>
          </w:p>
        </w:tc>
      </w:tr>
      <w:tr>
        <w:trPr>
          <w:trHeight w:val="23"/>
        </w:trPr>
        <w:tc>
          <w:tcPr>
            <w:tcW w:w="5200" w:type="dxa"/>
            <w:vAlign w:val="bottom"/>
          </w:tcPr>
          <w:p>
            <w:pPr>
              <w:spacing w:after="0"/>
              <w:rPr>
                <w:sz w:val="2"/>
                <w:szCs w:val="2"/>
                <w:color w:val="auto"/>
              </w:rPr>
            </w:pPr>
          </w:p>
        </w:tc>
        <w:tc>
          <w:tcPr>
            <w:tcW w:w="440" w:type="dxa"/>
            <w:vAlign w:val="bottom"/>
            <w:tcBorders>
              <w:bottom w:val="single" w:sz="8" w:color="0077C0"/>
            </w:tcBorders>
          </w:tcPr>
          <w:p>
            <w:pPr>
              <w:spacing w:after="0"/>
              <w:rPr>
                <w:sz w:val="2"/>
                <w:szCs w:val="2"/>
                <w:color w:val="auto"/>
              </w:rPr>
            </w:pPr>
          </w:p>
        </w:tc>
        <w:tc>
          <w:tcPr>
            <w:tcW w:w="1060" w:type="dxa"/>
            <w:vAlign w:val="bottom"/>
            <w:tcBorders>
              <w:bottom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0077C0"/>
            </w:tcBorders>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c>
          <w:tcPr>
            <w:tcW w:w="160" w:type="dxa"/>
            <w:vAlign w:val="bottom"/>
            <w:tcBorders>
              <w:bottom w:val="single" w:sz="8" w:color="0077C0"/>
            </w:tcBorders>
          </w:tcPr>
          <w:p>
            <w:pPr>
              <w:spacing w:after="0"/>
              <w:rPr>
                <w:sz w:val="2"/>
                <w:szCs w:val="2"/>
                <w:color w:val="auto"/>
              </w:rPr>
            </w:pPr>
          </w:p>
        </w:tc>
        <w:tc>
          <w:tcPr>
            <w:tcW w:w="1320" w:type="dxa"/>
            <w:vAlign w:val="bottom"/>
            <w:tcBorders>
              <w:bottom w:val="single" w:sz="8" w:color="0077C0"/>
            </w:tcBorders>
          </w:tcPr>
          <w:p>
            <w:pPr>
              <w:spacing w:after="0"/>
              <w:rPr>
                <w:sz w:val="2"/>
                <w:szCs w:val="2"/>
                <w:color w:val="auto"/>
              </w:rPr>
            </w:pPr>
          </w:p>
        </w:tc>
      </w:tr>
      <w:tr>
        <w:trPr>
          <w:trHeight w:val="131"/>
        </w:trPr>
        <w:tc>
          <w:tcPr>
            <w:tcW w:w="5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tcPr>
          <w:p>
            <w:pPr>
              <w:jc w:val="right"/>
              <w:ind w:right="8"/>
              <w:spacing w:after="0" w:line="131"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560" w:type="dxa"/>
            <w:vAlign w:val="bottom"/>
          </w:tcPr>
          <w:p>
            <w:pPr>
              <w:spacing w:after="0"/>
              <w:rPr>
                <w:sz w:val="11"/>
                <w:szCs w:val="11"/>
                <w:color w:val="auto"/>
              </w:rPr>
            </w:pPr>
          </w:p>
        </w:tc>
        <w:tc>
          <w:tcPr>
            <w:tcW w:w="92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Finance</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color w:val="auto"/>
              </w:rPr>
              <w:t>Operating</w:t>
            </w:r>
          </w:p>
        </w:tc>
        <w:tc>
          <w:tcPr>
            <w:tcW w:w="160" w:type="dxa"/>
            <w:vAlign w:val="bottom"/>
          </w:tcPr>
          <w:p>
            <w:pPr>
              <w:spacing w:after="0"/>
              <w:rPr>
                <w:sz w:val="11"/>
                <w:szCs w:val="11"/>
                <w:color w:val="auto"/>
              </w:rPr>
            </w:pPr>
          </w:p>
        </w:tc>
        <w:tc>
          <w:tcPr>
            <w:tcW w:w="132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color w:val="auto"/>
              </w:rPr>
              <w:t>Finance</w:t>
            </w:r>
          </w:p>
        </w:tc>
      </w:tr>
      <w:tr>
        <w:trPr>
          <w:trHeight w:val="195"/>
        </w:trPr>
        <w:tc>
          <w:tcPr>
            <w:tcW w:w="5200" w:type="dxa"/>
            <w:vAlign w:val="bottom"/>
            <w:tcBorders>
              <w:bottom w:val="single" w:sz="8" w:color="0077C0"/>
            </w:tcBorders>
          </w:tcPr>
          <w:p>
            <w:pPr>
              <w:spacing w:after="0"/>
              <w:rPr>
                <w:sz w:val="16"/>
                <w:szCs w:val="16"/>
                <w:color w:val="auto"/>
              </w:rPr>
            </w:pPr>
          </w:p>
        </w:tc>
        <w:tc>
          <w:tcPr>
            <w:tcW w:w="440" w:type="dxa"/>
            <w:vAlign w:val="bottom"/>
            <w:tcBorders>
              <w:bottom w:val="single" w:sz="8" w:color="0077C0"/>
            </w:tcBorders>
          </w:tcPr>
          <w:p>
            <w:pPr>
              <w:spacing w:after="0"/>
              <w:rPr>
                <w:sz w:val="16"/>
                <w:szCs w:val="16"/>
                <w:color w:val="auto"/>
              </w:rPr>
            </w:pPr>
          </w:p>
        </w:tc>
        <w:tc>
          <w:tcPr>
            <w:tcW w:w="106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560" w:type="dxa"/>
            <w:vAlign w:val="bottom"/>
            <w:tcBorders>
              <w:bottom w:val="single" w:sz="8" w:color="0077C0"/>
            </w:tcBorders>
          </w:tcPr>
          <w:p>
            <w:pPr>
              <w:spacing w:after="0"/>
              <w:rPr>
                <w:sz w:val="16"/>
                <w:szCs w:val="16"/>
                <w:color w:val="auto"/>
              </w:rPr>
            </w:pPr>
          </w:p>
        </w:tc>
        <w:tc>
          <w:tcPr>
            <w:tcW w:w="1040" w:type="dxa"/>
            <w:vAlign w:val="bottom"/>
            <w:tcBorders>
              <w:bottom w:val="single" w:sz="8" w:color="0077C0"/>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460" w:type="dxa"/>
            <w:vAlign w:val="bottom"/>
            <w:tcBorders>
              <w:bottom w:val="single" w:sz="8" w:color="0077C0"/>
            </w:tcBorders>
          </w:tcPr>
          <w:p>
            <w:pPr>
              <w:spacing w:after="0"/>
              <w:rPr>
                <w:sz w:val="16"/>
                <w:szCs w:val="16"/>
                <w:color w:val="auto"/>
              </w:rPr>
            </w:pPr>
          </w:p>
        </w:tc>
        <w:tc>
          <w:tcPr>
            <w:tcW w:w="10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Leases</w:t>
            </w:r>
          </w:p>
        </w:tc>
        <w:tc>
          <w:tcPr>
            <w:tcW w:w="160" w:type="dxa"/>
            <w:vAlign w:val="bottom"/>
            <w:tcBorders>
              <w:bottom w:val="single" w:sz="8" w:color="0077C0"/>
            </w:tcBorders>
          </w:tcPr>
          <w:p>
            <w:pPr>
              <w:spacing w:after="0"/>
              <w:rPr>
                <w:sz w:val="16"/>
                <w:szCs w:val="16"/>
                <w:color w:val="auto"/>
              </w:rPr>
            </w:pPr>
          </w:p>
        </w:tc>
        <w:tc>
          <w:tcPr>
            <w:tcW w:w="13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Leases</w:t>
            </w:r>
          </w:p>
        </w:tc>
      </w:tr>
      <w:tr>
        <w:trPr>
          <w:trHeight w:val="189"/>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charges and other assets</w:t>
            </w:r>
          </w:p>
        </w:tc>
        <w:tc>
          <w:tcPr>
            <w:tcW w:w="4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5,315</w:t>
            </w:r>
          </w:p>
        </w:tc>
        <w:tc>
          <w:tcPr>
            <w:tcW w:w="5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right w:val="single" w:sz="8" w:color="0077C0"/>
            </w:tcBorders>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5,422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Properties, plant and equipment, net</w:t>
            </w:r>
          </w:p>
        </w:tc>
        <w:tc>
          <w:tcPr>
            <w:tcW w:w="440" w:type="dxa"/>
            <w:vAlign w:val="bottom"/>
          </w:tcPr>
          <w:p>
            <w:pPr>
              <w:spacing w:after="0"/>
              <w:rPr>
                <w:sz w:val="16"/>
                <w:szCs w:val="16"/>
                <w:color w:val="auto"/>
              </w:rPr>
            </w:pPr>
          </w:p>
        </w:tc>
        <w:tc>
          <w:tcPr>
            <w:tcW w:w="10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570</w:t>
            </w:r>
          </w:p>
        </w:tc>
        <w:tc>
          <w:tcPr>
            <w:tcW w:w="120" w:type="dxa"/>
            <w:vAlign w:val="bottom"/>
            <w:tcBorders>
              <w:right w:val="single" w:sz="8" w:color="0077C0"/>
            </w:tcBorders>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583</w:t>
            </w:r>
          </w:p>
        </w:tc>
      </w:tr>
      <w:tr>
        <w:trPr>
          <w:trHeight w:val="23"/>
        </w:trPr>
        <w:tc>
          <w:tcPr>
            <w:tcW w:w="5200" w:type="dxa"/>
            <w:vAlign w:val="bottom"/>
            <w:tcBorders>
              <w:bottom w:val="single" w:sz="8" w:color="0077C0"/>
            </w:tcBorders>
          </w:tcPr>
          <w:p>
            <w:pPr>
              <w:spacing w:after="0"/>
              <w:rPr>
                <w:sz w:val="2"/>
                <w:szCs w:val="2"/>
                <w:color w:val="auto"/>
              </w:rPr>
            </w:pPr>
          </w:p>
        </w:tc>
        <w:tc>
          <w:tcPr>
            <w:tcW w:w="440" w:type="dxa"/>
            <w:vAlign w:val="bottom"/>
            <w:tcBorders>
              <w:bottom w:val="single" w:sz="8" w:color="0077C0"/>
            </w:tcBorders>
          </w:tcPr>
          <w:p>
            <w:pPr>
              <w:spacing w:after="0"/>
              <w:rPr>
                <w:sz w:val="2"/>
                <w:szCs w:val="2"/>
                <w:color w:val="auto"/>
              </w:rPr>
            </w:pPr>
          </w:p>
        </w:tc>
        <w:tc>
          <w:tcPr>
            <w:tcW w:w="1060" w:type="dxa"/>
            <w:vAlign w:val="bottom"/>
            <w:tcBorders>
              <w:bottom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120" w:type="dxa"/>
            <w:vAlign w:val="bottom"/>
            <w:tcBorders>
              <w:bottom w:val="single" w:sz="8" w:color="0077C0"/>
              <w:right w:val="single" w:sz="8" w:color="0077C0"/>
            </w:tcBorders>
          </w:tcPr>
          <w:p>
            <w:pPr>
              <w:spacing w:after="0"/>
              <w:rPr>
                <w:sz w:val="2"/>
                <w:szCs w:val="2"/>
                <w:color w:val="auto"/>
              </w:rPr>
            </w:pPr>
          </w:p>
        </w:tc>
        <w:tc>
          <w:tcPr>
            <w:tcW w:w="460" w:type="dxa"/>
            <w:vAlign w:val="bottom"/>
            <w:tcBorders>
              <w:bottom w:val="single" w:sz="8" w:color="0077C0"/>
            </w:tcBorders>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c>
          <w:tcPr>
            <w:tcW w:w="160" w:type="dxa"/>
            <w:vAlign w:val="bottom"/>
            <w:tcBorders>
              <w:bottom w:val="single" w:sz="8" w:color="0077C0"/>
            </w:tcBorders>
          </w:tcPr>
          <w:p>
            <w:pPr>
              <w:spacing w:after="0"/>
              <w:rPr>
                <w:sz w:val="2"/>
                <w:szCs w:val="2"/>
                <w:color w:val="auto"/>
              </w:rPr>
            </w:pPr>
          </w:p>
        </w:tc>
        <w:tc>
          <w:tcPr>
            <w:tcW w:w="1320" w:type="dxa"/>
            <w:vAlign w:val="bottom"/>
            <w:tcBorders>
              <w:bottom w:val="single" w:sz="8" w:color="0077C0"/>
            </w:tcBorders>
          </w:tcPr>
          <w:p>
            <w:pPr>
              <w:spacing w:after="0"/>
              <w:rPr>
                <w:sz w:val="2"/>
                <w:szCs w:val="2"/>
                <w:color w:val="auto"/>
              </w:rPr>
            </w:pPr>
          </w:p>
        </w:tc>
      </w:tr>
      <w:tr>
        <w:trPr>
          <w:trHeight w:val="190"/>
        </w:trPr>
        <w:tc>
          <w:tcPr>
            <w:tcW w:w="5200" w:type="dxa"/>
            <w:vAlign w:val="bottom"/>
            <w:tcBorders>
              <w:bottom w:val="single" w:sz="8" w:color="0077C0"/>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Right-of-use assets*</w:t>
            </w:r>
          </w:p>
        </w:tc>
        <w:tc>
          <w:tcPr>
            <w:tcW w:w="440" w:type="dxa"/>
            <w:vAlign w:val="bottom"/>
            <w:tcBorders>
              <w:bottom w:val="single" w:sz="8" w:color="0077C0"/>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0077C0"/>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5,315</w:t>
            </w:r>
          </w:p>
        </w:tc>
        <w:tc>
          <w:tcPr>
            <w:tcW w:w="560" w:type="dxa"/>
            <w:vAlign w:val="bottom"/>
            <w:tcBorders>
              <w:bottom w:val="single" w:sz="8" w:color="0077C0"/>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570</w:t>
            </w:r>
          </w:p>
        </w:tc>
        <w:tc>
          <w:tcPr>
            <w:tcW w:w="120" w:type="dxa"/>
            <w:vAlign w:val="bottom"/>
            <w:tcBorders>
              <w:bottom w:val="single" w:sz="8" w:color="0077C0"/>
              <w:right w:val="single" w:sz="8" w:color="0077C0"/>
            </w:tcBorders>
          </w:tcPr>
          <w:p>
            <w:pPr>
              <w:spacing w:after="0"/>
              <w:rPr>
                <w:sz w:val="16"/>
                <w:szCs w:val="16"/>
                <w:color w:val="auto"/>
              </w:rPr>
            </w:pPr>
          </w:p>
        </w:tc>
        <w:tc>
          <w:tcPr>
            <w:tcW w:w="460" w:type="dxa"/>
            <w:vAlign w:val="bottom"/>
            <w:tcBorders>
              <w:bottom w:val="single" w:sz="8" w:color="0077C0"/>
            </w:tcBorders>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0077C0"/>
            </w:tcBorders>
          </w:tcPr>
          <w:p>
            <w:pPr>
              <w:jc w:val="right"/>
              <w:ind w:right="148"/>
              <w:spacing w:after="0"/>
              <w:rPr>
                <w:sz w:val="20"/>
                <w:szCs w:val="20"/>
                <w:color w:val="auto"/>
              </w:rPr>
            </w:pPr>
            <w:r>
              <w:rPr>
                <w:rFonts w:ascii="Times New Roman" w:cs="Times New Roman" w:eastAsia="Times New Roman" w:hAnsi="Times New Roman"/>
                <w:sz w:val="14"/>
                <w:szCs w:val="14"/>
                <w:color w:val="auto"/>
              </w:rPr>
              <w:t>5,422</w:t>
            </w:r>
          </w:p>
        </w:tc>
        <w:tc>
          <w:tcPr>
            <w:tcW w:w="1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color w:val="auto"/>
              </w:rPr>
              <w:t>583</w:t>
            </w:r>
          </w:p>
        </w:tc>
      </w:tr>
      <w:tr>
        <w:trPr>
          <w:trHeight w:val="190"/>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liabilities</w:t>
            </w:r>
          </w:p>
        </w:tc>
        <w:tc>
          <w:tcPr>
            <w:tcW w:w="4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1,519</w:t>
            </w:r>
          </w:p>
        </w:tc>
        <w:tc>
          <w:tcPr>
            <w:tcW w:w="5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right w:val="single" w:sz="8" w:color="0077C0"/>
            </w:tcBorders>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1,538</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debt</w:t>
            </w:r>
          </w:p>
        </w:tc>
        <w:tc>
          <w:tcPr>
            <w:tcW w:w="440" w:type="dxa"/>
            <w:vAlign w:val="bottom"/>
          </w:tcPr>
          <w:p>
            <w:pPr>
              <w:spacing w:after="0"/>
              <w:rPr>
                <w:sz w:val="16"/>
                <w:szCs w:val="16"/>
                <w:color w:val="auto"/>
              </w:rPr>
            </w:pPr>
          </w:p>
        </w:tc>
        <w:tc>
          <w:tcPr>
            <w:tcW w:w="10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58</w:t>
            </w:r>
          </w:p>
        </w:tc>
        <w:tc>
          <w:tcPr>
            <w:tcW w:w="120" w:type="dxa"/>
            <w:vAlign w:val="bottom"/>
            <w:tcBorders>
              <w:right w:val="single" w:sz="8" w:color="0077C0"/>
            </w:tcBorders>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60</w:t>
            </w:r>
          </w:p>
        </w:tc>
      </w:tr>
      <w:tr>
        <w:trPr>
          <w:trHeight w:val="23"/>
        </w:trPr>
        <w:tc>
          <w:tcPr>
            <w:tcW w:w="5200" w:type="dxa"/>
            <w:vAlign w:val="bottom"/>
            <w:tcBorders>
              <w:bottom w:val="single" w:sz="8" w:color="0077C0"/>
            </w:tcBorders>
          </w:tcPr>
          <w:p>
            <w:pPr>
              <w:spacing w:after="0"/>
              <w:rPr>
                <w:sz w:val="2"/>
                <w:szCs w:val="2"/>
                <w:color w:val="auto"/>
              </w:rPr>
            </w:pPr>
          </w:p>
        </w:tc>
        <w:tc>
          <w:tcPr>
            <w:tcW w:w="440" w:type="dxa"/>
            <w:vAlign w:val="bottom"/>
            <w:tcBorders>
              <w:bottom w:val="single" w:sz="8" w:color="0077C0"/>
            </w:tcBorders>
          </w:tcPr>
          <w:p>
            <w:pPr>
              <w:spacing w:after="0"/>
              <w:rPr>
                <w:sz w:val="2"/>
                <w:szCs w:val="2"/>
                <w:color w:val="auto"/>
              </w:rPr>
            </w:pPr>
          </w:p>
        </w:tc>
        <w:tc>
          <w:tcPr>
            <w:tcW w:w="1060" w:type="dxa"/>
            <w:vAlign w:val="bottom"/>
            <w:tcBorders>
              <w:bottom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120" w:type="dxa"/>
            <w:vAlign w:val="bottom"/>
            <w:tcBorders>
              <w:bottom w:val="single" w:sz="8" w:color="0077C0"/>
              <w:right w:val="single" w:sz="8" w:color="0077C0"/>
            </w:tcBorders>
          </w:tcPr>
          <w:p>
            <w:pPr>
              <w:spacing w:after="0"/>
              <w:rPr>
                <w:sz w:val="2"/>
                <w:szCs w:val="2"/>
                <w:color w:val="auto"/>
              </w:rPr>
            </w:pPr>
          </w:p>
        </w:tc>
        <w:tc>
          <w:tcPr>
            <w:tcW w:w="460" w:type="dxa"/>
            <w:vAlign w:val="bottom"/>
            <w:tcBorders>
              <w:bottom w:val="single" w:sz="8" w:color="0077C0"/>
            </w:tcBorders>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c>
          <w:tcPr>
            <w:tcW w:w="160" w:type="dxa"/>
            <w:vAlign w:val="bottom"/>
            <w:tcBorders>
              <w:bottom w:val="single" w:sz="8" w:color="0077C0"/>
            </w:tcBorders>
          </w:tcPr>
          <w:p>
            <w:pPr>
              <w:spacing w:after="0"/>
              <w:rPr>
                <w:sz w:val="2"/>
                <w:szCs w:val="2"/>
                <w:color w:val="auto"/>
              </w:rPr>
            </w:pPr>
          </w:p>
        </w:tc>
        <w:tc>
          <w:tcPr>
            <w:tcW w:w="1320" w:type="dxa"/>
            <w:vAlign w:val="bottom"/>
            <w:tcBorders>
              <w:bottom w:val="single" w:sz="8" w:color="0077C0"/>
            </w:tcBorders>
          </w:tcPr>
          <w:p>
            <w:pPr>
              <w:spacing w:after="0"/>
              <w:rPr>
                <w:sz w:val="2"/>
                <w:szCs w:val="2"/>
                <w:color w:val="auto"/>
              </w:rPr>
            </w:pPr>
          </w:p>
        </w:tc>
      </w:tr>
      <w:tr>
        <w:trPr>
          <w:trHeight w:val="190"/>
        </w:trPr>
        <w:tc>
          <w:tcPr>
            <w:tcW w:w="5200" w:type="dxa"/>
            <w:vAlign w:val="bottom"/>
            <w:tcBorders>
              <w:bottom w:val="single" w:sz="8" w:color="0077C0"/>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Current lease liabilities</w:t>
            </w:r>
          </w:p>
        </w:tc>
        <w:tc>
          <w:tcPr>
            <w:tcW w:w="440" w:type="dxa"/>
            <w:vAlign w:val="bottom"/>
            <w:tcBorders>
              <w:bottom w:val="single" w:sz="8" w:color="0077C0"/>
            </w:tcBorders>
          </w:tcPr>
          <w:p>
            <w:pPr>
              <w:spacing w:after="0"/>
              <w:rPr>
                <w:sz w:val="16"/>
                <w:szCs w:val="16"/>
                <w:color w:val="auto"/>
              </w:rPr>
            </w:pPr>
          </w:p>
        </w:tc>
        <w:tc>
          <w:tcPr>
            <w:tcW w:w="1060" w:type="dxa"/>
            <w:vAlign w:val="bottom"/>
            <w:tcBorders>
              <w:bottom w:val="single" w:sz="8" w:color="0077C0"/>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1,519</w:t>
            </w:r>
          </w:p>
        </w:tc>
        <w:tc>
          <w:tcPr>
            <w:tcW w:w="560" w:type="dxa"/>
            <w:vAlign w:val="bottom"/>
            <w:tcBorders>
              <w:bottom w:val="single" w:sz="8" w:color="0077C0"/>
            </w:tcBorders>
          </w:tcPr>
          <w:p>
            <w:pPr>
              <w:spacing w:after="0"/>
              <w:rPr>
                <w:sz w:val="16"/>
                <w:szCs w:val="16"/>
                <w:color w:val="auto"/>
              </w:rPr>
            </w:pPr>
          </w:p>
        </w:tc>
        <w:tc>
          <w:tcPr>
            <w:tcW w:w="92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58</w:t>
            </w:r>
          </w:p>
        </w:tc>
        <w:tc>
          <w:tcPr>
            <w:tcW w:w="120" w:type="dxa"/>
            <w:vAlign w:val="bottom"/>
            <w:tcBorders>
              <w:bottom w:val="single" w:sz="8" w:color="0077C0"/>
              <w:right w:val="single" w:sz="8" w:color="0077C0"/>
            </w:tcBorders>
          </w:tcPr>
          <w:p>
            <w:pPr>
              <w:spacing w:after="0"/>
              <w:rPr>
                <w:sz w:val="16"/>
                <w:szCs w:val="16"/>
                <w:color w:val="auto"/>
              </w:rPr>
            </w:pPr>
          </w:p>
        </w:tc>
        <w:tc>
          <w:tcPr>
            <w:tcW w:w="460" w:type="dxa"/>
            <w:vAlign w:val="bottom"/>
            <w:tcBorders>
              <w:bottom w:val="single" w:sz="8" w:color="0077C0"/>
            </w:tcBorders>
          </w:tcPr>
          <w:p>
            <w:pPr>
              <w:spacing w:after="0"/>
              <w:rPr>
                <w:sz w:val="16"/>
                <w:szCs w:val="16"/>
                <w:color w:val="auto"/>
              </w:rPr>
            </w:pPr>
          </w:p>
        </w:tc>
        <w:tc>
          <w:tcPr>
            <w:tcW w:w="1000" w:type="dxa"/>
            <w:vAlign w:val="bottom"/>
            <w:tcBorders>
              <w:bottom w:val="single" w:sz="8" w:color="0077C0"/>
            </w:tcBorders>
          </w:tcPr>
          <w:p>
            <w:pPr>
              <w:jc w:val="right"/>
              <w:ind w:right="148"/>
              <w:spacing w:after="0"/>
              <w:rPr>
                <w:sz w:val="20"/>
                <w:szCs w:val="20"/>
                <w:color w:val="auto"/>
              </w:rPr>
            </w:pPr>
            <w:r>
              <w:rPr>
                <w:rFonts w:ascii="Times New Roman" w:cs="Times New Roman" w:eastAsia="Times New Roman" w:hAnsi="Times New Roman"/>
                <w:sz w:val="14"/>
                <w:szCs w:val="14"/>
                <w:color w:val="auto"/>
              </w:rPr>
              <w:t>1,538</w:t>
            </w:r>
          </w:p>
        </w:tc>
        <w:tc>
          <w:tcPr>
            <w:tcW w:w="160" w:type="dxa"/>
            <w:vAlign w:val="bottom"/>
            <w:tcBorders>
              <w:bottom w:val="single" w:sz="8" w:color="0077C0"/>
            </w:tcBorders>
          </w:tcPr>
          <w:p>
            <w:pPr>
              <w:spacing w:after="0"/>
              <w:rPr>
                <w:sz w:val="16"/>
                <w:szCs w:val="16"/>
                <w:color w:val="auto"/>
              </w:rPr>
            </w:pPr>
          </w:p>
        </w:tc>
        <w:tc>
          <w:tcPr>
            <w:tcW w:w="132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color w:val="auto"/>
              </w:rPr>
              <w:t>60</w:t>
            </w:r>
          </w:p>
        </w:tc>
      </w:tr>
      <w:tr>
        <w:trPr>
          <w:trHeight w:val="190"/>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credits and other noncurrent obligations</w:t>
            </w:r>
          </w:p>
        </w:tc>
        <w:tc>
          <w:tcPr>
            <w:tcW w:w="440" w:type="dxa"/>
            <w:vAlign w:val="bottom"/>
          </w:tcPr>
          <w:p>
            <w:pPr>
              <w:spacing w:after="0"/>
              <w:rPr>
                <w:sz w:val="16"/>
                <w:szCs w:val="16"/>
                <w:color w:val="auto"/>
              </w:rPr>
            </w:pPr>
          </w:p>
        </w:tc>
        <w:tc>
          <w:tcPr>
            <w:tcW w:w="10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3,551</w:t>
            </w:r>
          </w:p>
        </w:tc>
        <w:tc>
          <w:tcPr>
            <w:tcW w:w="560" w:type="dxa"/>
            <w:vAlign w:val="bottom"/>
          </w:tcPr>
          <w:p>
            <w:pPr>
              <w:spacing w:after="0"/>
              <w:rPr>
                <w:sz w:val="16"/>
                <w:szCs w:val="16"/>
                <w:color w:val="auto"/>
              </w:rPr>
            </w:pPr>
          </w:p>
        </w:tc>
        <w:tc>
          <w:tcPr>
            <w:tcW w:w="1040" w:type="dxa"/>
            <w:vAlign w:val="bottom"/>
            <w:tcBorders>
              <w:right w:val="single" w:sz="8" w:color="0077C0"/>
            </w:tcBorders>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6"/>
                <w:szCs w:val="16"/>
                <w:color w:val="auto"/>
              </w:rPr>
            </w:pPr>
          </w:p>
        </w:tc>
        <w:tc>
          <w:tcPr>
            <w:tcW w:w="10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3,696</w:t>
            </w:r>
          </w:p>
        </w:tc>
        <w:tc>
          <w:tcPr>
            <w:tcW w:w="160" w:type="dxa"/>
            <w:vAlign w:val="bottom"/>
          </w:tcPr>
          <w:p>
            <w:pPr>
              <w:spacing w:after="0"/>
              <w:rPr>
                <w:sz w:val="16"/>
                <w:szCs w:val="16"/>
                <w:color w:val="auto"/>
              </w:rPr>
            </w:pPr>
          </w:p>
        </w:tc>
        <w:tc>
          <w:tcPr>
            <w:tcW w:w="1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440" w:type="dxa"/>
            <w:vAlign w:val="bottom"/>
          </w:tcPr>
          <w:p>
            <w:pPr>
              <w:spacing w:after="0"/>
              <w:rPr>
                <w:sz w:val="16"/>
                <w:szCs w:val="16"/>
                <w:color w:val="auto"/>
              </w:rPr>
            </w:pPr>
          </w:p>
        </w:tc>
        <w:tc>
          <w:tcPr>
            <w:tcW w:w="10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546</w:t>
            </w:r>
          </w:p>
        </w:tc>
        <w:tc>
          <w:tcPr>
            <w:tcW w:w="120" w:type="dxa"/>
            <w:vAlign w:val="bottom"/>
            <w:tcBorders>
              <w:right w:val="single" w:sz="8" w:color="0077C0"/>
            </w:tcBorders>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574</w:t>
            </w:r>
          </w:p>
        </w:tc>
      </w:tr>
      <w:tr>
        <w:trPr>
          <w:trHeight w:val="23"/>
        </w:trPr>
        <w:tc>
          <w:tcPr>
            <w:tcW w:w="5200" w:type="dxa"/>
            <w:vAlign w:val="bottom"/>
            <w:tcBorders>
              <w:bottom w:val="single" w:sz="8" w:color="0077C0"/>
            </w:tcBorders>
          </w:tcPr>
          <w:p>
            <w:pPr>
              <w:spacing w:after="0"/>
              <w:rPr>
                <w:sz w:val="2"/>
                <w:szCs w:val="2"/>
                <w:color w:val="auto"/>
              </w:rPr>
            </w:pPr>
          </w:p>
        </w:tc>
        <w:tc>
          <w:tcPr>
            <w:tcW w:w="440" w:type="dxa"/>
            <w:vAlign w:val="bottom"/>
            <w:tcBorders>
              <w:bottom w:val="single" w:sz="8" w:color="0077C0"/>
            </w:tcBorders>
          </w:tcPr>
          <w:p>
            <w:pPr>
              <w:spacing w:after="0"/>
              <w:rPr>
                <w:sz w:val="2"/>
                <w:szCs w:val="2"/>
                <w:color w:val="auto"/>
              </w:rPr>
            </w:pPr>
          </w:p>
        </w:tc>
        <w:tc>
          <w:tcPr>
            <w:tcW w:w="1060" w:type="dxa"/>
            <w:vAlign w:val="bottom"/>
            <w:tcBorders>
              <w:bottom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120" w:type="dxa"/>
            <w:vAlign w:val="bottom"/>
            <w:tcBorders>
              <w:bottom w:val="single" w:sz="8" w:color="0077C0"/>
              <w:right w:val="single" w:sz="8" w:color="0077C0"/>
            </w:tcBorders>
          </w:tcPr>
          <w:p>
            <w:pPr>
              <w:spacing w:after="0"/>
              <w:rPr>
                <w:sz w:val="2"/>
                <w:szCs w:val="2"/>
                <w:color w:val="auto"/>
              </w:rPr>
            </w:pPr>
          </w:p>
        </w:tc>
        <w:tc>
          <w:tcPr>
            <w:tcW w:w="460" w:type="dxa"/>
            <w:vAlign w:val="bottom"/>
            <w:tcBorders>
              <w:bottom w:val="single" w:sz="8" w:color="0077C0"/>
            </w:tcBorders>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c>
          <w:tcPr>
            <w:tcW w:w="160" w:type="dxa"/>
            <w:vAlign w:val="bottom"/>
            <w:tcBorders>
              <w:bottom w:val="single" w:sz="8" w:color="0077C0"/>
            </w:tcBorders>
          </w:tcPr>
          <w:p>
            <w:pPr>
              <w:spacing w:after="0"/>
              <w:rPr>
                <w:sz w:val="2"/>
                <w:szCs w:val="2"/>
                <w:color w:val="auto"/>
              </w:rPr>
            </w:pPr>
          </w:p>
        </w:tc>
        <w:tc>
          <w:tcPr>
            <w:tcW w:w="1320" w:type="dxa"/>
            <w:vAlign w:val="bottom"/>
            <w:tcBorders>
              <w:bottom w:val="single" w:sz="8" w:color="0077C0"/>
            </w:tcBorders>
          </w:tcPr>
          <w:p>
            <w:pPr>
              <w:spacing w:after="0"/>
              <w:rPr>
                <w:sz w:val="2"/>
                <w:szCs w:val="2"/>
                <w:color w:val="auto"/>
              </w:rPr>
            </w:pPr>
          </w:p>
        </w:tc>
      </w:tr>
      <w:tr>
        <w:trPr>
          <w:trHeight w:val="190"/>
        </w:trPr>
        <w:tc>
          <w:tcPr>
            <w:tcW w:w="5200" w:type="dxa"/>
            <w:vAlign w:val="bottom"/>
            <w:tcBorders>
              <w:bottom w:val="single" w:sz="8" w:color="0077C0"/>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Noncurrent lease liabilities</w:t>
            </w:r>
          </w:p>
        </w:tc>
        <w:tc>
          <w:tcPr>
            <w:tcW w:w="440" w:type="dxa"/>
            <w:vAlign w:val="bottom"/>
            <w:tcBorders>
              <w:bottom w:val="single" w:sz="8" w:color="0077C0"/>
            </w:tcBorders>
          </w:tcPr>
          <w:p>
            <w:pPr>
              <w:spacing w:after="0"/>
              <w:rPr>
                <w:sz w:val="16"/>
                <w:szCs w:val="16"/>
                <w:color w:val="auto"/>
              </w:rPr>
            </w:pPr>
          </w:p>
        </w:tc>
        <w:tc>
          <w:tcPr>
            <w:tcW w:w="1060" w:type="dxa"/>
            <w:vAlign w:val="bottom"/>
            <w:tcBorders>
              <w:bottom w:val="single" w:sz="8" w:color="0077C0"/>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3,551</w:t>
            </w:r>
          </w:p>
        </w:tc>
        <w:tc>
          <w:tcPr>
            <w:tcW w:w="560" w:type="dxa"/>
            <w:vAlign w:val="bottom"/>
            <w:tcBorders>
              <w:bottom w:val="single" w:sz="8" w:color="0077C0"/>
            </w:tcBorders>
          </w:tcPr>
          <w:p>
            <w:pPr>
              <w:spacing w:after="0"/>
              <w:rPr>
                <w:sz w:val="16"/>
                <w:szCs w:val="16"/>
                <w:color w:val="auto"/>
              </w:rPr>
            </w:pPr>
          </w:p>
        </w:tc>
        <w:tc>
          <w:tcPr>
            <w:tcW w:w="92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546</w:t>
            </w:r>
          </w:p>
        </w:tc>
        <w:tc>
          <w:tcPr>
            <w:tcW w:w="120" w:type="dxa"/>
            <w:vAlign w:val="bottom"/>
            <w:tcBorders>
              <w:bottom w:val="single" w:sz="8" w:color="0077C0"/>
              <w:right w:val="single" w:sz="8" w:color="0077C0"/>
            </w:tcBorders>
          </w:tcPr>
          <w:p>
            <w:pPr>
              <w:spacing w:after="0"/>
              <w:rPr>
                <w:sz w:val="16"/>
                <w:szCs w:val="16"/>
                <w:color w:val="auto"/>
              </w:rPr>
            </w:pPr>
          </w:p>
        </w:tc>
        <w:tc>
          <w:tcPr>
            <w:tcW w:w="460" w:type="dxa"/>
            <w:vAlign w:val="bottom"/>
            <w:tcBorders>
              <w:bottom w:val="single" w:sz="8" w:color="0077C0"/>
            </w:tcBorders>
          </w:tcPr>
          <w:p>
            <w:pPr>
              <w:spacing w:after="0"/>
              <w:rPr>
                <w:sz w:val="16"/>
                <w:szCs w:val="16"/>
                <w:color w:val="auto"/>
              </w:rPr>
            </w:pPr>
          </w:p>
        </w:tc>
        <w:tc>
          <w:tcPr>
            <w:tcW w:w="1000" w:type="dxa"/>
            <w:vAlign w:val="bottom"/>
            <w:tcBorders>
              <w:bottom w:val="single" w:sz="8" w:color="0077C0"/>
            </w:tcBorders>
          </w:tcPr>
          <w:p>
            <w:pPr>
              <w:jc w:val="right"/>
              <w:ind w:right="148"/>
              <w:spacing w:after="0"/>
              <w:rPr>
                <w:sz w:val="20"/>
                <w:szCs w:val="20"/>
                <w:color w:val="auto"/>
              </w:rPr>
            </w:pPr>
            <w:r>
              <w:rPr>
                <w:rFonts w:ascii="Times New Roman" w:cs="Times New Roman" w:eastAsia="Times New Roman" w:hAnsi="Times New Roman"/>
                <w:sz w:val="14"/>
                <w:szCs w:val="14"/>
                <w:color w:val="auto"/>
              </w:rPr>
              <w:t>3,696</w:t>
            </w:r>
          </w:p>
        </w:tc>
        <w:tc>
          <w:tcPr>
            <w:tcW w:w="160" w:type="dxa"/>
            <w:vAlign w:val="bottom"/>
            <w:tcBorders>
              <w:bottom w:val="single" w:sz="8" w:color="0077C0"/>
            </w:tcBorders>
          </w:tcPr>
          <w:p>
            <w:pPr>
              <w:spacing w:after="0"/>
              <w:rPr>
                <w:sz w:val="16"/>
                <w:szCs w:val="16"/>
                <w:color w:val="auto"/>
              </w:rPr>
            </w:pPr>
          </w:p>
        </w:tc>
        <w:tc>
          <w:tcPr>
            <w:tcW w:w="132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color w:val="auto"/>
              </w:rPr>
              <w:t>574</w:t>
            </w:r>
          </w:p>
        </w:tc>
      </w:tr>
      <w:tr>
        <w:trPr>
          <w:trHeight w:val="196"/>
        </w:trPr>
        <w:tc>
          <w:tcPr>
            <w:tcW w:w="5200" w:type="dxa"/>
            <w:vAlign w:val="bottom"/>
            <w:tcBorders>
              <w:bottom w:val="single" w:sz="8" w:color="0077C0"/>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Total lease liabilities</w:t>
            </w:r>
          </w:p>
        </w:tc>
        <w:tc>
          <w:tcPr>
            <w:tcW w:w="440" w:type="dxa"/>
            <w:vAlign w:val="bottom"/>
            <w:tcBorders>
              <w:bottom w:val="single" w:sz="8" w:color="0077C0"/>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0077C0"/>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5,070</w:t>
            </w:r>
          </w:p>
        </w:tc>
        <w:tc>
          <w:tcPr>
            <w:tcW w:w="560" w:type="dxa"/>
            <w:vAlign w:val="bottom"/>
            <w:tcBorders>
              <w:bottom w:val="single" w:sz="8" w:color="0077C0"/>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604</w:t>
            </w:r>
          </w:p>
        </w:tc>
        <w:tc>
          <w:tcPr>
            <w:tcW w:w="120" w:type="dxa"/>
            <w:vAlign w:val="bottom"/>
            <w:tcBorders>
              <w:bottom w:val="single" w:sz="8" w:color="0077C0"/>
              <w:right w:val="single" w:sz="8" w:color="0077C0"/>
            </w:tcBorders>
          </w:tcPr>
          <w:p>
            <w:pPr>
              <w:spacing w:after="0"/>
              <w:rPr>
                <w:sz w:val="17"/>
                <w:szCs w:val="17"/>
                <w:color w:val="auto"/>
              </w:rPr>
            </w:pPr>
          </w:p>
        </w:tc>
        <w:tc>
          <w:tcPr>
            <w:tcW w:w="460" w:type="dxa"/>
            <w:vAlign w:val="bottom"/>
            <w:tcBorders>
              <w:bottom w:val="single" w:sz="8" w:color="0077C0"/>
            </w:tcBorders>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0077C0"/>
            </w:tcBorders>
          </w:tcPr>
          <w:p>
            <w:pPr>
              <w:jc w:val="right"/>
              <w:ind w:right="148"/>
              <w:spacing w:after="0"/>
              <w:rPr>
                <w:sz w:val="20"/>
                <w:szCs w:val="20"/>
                <w:color w:val="auto"/>
              </w:rPr>
            </w:pPr>
            <w:r>
              <w:rPr>
                <w:rFonts w:ascii="Times New Roman" w:cs="Times New Roman" w:eastAsia="Times New Roman" w:hAnsi="Times New Roman"/>
                <w:sz w:val="14"/>
                <w:szCs w:val="14"/>
                <w:color w:val="auto"/>
              </w:rPr>
              <w:t>5,234</w:t>
            </w:r>
          </w:p>
        </w:tc>
        <w:tc>
          <w:tcPr>
            <w:tcW w:w="1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color w:val="auto"/>
              </w:rPr>
              <w:t>634</w:t>
            </w:r>
          </w:p>
        </w:tc>
      </w:tr>
      <w:tr>
        <w:trPr>
          <w:trHeight w:val="219"/>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 (in years)</w:t>
            </w:r>
          </w:p>
        </w:tc>
        <w:tc>
          <w:tcPr>
            <w:tcW w:w="440" w:type="dxa"/>
            <w:vAlign w:val="bottom"/>
          </w:tcPr>
          <w:p>
            <w:pPr>
              <w:spacing w:after="0"/>
              <w:rPr>
                <w:sz w:val="19"/>
                <w:szCs w:val="19"/>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6.3</w:t>
            </w:r>
          </w:p>
        </w:tc>
        <w:tc>
          <w:tcPr>
            <w:tcW w:w="560" w:type="dxa"/>
            <w:vAlign w:val="bottom"/>
          </w:tcPr>
          <w:p>
            <w:pPr>
              <w:spacing w:after="0"/>
              <w:rPr>
                <w:sz w:val="19"/>
                <w:szCs w:val="19"/>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6.7</w:t>
            </w:r>
          </w:p>
        </w:tc>
        <w:tc>
          <w:tcPr>
            <w:tcW w:w="160" w:type="dxa"/>
            <w:vAlign w:val="bottom"/>
          </w:tcPr>
          <w:p>
            <w:pPr>
              <w:spacing w:after="0"/>
              <w:rPr>
                <w:sz w:val="19"/>
                <w:szCs w:val="19"/>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12.6</w:t>
            </w:r>
          </w:p>
        </w:tc>
      </w:tr>
      <w:tr>
        <w:trPr>
          <w:trHeight w:val="203"/>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44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3.7 %</w:t>
            </w: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4.5 %</w:t>
            </w:r>
          </w:p>
        </w:tc>
      </w:tr>
    </w:tbl>
    <w:p>
      <w:pPr>
        <w:spacing w:after="0" w:line="105" w:lineRule="exact"/>
        <w:rPr>
          <w:sz w:val="20"/>
          <w:szCs w:val="20"/>
          <w:color w:val="auto"/>
        </w:rPr>
      </w:pPr>
    </w:p>
    <w:p>
      <w:pPr>
        <w:ind w:left="180" w:hanging="91"/>
        <w:spacing w:after="0" w:line="226" w:lineRule="auto"/>
        <w:tabs>
          <w:tab w:leader="none" w:pos="184" w:val="left"/>
        </w:tabs>
        <w:numPr>
          <w:ilvl w:val="0"/>
          <w:numId w:val="3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Includes non-cash additions of $2,205 and $40 in 2024, and $2,556 and $233 in 2023 for right-of-use assets obtained in exchange for new and modified lease liabilities for operating and finance leases, respectively.</w:t>
      </w:r>
    </w:p>
    <w:p>
      <w:pPr>
        <w:spacing w:after="0" w:line="226"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8"/>
          <w:szCs w:val="18"/>
          <w:color w:val="auto"/>
        </w:rPr>
        <w:t>Total lease costs consist of both amounts recognized in the Consolidated Statement of Income during the period and amounts capitalized as part of the cost of another asset. Total lease costs incurred for operating and finance leases were as follows:</w:t>
      </w:r>
    </w:p>
    <w:tbl>
      <w:tblPr>
        <w:tblLayout w:type="fixed"/>
        <w:tblInd w:w="0" w:type="dxa"/>
        <w:tblCellMar>
          <w:top w:w="0" w:type="dxa"/>
          <w:left w:w="0" w:type="dxa"/>
          <w:bottom w:w="0" w:type="dxa"/>
          <w:right w:w="0" w:type="dxa"/>
        </w:tblCellMar>
      </w:tblPr>
      <w:tr>
        <w:trPr>
          <w:trHeight w:val="188"/>
        </w:trPr>
        <w:tc>
          <w:tcPr>
            <w:tcW w:w="6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Year-ended December 31</w:t>
            </w:r>
          </w:p>
        </w:tc>
      </w:tr>
      <w:tr>
        <w:trPr>
          <w:trHeight w:val="23"/>
        </w:trPr>
        <w:tc>
          <w:tcPr>
            <w:tcW w:w="6940" w:type="dxa"/>
            <w:vAlign w:val="bottom"/>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96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86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840" w:type="dxa"/>
            <w:vAlign w:val="bottom"/>
            <w:tcBorders>
              <w:bottom w:val="single" w:sz="8" w:color="0077C0"/>
            </w:tcBorders>
          </w:tcPr>
          <w:p>
            <w:pPr>
              <w:spacing w:after="0"/>
              <w:rPr>
                <w:sz w:val="2"/>
                <w:szCs w:val="2"/>
                <w:color w:val="auto"/>
              </w:rPr>
            </w:pPr>
          </w:p>
        </w:tc>
      </w:tr>
      <w:tr>
        <w:trPr>
          <w:trHeight w:val="190"/>
        </w:trPr>
        <w:tc>
          <w:tcPr>
            <w:tcW w:w="6940" w:type="dxa"/>
            <w:vAlign w:val="bottom"/>
            <w:tcBorders>
              <w:bottom w:val="single" w:sz="8" w:color="0077C0"/>
            </w:tcBorders>
          </w:tcPr>
          <w:p>
            <w:pPr>
              <w:spacing w:after="0"/>
              <w:rPr>
                <w:sz w:val="16"/>
                <w:szCs w:val="16"/>
                <w:color w:val="auto"/>
              </w:rPr>
            </w:pPr>
          </w:p>
        </w:tc>
        <w:tc>
          <w:tcPr>
            <w:tcW w:w="540" w:type="dxa"/>
            <w:vAlign w:val="bottom"/>
            <w:tcBorders>
              <w:bottom w:val="single" w:sz="8" w:color="0077C0"/>
            </w:tcBorders>
          </w:tcPr>
          <w:p>
            <w:pPr>
              <w:spacing w:after="0"/>
              <w:rPr>
                <w:sz w:val="16"/>
                <w:szCs w:val="16"/>
                <w:color w:val="auto"/>
              </w:rPr>
            </w:pPr>
          </w:p>
        </w:tc>
        <w:tc>
          <w:tcPr>
            <w:tcW w:w="96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0077C0"/>
            </w:tcBorders>
          </w:tcPr>
          <w:p>
            <w:pPr>
              <w:spacing w:after="0"/>
              <w:rPr>
                <w:sz w:val="16"/>
                <w:szCs w:val="16"/>
                <w:color w:val="auto"/>
              </w:rPr>
            </w:pPr>
          </w:p>
        </w:tc>
        <w:tc>
          <w:tcPr>
            <w:tcW w:w="8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580" w:type="dxa"/>
            <w:vAlign w:val="bottom"/>
            <w:tcBorders>
              <w:bottom w:val="single" w:sz="8" w:color="0077C0"/>
            </w:tcBorders>
          </w:tcPr>
          <w:p>
            <w:pPr>
              <w:spacing w:after="0"/>
              <w:rPr>
                <w:sz w:val="16"/>
                <w:szCs w:val="16"/>
                <w:color w:val="auto"/>
              </w:rPr>
            </w:pPr>
          </w:p>
        </w:tc>
        <w:tc>
          <w:tcPr>
            <w:tcW w:w="8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r>
      <w:tr>
        <w:trPr>
          <w:trHeight w:val="190"/>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costs*</w:t>
            </w:r>
          </w:p>
        </w:tc>
        <w:tc>
          <w:tcPr>
            <w:tcW w:w="5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3,447</w:t>
            </w:r>
          </w:p>
        </w:tc>
        <w:tc>
          <w:tcPr>
            <w:tcW w:w="5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2,984</w:t>
            </w:r>
          </w:p>
        </w:tc>
        <w:tc>
          <w:tcPr>
            <w:tcW w:w="5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2,359</w:t>
            </w:r>
          </w:p>
        </w:tc>
      </w:tr>
      <w:tr>
        <w:trPr>
          <w:trHeight w:val="191"/>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 lease costs</w:t>
            </w:r>
          </w:p>
        </w:tc>
        <w:tc>
          <w:tcPr>
            <w:tcW w:w="540" w:type="dxa"/>
            <w:vAlign w:val="bottom"/>
          </w:tcPr>
          <w:p>
            <w:pPr>
              <w:spacing w:after="0"/>
              <w:rPr>
                <w:sz w:val="16"/>
                <w:szCs w:val="16"/>
                <w:color w:val="auto"/>
              </w:rPr>
            </w:pPr>
          </w:p>
        </w:tc>
        <w:tc>
          <w:tcPr>
            <w:tcW w:w="96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83</w:t>
            </w:r>
          </w:p>
        </w:tc>
        <w:tc>
          <w:tcPr>
            <w:tcW w:w="5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5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23"/>
        </w:trPr>
        <w:tc>
          <w:tcPr>
            <w:tcW w:w="6940" w:type="dxa"/>
            <w:vAlign w:val="bottom"/>
            <w:tcBorders>
              <w:bottom w:val="single" w:sz="8" w:color="0077C0"/>
            </w:tcBorders>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960" w:type="dxa"/>
            <w:vAlign w:val="bottom"/>
            <w:tcBorders>
              <w:bottom w:val="single" w:sz="8" w:color="0077C0"/>
              <w:right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86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840" w:type="dxa"/>
            <w:vAlign w:val="bottom"/>
            <w:tcBorders>
              <w:bottom w:val="single" w:sz="8" w:color="0077C0"/>
            </w:tcBorders>
          </w:tcPr>
          <w:p>
            <w:pPr>
              <w:spacing w:after="0"/>
              <w:rPr>
                <w:sz w:val="2"/>
                <w:szCs w:val="2"/>
                <w:color w:val="auto"/>
              </w:rPr>
            </w:pPr>
          </w:p>
        </w:tc>
      </w:tr>
      <w:tr>
        <w:trPr>
          <w:trHeight w:val="190"/>
        </w:trPr>
        <w:tc>
          <w:tcPr>
            <w:tcW w:w="6940" w:type="dxa"/>
            <w:vAlign w:val="bottom"/>
            <w:tcBorders>
              <w:bottom w:val="single" w:sz="8" w:color="0077C0"/>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Total lease costs</w:t>
            </w:r>
          </w:p>
        </w:tc>
        <w:tc>
          <w:tcPr>
            <w:tcW w:w="540" w:type="dxa"/>
            <w:vAlign w:val="bottom"/>
            <w:tcBorders>
              <w:bottom w:val="single" w:sz="8" w:color="0077C0"/>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0077C0"/>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3,530</w:t>
            </w:r>
          </w:p>
        </w:tc>
        <w:tc>
          <w:tcPr>
            <w:tcW w:w="520" w:type="dxa"/>
            <w:vAlign w:val="bottom"/>
            <w:tcBorders>
              <w:bottom w:val="single" w:sz="8" w:color="0077C0"/>
            </w:tcBorders>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3,036</w:t>
            </w:r>
          </w:p>
        </w:tc>
        <w:tc>
          <w:tcPr>
            <w:tcW w:w="580" w:type="dxa"/>
            <w:vAlign w:val="bottom"/>
            <w:tcBorders>
              <w:bottom w:val="single" w:sz="8" w:color="0077C0"/>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2,416</w:t>
            </w:r>
          </w:p>
        </w:tc>
      </w:tr>
    </w:tbl>
    <w:p>
      <w:pPr>
        <w:spacing w:after="0" w:line="42" w:lineRule="exact"/>
        <w:rPr>
          <w:sz w:val="20"/>
          <w:szCs w:val="20"/>
          <w:color w:val="auto"/>
        </w:rPr>
      </w:pPr>
    </w:p>
    <w:p>
      <w:pPr>
        <w:ind w:left="80" w:hanging="72"/>
        <w:spacing w:after="0"/>
        <w:tabs>
          <w:tab w:leader="none" w:pos="80" w:val="left"/>
        </w:tabs>
        <w:numPr>
          <w:ilvl w:val="0"/>
          <w:numId w:val="3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variable and short-term lease costs.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 was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Year-ended December 31</w:t>
            </w:r>
          </w:p>
        </w:tc>
      </w:tr>
      <w:tr>
        <w:trPr>
          <w:trHeight w:val="23"/>
        </w:trPr>
        <w:tc>
          <w:tcPr>
            <w:tcW w:w="6940" w:type="dxa"/>
            <w:vAlign w:val="bottom"/>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96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1440" w:type="dxa"/>
            <w:vAlign w:val="bottom"/>
            <w:tcBorders>
              <w:bottom w:val="single" w:sz="8" w:color="0077C0"/>
            </w:tcBorders>
            <w:gridSpan w:val="2"/>
          </w:tcPr>
          <w:p>
            <w:pPr>
              <w:spacing w:after="0"/>
              <w:rPr>
                <w:sz w:val="2"/>
                <w:szCs w:val="2"/>
                <w:color w:val="auto"/>
              </w:rPr>
            </w:pPr>
          </w:p>
        </w:tc>
        <w:tc>
          <w:tcPr>
            <w:tcW w:w="840" w:type="dxa"/>
            <w:vAlign w:val="bottom"/>
            <w:tcBorders>
              <w:bottom w:val="single" w:sz="8" w:color="0077C0"/>
            </w:tcBorders>
          </w:tcPr>
          <w:p>
            <w:pPr>
              <w:spacing w:after="0"/>
              <w:rPr>
                <w:sz w:val="2"/>
                <w:szCs w:val="2"/>
                <w:color w:val="auto"/>
              </w:rPr>
            </w:pPr>
          </w:p>
        </w:tc>
      </w:tr>
      <w:tr>
        <w:trPr>
          <w:trHeight w:val="190"/>
        </w:trPr>
        <w:tc>
          <w:tcPr>
            <w:tcW w:w="6940" w:type="dxa"/>
            <w:vAlign w:val="bottom"/>
            <w:tcBorders>
              <w:bottom w:val="single" w:sz="8" w:color="0077C0"/>
            </w:tcBorders>
          </w:tcPr>
          <w:p>
            <w:pPr>
              <w:spacing w:after="0"/>
              <w:rPr>
                <w:sz w:val="16"/>
                <w:szCs w:val="16"/>
                <w:color w:val="auto"/>
              </w:rPr>
            </w:pPr>
          </w:p>
        </w:tc>
        <w:tc>
          <w:tcPr>
            <w:tcW w:w="540" w:type="dxa"/>
            <w:vAlign w:val="bottom"/>
            <w:tcBorders>
              <w:bottom w:val="single" w:sz="8" w:color="0077C0"/>
            </w:tcBorders>
          </w:tcPr>
          <w:p>
            <w:pPr>
              <w:spacing w:after="0"/>
              <w:rPr>
                <w:sz w:val="16"/>
                <w:szCs w:val="16"/>
                <w:color w:val="auto"/>
              </w:rPr>
            </w:pPr>
          </w:p>
        </w:tc>
        <w:tc>
          <w:tcPr>
            <w:tcW w:w="96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0077C0"/>
            </w:tcBorders>
          </w:tcPr>
          <w:p>
            <w:pPr>
              <w:spacing w:after="0"/>
              <w:rPr>
                <w:sz w:val="16"/>
                <w:szCs w:val="16"/>
                <w:color w:val="auto"/>
              </w:rPr>
            </w:pPr>
          </w:p>
        </w:tc>
        <w:tc>
          <w:tcPr>
            <w:tcW w:w="1440" w:type="dxa"/>
            <w:vAlign w:val="bottom"/>
            <w:tcBorders>
              <w:bottom w:val="single" w:sz="8" w:color="0077C0"/>
            </w:tcBorders>
            <w:gridSpan w:val="2"/>
          </w:tcPr>
          <w:p>
            <w:pPr>
              <w:jc w:val="right"/>
              <w:ind w:right="568"/>
              <w:spacing w:after="0"/>
              <w:rPr>
                <w:sz w:val="20"/>
                <w:szCs w:val="20"/>
                <w:color w:val="auto"/>
              </w:rPr>
            </w:pPr>
            <w:r>
              <w:rPr>
                <w:rFonts w:ascii="Times New Roman" w:cs="Times New Roman" w:eastAsia="Times New Roman" w:hAnsi="Times New Roman"/>
                <w:sz w:val="14"/>
                <w:szCs w:val="14"/>
                <w:color w:val="auto"/>
              </w:rPr>
              <w:t>2023</w:t>
            </w:r>
          </w:p>
        </w:tc>
        <w:tc>
          <w:tcPr>
            <w:tcW w:w="8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r>
      <w:tr>
        <w:trPr>
          <w:trHeight w:val="190"/>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cash flows from operating leases</w:t>
            </w:r>
          </w:p>
        </w:tc>
        <w:tc>
          <w:tcPr>
            <w:tcW w:w="5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2,468</w:t>
            </w:r>
          </w:p>
        </w:tc>
        <w:tc>
          <w:tcPr>
            <w:tcW w:w="5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2,271</w:t>
            </w:r>
          </w:p>
        </w:tc>
        <w:tc>
          <w:tcPr>
            <w:tcW w:w="66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1,892</w:t>
            </w:r>
          </w:p>
        </w:tc>
      </w:tr>
      <w:tr>
        <w:trPr>
          <w:trHeight w:val="191"/>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Investing cash flows from operating leases</w:t>
            </w:r>
          </w:p>
        </w:tc>
        <w:tc>
          <w:tcPr>
            <w:tcW w:w="540" w:type="dxa"/>
            <w:vAlign w:val="bottom"/>
          </w:tcPr>
          <w:p>
            <w:pPr>
              <w:spacing w:after="0"/>
              <w:rPr>
                <w:sz w:val="16"/>
                <w:szCs w:val="16"/>
                <w:color w:val="auto"/>
              </w:rPr>
            </w:pPr>
          </w:p>
        </w:tc>
        <w:tc>
          <w:tcPr>
            <w:tcW w:w="96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979</w:t>
            </w:r>
          </w:p>
        </w:tc>
        <w:tc>
          <w:tcPr>
            <w:tcW w:w="5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6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w:t>
            </w:r>
          </w:p>
        </w:tc>
      </w:tr>
      <w:tr>
        <w:trPr>
          <w:trHeight w:val="203"/>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cash flows from finance leases</w:t>
            </w:r>
          </w:p>
        </w:tc>
        <w:tc>
          <w:tcPr>
            <w:tcW w:w="540" w:type="dxa"/>
            <w:vAlign w:val="bottom"/>
          </w:tcPr>
          <w:p>
            <w:pPr>
              <w:spacing w:after="0"/>
              <w:rPr>
                <w:sz w:val="17"/>
                <w:szCs w:val="17"/>
                <w:color w:val="auto"/>
              </w:rPr>
            </w:pPr>
          </w:p>
        </w:tc>
        <w:tc>
          <w:tcPr>
            <w:tcW w:w="96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26</w:t>
            </w:r>
          </w:p>
        </w:tc>
        <w:tc>
          <w:tcPr>
            <w:tcW w:w="5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6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03"/>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Financing cash flows from finance leases</w:t>
            </w:r>
          </w:p>
        </w:tc>
        <w:tc>
          <w:tcPr>
            <w:tcW w:w="540" w:type="dxa"/>
            <w:vAlign w:val="bottom"/>
          </w:tcPr>
          <w:p>
            <w:pPr>
              <w:spacing w:after="0"/>
              <w:rPr>
                <w:sz w:val="17"/>
                <w:szCs w:val="17"/>
                <w:color w:val="auto"/>
              </w:rPr>
            </w:pPr>
          </w:p>
        </w:tc>
        <w:tc>
          <w:tcPr>
            <w:tcW w:w="96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67</w:t>
            </w:r>
          </w:p>
        </w:tc>
        <w:tc>
          <w:tcPr>
            <w:tcW w:w="5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6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3"/>
        </w:trPr>
        <w:tc>
          <w:tcPr>
            <w:tcW w:w="6940" w:type="dxa"/>
            <w:vAlign w:val="bottom"/>
            <w:tcBorders>
              <w:bottom w:val="single" w:sz="8" w:color="0077C0"/>
            </w:tcBorders>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960" w:type="dxa"/>
            <w:vAlign w:val="bottom"/>
            <w:tcBorders>
              <w:bottom w:val="single" w:sz="8" w:color="0077C0"/>
              <w:right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78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840" w:type="dxa"/>
            <w:vAlign w:val="bottom"/>
            <w:tcBorders>
              <w:bottom w:val="single" w:sz="8" w:color="0077C0"/>
            </w:tcBorders>
          </w:tcPr>
          <w:p>
            <w:pPr>
              <w:spacing w:after="0"/>
              <w:rPr>
                <w:sz w:val="2"/>
                <w:szCs w:val="2"/>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2024, the estimated future undiscounted cash flows for operating and finance leases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 w:type="dxa"/>
            <w:vAlign w:val="bottom"/>
          </w:tcPr>
          <w:p>
            <w:pPr>
              <w:spacing w:after="0"/>
              <w:rPr>
                <w:sz w:val="16"/>
                <w:szCs w:val="16"/>
                <w:color w:val="auto"/>
              </w:rPr>
            </w:pPr>
          </w:p>
        </w:tc>
        <w:tc>
          <w:tcPr>
            <w:tcW w:w="7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At December 31, 2024</w:t>
            </w:r>
          </w:p>
        </w:tc>
        <w:tc>
          <w:tcPr>
            <w:tcW w:w="0" w:type="dxa"/>
            <w:vAlign w:val="bottom"/>
          </w:tcPr>
          <w:p>
            <w:pPr>
              <w:spacing w:after="0"/>
              <w:rPr>
                <w:sz w:val="1"/>
                <w:szCs w:val="1"/>
                <w:color w:val="auto"/>
              </w:rPr>
            </w:pPr>
          </w:p>
        </w:tc>
      </w:tr>
      <w:tr>
        <w:trPr>
          <w:trHeight w:val="23"/>
        </w:trPr>
        <w:tc>
          <w:tcPr>
            <w:tcW w:w="480" w:type="dxa"/>
            <w:vAlign w:val="bottom"/>
          </w:tcPr>
          <w:p>
            <w:pPr>
              <w:spacing w:after="0"/>
              <w:rPr>
                <w:sz w:val="2"/>
                <w:szCs w:val="2"/>
                <w:color w:val="auto"/>
              </w:rPr>
            </w:pPr>
          </w:p>
        </w:tc>
        <w:tc>
          <w:tcPr>
            <w:tcW w:w="7920" w:type="dxa"/>
            <w:vAlign w:val="bottom"/>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1240" w:type="dxa"/>
            <w:vAlign w:val="bottom"/>
            <w:tcBorders>
              <w:bottom w:val="single" w:sz="8" w:color="0077C0"/>
            </w:tcBorders>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0" w:type="dxa"/>
            <w:vAlign w:val="bottom"/>
          </w:tcPr>
          <w:p>
            <w:pPr>
              <w:spacing w:after="0"/>
              <w:rPr>
                <w:sz w:val="11"/>
                <w:szCs w:val="11"/>
                <w:color w:val="auto"/>
              </w:rPr>
            </w:pPr>
          </w:p>
        </w:tc>
        <w:tc>
          <w:tcPr>
            <w:tcW w:w="7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540" w:type="dxa"/>
            <w:vAlign w:val="bottom"/>
          </w:tcPr>
          <w:p>
            <w:pPr>
              <w:spacing w:after="0"/>
              <w:rPr>
                <w:sz w:val="11"/>
                <w:szCs w:val="11"/>
                <w:color w:val="auto"/>
              </w:rPr>
            </w:pPr>
          </w:p>
        </w:tc>
        <w:tc>
          <w:tcPr>
            <w:tcW w:w="88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Finance</w:t>
            </w:r>
          </w:p>
        </w:tc>
        <w:tc>
          <w:tcPr>
            <w:tcW w:w="0" w:type="dxa"/>
            <w:vAlign w:val="bottom"/>
          </w:tcPr>
          <w:p>
            <w:pPr>
              <w:spacing w:after="0"/>
              <w:rPr>
                <w:sz w:val="1"/>
                <w:szCs w:val="1"/>
                <w:color w:val="auto"/>
              </w:rPr>
            </w:pPr>
          </w:p>
        </w:tc>
      </w:tr>
      <w:tr>
        <w:trPr>
          <w:trHeight w:val="195"/>
        </w:trPr>
        <w:tc>
          <w:tcPr>
            <w:tcW w:w="480" w:type="dxa"/>
            <w:vAlign w:val="bottom"/>
            <w:tcBorders>
              <w:bottom w:val="single" w:sz="8" w:color="0077C0"/>
            </w:tcBorders>
          </w:tcPr>
          <w:p>
            <w:pPr>
              <w:spacing w:after="0"/>
              <w:rPr>
                <w:sz w:val="16"/>
                <w:szCs w:val="16"/>
                <w:color w:val="auto"/>
              </w:rPr>
            </w:pPr>
          </w:p>
        </w:tc>
        <w:tc>
          <w:tcPr>
            <w:tcW w:w="7920" w:type="dxa"/>
            <w:vAlign w:val="bottom"/>
            <w:tcBorders>
              <w:bottom w:val="single" w:sz="8" w:color="0077C0"/>
            </w:tcBorders>
          </w:tcPr>
          <w:p>
            <w:pPr>
              <w:spacing w:after="0"/>
              <w:rPr>
                <w:sz w:val="16"/>
                <w:szCs w:val="16"/>
                <w:color w:val="auto"/>
              </w:rPr>
            </w:pPr>
          </w:p>
        </w:tc>
        <w:tc>
          <w:tcPr>
            <w:tcW w:w="180" w:type="dxa"/>
            <w:vAlign w:val="bottom"/>
            <w:tcBorders>
              <w:bottom w:val="single" w:sz="8" w:color="0077C0"/>
            </w:tcBorders>
          </w:tcPr>
          <w:p>
            <w:pPr>
              <w:spacing w:after="0"/>
              <w:rPr>
                <w:sz w:val="16"/>
                <w:szCs w:val="16"/>
                <w:color w:val="auto"/>
              </w:rPr>
            </w:pPr>
          </w:p>
        </w:tc>
        <w:tc>
          <w:tcPr>
            <w:tcW w:w="1240" w:type="dxa"/>
            <w:vAlign w:val="bottom"/>
            <w:tcBorders>
              <w:bottom w:val="single" w:sz="8" w:color="0077C0"/>
            </w:tcBorders>
            <w:vMerge w:val="continue"/>
          </w:tcPr>
          <w:p>
            <w:pPr>
              <w:spacing w:after="0"/>
              <w:rPr>
                <w:sz w:val="16"/>
                <w:szCs w:val="16"/>
                <w:color w:val="auto"/>
              </w:rPr>
            </w:pPr>
          </w:p>
        </w:tc>
        <w:tc>
          <w:tcPr>
            <w:tcW w:w="540" w:type="dxa"/>
            <w:vAlign w:val="bottom"/>
            <w:tcBorders>
              <w:bottom w:val="single" w:sz="8" w:color="0077C0"/>
            </w:tcBorders>
          </w:tcPr>
          <w:p>
            <w:pPr>
              <w:spacing w:after="0"/>
              <w:rPr>
                <w:sz w:val="16"/>
                <w:szCs w:val="16"/>
                <w:color w:val="auto"/>
              </w:rPr>
            </w:pPr>
          </w:p>
        </w:tc>
        <w:tc>
          <w:tcPr>
            <w:tcW w:w="8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187"/>
        </w:trPr>
        <w:tc>
          <w:tcPr>
            <w:tcW w:w="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w:t>
            </w:r>
          </w:p>
        </w:tc>
        <w:tc>
          <w:tcPr>
            <w:tcW w:w="79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2025</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1,665</w:t>
            </w:r>
          </w:p>
        </w:tc>
        <w:tc>
          <w:tcPr>
            <w:tcW w:w="54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193"/>
        </w:trPr>
        <w:tc>
          <w:tcPr>
            <w:tcW w:w="480" w:type="dxa"/>
            <w:vAlign w:val="bottom"/>
          </w:tcPr>
          <w:p>
            <w:pPr>
              <w:spacing w:after="0"/>
              <w:rPr>
                <w:sz w:val="16"/>
                <w:szCs w:val="16"/>
                <w:color w:val="auto"/>
              </w:rPr>
            </w:pPr>
          </w:p>
        </w:tc>
        <w:tc>
          <w:tcPr>
            <w:tcW w:w="79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2026</w:t>
            </w:r>
          </w:p>
        </w:tc>
        <w:tc>
          <w:tcPr>
            <w:tcW w:w="18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1,162</w:t>
            </w:r>
          </w:p>
        </w:tc>
        <w:tc>
          <w:tcPr>
            <w:tcW w:w="5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79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2027</w:t>
            </w:r>
          </w:p>
        </w:tc>
        <w:tc>
          <w:tcPr>
            <w:tcW w:w="18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833</w:t>
            </w:r>
          </w:p>
        </w:tc>
        <w:tc>
          <w:tcPr>
            <w:tcW w:w="5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79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2028</w:t>
            </w:r>
          </w:p>
        </w:tc>
        <w:tc>
          <w:tcPr>
            <w:tcW w:w="18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555</w:t>
            </w:r>
          </w:p>
        </w:tc>
        <w:tc>
          <w:tcPr>
            <w:tcW w:w="5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79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2029</w:t>
            </w:r>
          </w:p>
        </w:tc>
        <w:tc>
          <w:tcPr>
            <w:tcW w:w="18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275</w:t>
            </w:r>
          </w:p>
        </w:tc>
        <w:tc>
          <w:tcPr>
            <w:tcW w:w="5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79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Thereafter</w:t>
            </w:r>
          </w:p>
        </w:tc>
        <w:tc>
          <w:tcPr>
            <w:tcW w:w="18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1,276</w:t>
            </w:r>
          </w:p>
        </w:tc>
        <w:tc>
          <w:tcPr>
            <w:tcW w:w="5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0" w:type="dxa"/>
            <w:vAlign w:val="bottom"/>
          </w:tcPr>
          <w:p>
            <w:pPr>
              <w:spacing w:after="0"/>
              <w:rPr>
                <w:sz w:val="1"/>
                <w:szCs w:val="1"/>
                <w:color w:val="auto"/>
              </w:rPr>
            </w:pPr>
          </w:p>
        </w:tc>
      </w:tr>
      <w:tr>
        <w:trPr>
          <w:trHeight w:val="23"/>
        </w:trPr>
        <w:tc>
          <w:tcPr>
            <w:tcW w:w="480" w:type="dxa"/>
            <w:vAlign w:val="bottom"/>
            <w:tcBorders>
              <w:bottom w:val="single" w:sz="8" w:color="0077C0"/>
            </w:tcBorders>
          </w:tcPr>
          <w:p>
            <w:pPr>
              <w:spacing w:after="0"/>
              <w:rPr>
                <w:sz w:val="2"/>
                <w:szCs w:val="2"/>
                <w:color w:val="auto"/>
              </w:rPr>
            </w:pPr>
          </w:p>
        </w:tc>
        <w:tc>
          <w:tcPr>
            <w:tcW w:w="7920" w:type="dxa"/>
            <w:vAlign w:val="bottom"/>
            <w:tcBorders>
              <w:bottom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1240" w:type="dxa"/>
            <w:vAlign w:val="bottom"/>
            <w:tcBorders>
              <w:bottom w:val="single" w:sz="8" w:color="0077C0"/>
            </w:tcBorders>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0" w:type="dxa"/>
            <w:vAlign w:val="bottom"/>
            <w:tcBorders>
              <w:bottom w:val="single" w:sz="8" w:color="0077C0"/>
            </w:tcBorders>
          </w:tcPr>
          <w:p>
            <w:pPr>
              <w:spacing w:after="0"/>
              <w:rPr>
                <w:sz w:val="16"/>
                <w:szCs w:val="16"/>
                <w:color w:val="auto"/>
              </w:rPr>
            </w:pPr>
          </w:p>
        </w:tc>
        <w:tc>
          <w:tcPr>
            <w:tcW w:w="7920" w:type="dxa"/>
            <w:vAlign w:val="bottom"/>
            <w:tcBorders>
              <w:bottom w:val="single" w:sz="8" w:color="0077C0"/>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5,766</w:t>
            </w:r>
          </w:p>
        </w:tc>
        <w:tc>
          <w:tcPr>
            <w:tcW w:w="540" w:type="dxa"/>
            <w:vAlign w:val="bottom"/>
            <w:tcBorders>
              <w:bottom w:val="single" w:sz="8" w:color="0077C0"/>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814</w:t>
            </w:r>
          </w:p>
        </w:tc>
        <w:tc>
          <w:tcPr>
            <w:tcW w:w="0" w:type="dxa"/>
            <w:vAlign w:val="bottom"/>
          </w:tcPr>
          <w:p>
            <w:pPr>
              <w:spacing w:after="0"/>
              <w:rPr>
                <w:sz w:val="1"/>
                <w:szCs w:val="1"/>
                <w:color w:val="auto"/>
              </w:rPr>
            </w:pPr>
          </w:p>
        </w:tc>
      </w:tr>
      <w:tr>
        <w:trPr>
          <w:trHeight w:val="196"/>
        </w:trPr>
        <w:tc>
          <w:tcPr>
            <w:tcW w:w="8400" w:type="dxa"/>
            <w:vAlign w:val="bottom"/>
            <w:tcBorders>
              <w:bottom w:val="single" w:sz="8" w:color="0077C0"/>
            </w:tcBorders>
            <w:gridSpan w:val="2"/>
          </w:tcPr>
          <w:p>
            <w:pPr>
              <w:ind w:left="20"/>
              <w:spacing w:after="0"/>
              <w:rPr>
                <w:sz w:val="20"/>
                <w:szCs w:val="20"/>
                <w:color w:val="auto"/>
              </w:rPr>
            </w:pPr>
            <w:r>
              <w:rPr>
                <w:rFonts w:ascii="Times New Roman" w:cs="Times New Roman" w:eastAsia="Times New Roman" w:hAnsi="Times New Roman"/>
                <w:sz w:val="14"/>
                <w:szCs w:val="14"/>
                <w:color w:val="auto"/>
              </w:rPr>
              <w:t>Less: Amounts representing interest</w:t>
            </w:r>
          </w:p>
        </w:tc>
        <w:tc>
          <w:tcPr>
            <w:tcW w:w="180" w:type="dxa"/>
            <w:vAlign w:val="bottom"/>
            <w:tcBorders>
              <w:bottom w:val="single" w:sz="8" w:color="0077C0"/>
            </w:tcBorders>
          </w:tcPr>
          <w:p>
            <w:pPr>
              <w:spacing w:after="0"/>
              <w:rPr>
                <w:sz w:val="17"/>
                <w:szCs w:val="17"/>
                <w:color w:val="auto"/>
              </w:rPr>
            </w:pPr>
          </w:p>
        </w:tc>
        <w:tc>
          <w:tcPr>
            <w:tcW w:w="1240" w:type="dxa"/>
            <w:vAlign w:val="bottom"/>
            <w:tcBorders>
              <w:bottom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color w:val="auto"/>
              </w:rPr>
              <w:t>696</w:t>
            </w:r>
          </w:p>
        </w:tc>
        <w:tc>
          <w:tcPr>
            <w:tcW w:w="540" w:type="dxa"/>
            <w:vAlign w:val="bottom"/>
            <w:tcBorders>
              <w:bottom w:val="single" w:sz="8" w:color="0077C0"/>
            </w:tcBorders>
          </w:tcPr>
          <w:p>
            <w:pPr>
              <w:spacing w:after="0"/>
              <w:rPr>
                <w:sz w:val="17"/>
                <w:szCs w:val="17"/>
                <w:color w:val="auto"/>
              </w:rPr>
            </w:pPr>
          </w:p>
        </w:tc>
        <w:tc>
          <w:tcPr>
            <w:tcW w:w="8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r>
        <w:trPr>
          <w:trHeight w:val="196"/>
        </w:trPr>
        <w:tc>
          <w:tcPr>
            <w:tcW w:w="8400" w:type="dxa"/>
            <w:vAlign w:val="bottom"/>
            <w:tcBorders>
              <w:bottom w:val="single" w:sz="8" w:color="0077C0"/>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 lease liabilities</w:t>
            </w:r>
          </w:p>
        </w:tc>
        <w:tc>
          <w:tcPr>
            <w:tcW w:w="18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5,070</w:t>
            </w:r>
          </w:p>
        </w:tc>
        <w:tc>
          <w:tcPr>
            <w:tcW w:w="540" w:type="dxa"/>
            <w:vAlign w:val="bottom"/>
            <w:tcBorders>
              <w:bottom w:val="single" w:sz="8" w:color="0077C0"/>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604</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the company has $403 in future undiscounted cash flows for operating leases not yet commenced. These leases are primarily for drilling rigs, time chartered vessels, exploration and production equipment and storage tanks. For</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76" w:name="page77"/>
    <w:bookmarkEnd w:id="76"/>
    <w:p>
      <w:pPr>
        <w:ind w:left="20"/>
        <w:spacing w:after="0"/>
        <w:tabs>
          <w:tab w:leader="none" w:pos="9460" w:val="left"/>
        </w:tabs>
        <w:rPr>
          <w:sz w:val="20"/>
          <w:szCs w:val="20"/>
          <w:color w:val="auto"/>
        </w:rPr>
      </w:pPr>
      <w:r>
        <w:rPr>
          <w:rFonts w:ascii="Arial" w:cs="Arial" w:eastAsia="Arial" w:hAnsi="Arial"/>
          <w:sz w:val="14"/>
          <w:szCs w:val="14"/>
          <w:color w:val="0077C0"/>
        </w:rPr>
        <w:t>Notes to the Consolidated Financial Statements</w:t>
      </w:r>
      <w:r>
        <w:rPr>
          <w:sz w:val="20"/>
          <w:szCs w:val="20"/>
          <w:color w:val="auto"/>
        </w:rPr>
        <w:tab/>
      </w:r>
      <w:r>
        <w:rPr>
          <w:rFonts w:ascii="Arial" w:cs="Arial" w:eastAsia="Arial" w:hAnsi="Arial"/>
          <w:sz w:val="14"/>
          <w:szCs w:val="14"/>
          <w:color w:val="0077C0"/>
        </w:rPr>
        <w:t>Financial Table of Contents</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11"/>
          <w:szCs w:val="11"/>
          <w:color w:val="0077C0"/>
        </w:rPr>
        <w:t>Millions of dollars, except per-share amounts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those leasing arrangements where the underlying asset is not yet constructed, the lessor is primarily involved in the design and construction of the asset.</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6</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0077C0"/>
        </w:rPr>
        <w:t>Summarized Financial Data – Chevron U.S.A. Inc.</w:t>
      </w:r>
    </w:p>
    <w:p>
      <w:pPr>
        <w:spacing w:after="0" w:line="1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Chevron U.S.A. Inc. (CUSA) is a major subsidiary of Chevron Corporation. CUSA and its subsidiaries manage and operate most of Chevron’s U.S. businesses. Assets include those related to the exploration and production of crude oil, natural gas, and natural gas liquids (NGLs) and those associated with the refining, marketing, supply and distribution of products derived from petroleum, excluding most of the regulated pipeline operations of Chevron. CUSA also holds the company’s investment in the Chevron Phillips Chemical Company LLC joint venture, which is accounted for using the equity method. The summarized financial information for CUSA and its consolidated subsidiaries is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Year ended December 31</w:t>
            </w:r>
          </w:p>
        </w:tc>
      </w:tr>
      <w:tr>
        <w:trPr>
          <w:trHeight w:val="23"/>
        </w:trPr>
        <w:tc>
          <w:tcPr>
            <w:tcW w:w="6560" w:type="dxa"/>
            <w:vAlign w:val="bottom"/>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106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980" w:type="dxa"/>
            <w:vAlign w:val="bottom"/>
            <w:tcBorders>
              <w:bottom w:val="single" w:sz="8" w:color="0077C0"/>
            </w:tcBorders>
          </w:tcPr>
          <w:p>
            <w:pPr>
              <w:spacing w:after="0"/>
              <w:rPr>
                <w:sz w:val="2"/>
                <w:szCs w:val="2"/>
                <w:color w:val="auto"/>
              </w:rPr>
            </w:pPr>
          </w:p>
        </w:tc>
        <w:tc>
          <w:tcPr>
            <w:tcW w:w="380" w:type="dxa"/>
            <w:vAlign w:val="bottom"/>
            <w:tcBorders>
              <w:bottom w:val="single" w:sz="8" w:color="0077C0"/>
            </w:tcBorders>
          </w:tcPr>
          <w:p>
            <w:pPr>
              <w:spacing w:after="0"/>
              <w:rPr>
                <w:sz w:val="2"/>
                <w:szCs w:val="2"/>
                <w:color w:val="auto"/>
              </w:rPr>
            </w:pPr>
          </w:p>
        </w:tc>
        <w:tc>
          <w:tcPr>
            <w:tcW w:w="1160" w:type="dxa"/>
            <w:vAlign w:val="bottom"/>
            <w:tcBorders>
              <w:bottom w:val="single" w:sz="8" w:color="0077C0"/>
            </w:tcBorders>
          </w:tcPr>
          <w:p>
            <w:pPr>
              <w:spacing w:after="0"/>
              <w:rPr>
                <w:sz w:val="2"/>
                <w:szCs w:val="2"/>
                <w:color w:val="auto"/>
              </w:rPr>
            </w:pPr>
          </w:p>
        </w:tc>
      </w:tr>
      <w:tr>
        <w:trPr>
          <w:trHeight w:val="190"/>
        </w:trPr>
        <w:tc>
          <w:tcPr>
            <w:tcW w:w="6560" w:type="dxa"/>
            <w:vAlign w:val="bottom"/>
            <w:tcBorders>
              <w:bottom w:val="single" w:sz="8" w:color="0077C0"/>
            </w:tcBorders>
          </w:tcPr>
          <w:p>
            <w:pPr>
              <w:spacing w:after="0"/>
              <w:rPr>
                <w:sz w:val="16"/>
                <w:szCs w:val="16"/>
                <w:color w:val="auto"/>
              </w:rPr>
            </w:pPr>
          </w:p>
        </w:tc>
        <w:tc>
          <w:tcPr>
            <w:tcW w:w="520" w:type="dxa"/>
            <w:vAlign w:val="bottom"/>
            <w:tcBorders>
              <w:bottom w:val="single" w:sz="8" w:color="0077C0"/>
            </w:tcBorders>
          </w:tcPr>
          <w:p>
            <w:pPr>
              <w:spacing w:after="0"/>
              <w:rPr>
                <w:sz w:val="16"/>
                <w:szCs w:val="16"/>
                <w:color w:val="auto"/>
              </w:rPr>
            </w:pPr>
          </w:p>
        </w:tc>
        <w:tc>
          <w:tcPr>
            <w:tcW w:w="106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0077C0"/>
            </w:tcBorders>
          </w:tcPr>
          <w:p>
            <w:pPr>
              <w:spacing w:after="0"/>
              <w:rPr>
                <w:sz w:val="16"/>
                <w:szCs w:val="16"/>
                <w:color w:val="auto"/>
              </w:rPr>
            </w:pPr>
          </w:p>
        </w:tc>
        <w:tc>
          <w:tcPr>
            <w:tcW w:w="9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380" w:type="dxa"/>
            <w:vAlign w:val="bottom"/>
            <w:tcBorders>
              <w:bottom w:val="single" w:sz="8" w:color="0077C0"/>
            </w:tcBorders>
          </w:tcPr>
          <w:p>
            <w:pPr>
              <w:spacing w:after="0"/>
              <w:rPr>
                <w:sz w:val="16"/>
                <w:szCs w:val="16"/>
                <w:color w:val="auto"/>
              </w:rPr>
            </w:pPr>
          </w:p>
        </w:tc>
        <w:tc>
          <w:tcPr>
            <w:tcW w:w="11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r>
      <w:tr>
        <w:trPr>
          <w:trHeight w:val="190"/>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other operating revenues</w:t>
            </w:r>
          </w:p>
        </w:tc>
        <w:tc>
          <w:tcPr>
            <w:tcW w:w="5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149,925</w:t>
            </w:r>
          </w:p>
        </w:tc>
        <w:tc>
          <w:tcPr>
            <w:tcW w:w="5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152,347</w:t>
            </w:r>
          </w:p>
        </w:tc>
        <w:tc>
          <w:tcPr>
            <w:tcW w:w="3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183,032</w:t>
            </w:r>
          </w:p>
        </w:tc>
      </w:tr>
      <w:tr>
        <w:trPr>
          <w:trHeight w:val="191"/>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costs and other deductions</w:t>
            </w:r>
          </w:p>
        </w:tc>
        <w:tc>
          <w:tcPr>
            <w:tcW w:w="520" w:type="dxa"/>
            <w:vAlign w:val="bottom"/>
          </w:tcPr>
          <w:p>
            <w:pPr>
              <w:spacing w:after="0"/>
              <w:rPr>
                <w:sz w:val="16"/>
                <w:szCs w:val="16"/>
                <w:color w:val="auto"/>
              </w:rPr>
            </w:pPr>
          </w:p>
        </w:tc>
        <w:tc>
          <w:tcPr>
            <w:tcW w:w="106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145,582</w:t>
            </w:r>
          </w:p>
        </w:tc>
        <w:tc>
          <w:tcPr>
            <w:tcW w:w="5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144,482</w:t>
            </w:r>
          </w:p>
        </w:tc>
        <w:tc>
          <w:tcPr>
            <w:tcW w:w="3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166,955</w:t>
            </w:r>
          </w:p>
        </w:tc>
      </w:tr>
      <w:tr>
        <w:trPr>
          <w:trHeight w:val="203"/>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CUSA</w:t>
            </w:r>
          </w:p>
        </w:tc>
        <w:tc>
          <w:tcPr>
            <w:tcW w:w="520" w:type="dxa"/>
            <w:vAlign w:val="bottom"/>
          </w:tcPr>
          <w:p>
            <w:pPr>
              <w:spacing w:after="0"/>
              <w:rPr>
                <w:sz w:val="17"/>
                <w:szCs w:val="17"/>
                <w:color w:val="auto"/>
              </w:rPr>
            </w:pPr>
          </w:p>
        </w:tc>
        <w:tc>
          <w:tcPr>
            <w:tcW w:w="106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4,151</w:t>
            </w:r>
          </w:p>
        </w:tc>
        <w:tc>
          <w:tcPr>
            <w:tcW w:w="5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4,598</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13,315</w:t>
            </w:r>
          </w:p>
        </w:tc>
      </w:tr>
      <w:tr>
        <w:trPr>
          <w:trHeight w:val="23"/>
        </w:trPr>
        <w:tc>
          <w:tcPr>
            <w:tcW w:w="656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1060" w:type="dxa"/>
            <w:vAlign w:val="bottom"/>
            <w:tcBorders>
              <w:bottom w:val="single" w:sz="8" w:color="0077C0"/>
              <w:right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980" w:type="dxa"/>
            <w:vAlign w:val="bottom"/>
            <w:tcBorders>
              <w:bottom w:val="single" w:sz="8" w:color="0077C0"/>
            </w:tcBorders>
          </w:tcPr>
          <w:p>
            <w:pPr>
              <w:spacing w:after="0"/>
              <w:rPr>
                <w:sz w:val="2"/>
                <w:szCs w:val="2"/>
                <w:color w:val="auto"/>
              </w:rPr>
            </w:pPr>
          </w:p>
        </w:tc>
        <w:tc>
          <w:tcPr>
            <w:tcW w:w="380" w:type="dxa"/>
            <w:vAlign w:val="bottom"/>
            <w:tcBorders>
              <w:bottom w:val="single" w:sz="8" w:color="0077C0"/>
            </w:tcBorders>
          </w:tcPr>
          <w:p>
            <w:pPr>
              <w:spacing w:after="0"/>
              <w:rPr>
                <w:sz w:val="2"/>
                <w:szCs w:val="2"/>
                <w:color w:val="auto"/>
              </w:rPr>
            </w:pPr>
          </w:p>
        </w:tc>
        <w:tc>
          <w:tcPr>
            <w:tcW w:w="1160" w:type="dxa"/>
            <w:vAlign w:val="bottom"/>
            <w:tcBorders>
              <w:bottom w:val="single" w:sz="8" w:color="0077C0"/>
            </w:tcBorders>
          </w:tcPr>
          <w:p>
            <w:pPr>
              <w:spacing w:after="0"/>
              <w:rPr>
                <w:sz w:val="2"/>
                <w:szCs w:val="2"/>
                <w:color w:val="auto"/>
              </w:rPr>
            </w:pPr>
          </w:p>
        </w:tc>
      </w:tr>
      <w:tr>
        <w:trPr>
          <w:trHeight w:val="348"/>
        </w:trPr>
        <w:tc>
          <w:tcPr>
            <w:tcW w:w="6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At December 31</w:t>
            </w:r>
          </w:p>
        </w:tc>
      </w:tr>
      <w:tr>
        <w:trPr>
          <w:trHeight w:val="23"/>
        </w:trPr>
        <w:tc>
          <w:tcPr>
            <w:tcW w:w="6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980" w:type="dxa"/>
            <w:vAlign w:val="bottom"/>
            <w:tcBorders>
              <w:bottom w:val="single" w:sz="8" w:color="0077C0"/>
            </w:tcBorders>
          </w:tcPr>
          <w:p>
            <w:pPr>
              <w:spacing w:after="0"/>
              <w:rPr>
                <w:sz w:val="2"/>
                <w:szCs w:val="2"/>
                <w:color w:val="auto"/>
              </w:rPr>
            </w:pPr>
          </w:p>
        </w:tc>
        <w:tc>
          <w:tcPr>
            <w:tcW w:w="380" w:type="dxa"/>
            <w:vAlign w:val="bottom"/>
            <w:tcBorders>
              <w:bottom w:val="single" w:sz="8" w:color="0077C0"/>
            </w:tcBorders>
          </w:tcPr>
          <w:p>
            <w:pPr>
              <w:spacing w:after="0"/>
              <w:rPr>
                <w:sz w:val="2"/>
                <w:szCs w:val="2"/>
                <w:color w:val="auto"/>
              </w:rPr>
            </w:pPr>
          </w:p>
        </w:tc>
        <w:tc>
          <w:tcPr>
            <w:tcW w:w="1160" w:type="dxa"/>
            <w:vAlign w:val="bottom"/>
            <w:tcBorders>
              <w:bottom w:val="single" w:sz="8" w:color="0077C0"/>
            </w:tcBorders>
          </w:tcPr>
          <w:p>
            <w:pPr>
              <w:spacing w:after="0"/>
              <w:rPr>
                <w:sz w:val="2"/>
                <w:szCs w:val="2"/>
                <w:color w:val="auto"/>
              </w:rPr>
            </w:pPr>
          </w:p>
        </w:tc>
      </w:tr>
      <w:tr>
        <w:trPr>
          <w:trHeight w:val="190"/>
        </w:trPr>
        <w:tc>
          <w:tcPr>
            <w:tcW w:w="6560" w:type="dxa"/>
            <w:vAlign w:val="bottom"/>
            <w:tcBorders>
              <w:bottom w:val="single" w:sz="8" w:color="0077C0"/>
            </w:tcBorders>
          </w:tcPr>
          <w:p>
            <w:pPr>
              <w:spacing w:after="0"/>
              <w:rPr>
                <w:sz w:val="16"/>
                <w:szCs w:val="16"/>
                <w:color w:val="auto"/>
              </w:rPr>
            </w:pPr>
          </w:p>
        </w:tc>
        <w:tc>
          <w:tcPr>
            <w:tcW w:w="520" w:type="dxa"/>
            <w:vAlign w:val="bottom"/>
            <w:tcBorders>
              <w:bottom w:val="single" w:sz="8" w:color="0077C0"/>
            </w:tcBorders>
          </w:tcPr>
          <w:p>
            <w:pPr>
              <w:spacing w:after="0"/>
              <w:rPr>
                <w:sz w:val="16"/>
                <w:szCs w:val="16"/>
                <w:color w:val="auto"/>
              </w:rPr>
            </w:pPr>
          </w:p>
        </w:tc>
        <w:tc>
          <w:tcPr>
            <w:tcW w:w="1060" w:type="dxa"/>
            <w:vAlign w:val="bottom"/>
            <w:tcBorders>
              <w:bottom w:val="single" w:sz="8" w:color="0077C0"/>
            </w:tcBorders>
          </w:tcPr>
          <w:p>
            <w:pPr>
              <w:spacing w:after="0"/>
              <w:rPr>
                <w:sz w:val="16"/>
                <w:szCs w:val="16"/>
                <w:color w:val="auto"/>
              </w:rPr>
            </w:pPr>
          </w:p>
        </w:tc>
        <w:tc>
          <w:tcPr>
            <w:tcW w:w="580" w:type="dxa"/>
            <w:vAlign w:val="bottom"/>
            <w:tcBorders>
              <w:bottom w:val="single" w:sz="8" w:color="0077C0"/>
            </w:tcBorders>
          </w:tcPr>
          <w:p>
            <w:pPr>
              <w:spacing w:after="0"/>
              <w:rPr>
                <w:sz w:val="16"/>
                <w:szCs w:val="16"/>
                <w:color w:val="auto"/>
              </w:rPr>
            </w:pPr>
          </w:p>
        </w:tc>
        <w:tc>
          <w:tcPr>
            <w:tcW w:w="980" w:type="dxa"/>
            <w:vAlign w:val="bottom"/>
            <w:tcBorders>
              <w:bottom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0077C0"/>
            </w:tcBorders>
          </w:tcPr>
          <w:p>
            <w:pPr>
              <w:spacing w:after="0"/>
              <w:rPr>
                <w:sz w:val="16"/>
                <w:szCs w:val="16"/>
                <w:color w:val="auto"/>
              </w:rPr>
            </w:pPr>
          </w:p>
        </w:tc>
        <w:tc>
          <w:tcPr>
            <w:tcW w:w="11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190"/>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20,153</w:t>
            </w:r>
          </w:p>
        </w:tc>
        <w:tc>
          <w:tcPr>
            <w:tcW w:w="3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19,489</w:t>
            </w:r>
          </w:p>
        </w:tc>
      </w:tr>
      <w:tr>
        <w:trPr>
          <w:trHeight w:val="191"/>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58,485</w:t>
            </w:r>
          </w:p>
        </w:tc>
        <w:tc>
          <w:tcPr>
            <w:tcW w:w="3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54,460</w:t>
            </w:r>
          </w:p>
        </w:tc>
      </w:tr>
      <w:tr>
        <w:trPr>
          <w:trHeight w:val="203"/>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25,825</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20,624</w:t>
            </w:r>
          </w:p>
        </w:tc>
      </w:tr>
      <w:tr>
        <w:trPr>
          <w:trHeight w:val="203"/>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21,455</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22,227</w:t>
            </w:r>
          </w:p>
        </w:tc>
      </w:tr>
      <w:tr>
        <w:trPr>
          <w:trHeight w:val="23"/>
        </w:trPr>
        <w:tc>
          <w:tcPr>
            <w:tcW w:w="656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106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980" w:type="dxa"/>
            <w:vAlign w:val="bottom"/>
            <w:tcBorders>
              <w:bottom w:val="single" w:sz="8" w:color="0077C0"/>
              <w:right w:val="single" w:sz="8" w:color="0077C0"/>
            </w:tcBorders>
          </w:tcPr>
          <w:p>
            <w:pPr>
              <w:spacing w:after="0"/>
              <w:rPr>
                <w:sz w:val="2"/>
                <w:szCs w:val="2"/>
                <w:color w:val="auto"/>
              </w:rPr>
            </w:pPr>
          </w:p>
        </w:tc>
        <w:tc>
          <w:tcPr>
            <w:tcW w:w="380" w:type="dxa"/>
            <w:vAlign w:val="bottom"/>
            <w:tcBorders>
              <w:bottom w:val="single" w:sz="8" w:color="0077C0"/>
            </w:tcBorders>
          </w:tcPr>
          <w:p>
            <w:pPr>
              <w:spacing w:after="0"/>
              <w:rPr>
                <w:sz w:val="2"/>
                <w:szCs w:val="2"/>
                <w:color w:val="auto"/>
              </w:rPr>
            </w:pPr>
          </w:p>
        </w:tc>
        <w:tc>
          <w:tcPr>
            <w:tcW w:w="1160" w:type="dxa"/>
            <w:vAlign w:val="bottom"/>
            <w:tcBorders>
              <w:bottom w:val="single" w:sz="8" w:color="0077C0"/>
            </w:tcBorders>
          </w:tcPr>
          <w:p>
            <w:pPr>
              <w:spacing w:after="0"/>
              <w:rPr>
                <w:sz w:val="2"/>
                <w:szCs w:val="2"/>
                <w:color w:val="auto"/>
              </w:rPr>
            </w:pPr>
          </w:p>
        </w:tc>
      </w:tr>
      <w:tr>
        <w:trPr>
          <w:trHeight w:val="190"/>
        </w:trPr>
        <w:tc>
          <w:tcPr>
            <w:tcW w:w="65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CUSA net equity</w:t>
            </w:r>
          </w:p>
        </w:tc>
        <w:tc>
          <w:tcPr>
            <w:tcW w:w="520" w:type="dxa"/>
            <w:vAlign w:val="bottom"/>
            <w:tcBorders>
              <w:bottom w:val="single" w:sz="8" w:color="0077C0"/>
            </w:tcBorders>
          </w:tcPr>
          <w:p>
            <w:pPr>
              <w:spacing w:after="0"/>
              <w:rPr>
                <w:sz w:val="16"/>
                <w:szCs w:val="16"/>
                <w:color w:val="auto"/>
              </w:rPr>
            </w:pPr>
          </w:p>
        </w:tc>
        <w:tc>
          <w:tcPr>
            <w:tcW w:w="1060" w:type="dxa"/>
            <w:vAlign w:val="bottom"/>
            <w:tcBorders>
              <w:bottom w:val="single" w:sz="8" w:color="0077C0"/>
            </w:tcBorders>
          </w:tcPr>
          <w:p>
            <w:pPr>
              <w:spacing w:after="0"/>
              <w:rPr>
                <w:sz w:val="16"/>
                <w:szCs w:val="16"/>
                <w:color w:val="auto"/>
              </w:rPr>
            </w:pPr>
          </w:p>
        </w:tc>
        <w:tc>
          <w:tcPr>
            <w:tcW w:w="580" w:type="dxa"/>
            <w:vAlign w:val="bottom"/>
            <w:tcBorders>
              <w:bottom w:val="single" w:sz="8" w:color="0077C0"/>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bottom w:val="single" w:sz="8" w:color="0077C0"/>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31,358</w:t>
            </w:r>
          </w:p>
        </w:tc>
        <w:tc>
          <w:tcPr>
            <w:tcW w:w="380" w:type="dxa"/>
            <w:vAlign w:val="bottom"/>
            <w:tcBorders>
              <w:bottom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31,098</w:t>
            </w:r>
          </w:p>
        </w:tc>
      </w:tr>
      <w:tr>
        <w:trPr>
          <w:trHeight w:val="202"/>
        </w:trPr>
        <w:tc>
          <w:tcPr>
            <w:tcW w:w="6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Memo: Total debt</w:t>
            </w: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8,917</w:t>
            </w:r>
          </w:p>
        </w:tc>
        <w:tc>
          <w:tcPr>
            <w:tcW w:w="3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9,740</w:t>
            </w:r>
          </w:p>
        </w:tc>
      </w:tr>
    </w:tbl>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7</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0077C0"/>
        </w:rPr>
        <w:t>Summarized Financial Data – Tengizchevroil LLP</w:t>
      </w:r>
    </w:p>
    <w:p>
      <w:pPr>
        <w:spacing w:after="0" w:line="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 xml:space="preserve">Chevron has a 50 percent equity ownership interest in Tengizchevroil LLP (TCO). Refer to </w:t>
      </w:r>
      <w:r>
        <w:rPr>
          <w:rFonts w:ascii="Times New Roman" w:cs="Times New Roman" w:eastAsia="Times New Roman" w:hAnsi="Times New Roman"/>
          <w:sz w:val="18"/>
          <w:szCs w:val="18"/>
          <w:u w:val="single" w:color="auto"/>
          <w:color w:val="0000FF"/>
        </w:rPr>
        <w:t>Note 15 Investments and Advances</w:t>
      </w:r>
      <w:r>
        <w:rPr>
          <w:rFonts w:ascii="Times New Roman" w:cs="Times New Roman" w:eastAsia="Times New Roman" w:hAnsi="Times New Roman"/>
          <w:sz w:val="18"/>
          <w:szCs w:val="18"/>
          <w:color w:val="auto"/>
        </w:rPr>
        <w:t xml:space="preserve"> for a discussion of TCO operations. Summarized financial information for 100 percent of TCO is presented in the table below:</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Year ended December 31</w:t>
            </w:r>
          </w:p>
        </w:tc>
        <w:tc>
          <w:tcPr>
            <w:tcW w:w="20" w:type="dxa"/>
            <w:vAlign w:val="bottom"/>
          </w:tcPr>
          <w:p>
            <w:pPr>
              <w:spacing w:after="0"/>
              <w:rPr>
                <w:sz w:val="16"/>
                <w:szCs w:val="16"/>
                <w:color w:val="auto"/>
              </w:rPr>
            </w:pPr>
          </w:p>
        </w:tc>
      </w:tr>
      <w:tr>
        <w:trPr>
          <w:trHeight w:val="23"/>
        </w:trPr>
        <w:tc>
          <w:tcPr>
            <w:tcW w:w="6520" w:type="dxa"/>
            <w:vAlign w:val="bottom"/>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104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c>
          <w:tcPr>
            <w:tcW w:w="380" w:type="dxa"/>
            <w:vAlign w:val="bottom"/>
            <w:tcBorders>
              <w:bottom w:val="single" w:sz="8" w:color="0077C0"/>
            </w:tcBorders>
          </w:tcPr>
          <w:p>
            <w:pPr>
              <w:spacing w:after="0"/>
              <w:rPr>
                <w:sz w:val="2"/>
                <w:szCs w:val="2"/>
                <w:color w:val="auto"/>
              </w:rPr>
            </w:pPr>
          </w:p>
        </w:tc>
        <w:tc>
          <w:tcPr>
            <w:tcW w:w="1140" w:type="dxa"/>
            <w:vAlign w:val="bottom"/>
            <w:tcBorders>
              <w:bottom w:val="single" w:sz="8" w:color="0077C0"/>
            </w:tcBorders>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6520" w:type="dxa"/>
            <w:vAlign w:val="bottom"/>
            <w:tcBorders>
              <w:bottom w:val="single" w:sz="8" w:color="0077C0"/>
            </w:tcBorders>
          </w:tcPr>
          <w:p>
            <w:pPr>
              <w:spacing w:after="0"/>
              <w:rPr>
                <w:sz w:val="16"/>
                <w:szCs w:val="16"/>
                <w:color w:val="auto"/>
              </w:rPr>
            </w:pPr>
          </w:p>
        </w:tc>
        <w:tc>
          <w:tcPr>
            <w:tcW w:w="540" w:type="dxa"/>
            <w:vAlign w:val="bottom"/>
            <w:tcBorders>
              <w:bottom w:val="single" w:sz="8" w:color="0077C0"/>
            </w:tcBorders>
          </w:tcPr>
          <w:p>
            <w:pPr>
              <w:spacing w:after="0"/>
              <w:rPr>
                <w:sz w:val="16"/>
                <w:szCs w:val="16"/>
                <w:color w:val="auto"/>
              </w:rPr>
            </w:pPr>
          </w:p>
        </w:tc>
        <w:tc>
          <w:tcPr>
            <w:tcW w:w="104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0077C0"/>
            </w:tcBorders>
          </w:tcPr>
          <w:p>
            <w:pPr>
              <w:spacing w:after="0"/>
              <w:rPr>
                <w:sz w:val="16"/>
                <w:szCs w:val="16"/>
                <w:color w:val="auto"/>
              </w:rPr>
            </w:pPr>
          </w:p>
        </w:tc>
        <w:tc>
          <w:tcPr>
            <w:tcW w:w="10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380" w:type="dxa"/>
            <w:vAlign w:val="bottom"/>
            <w:tcBorders>
              <w:bottom w:val="single" w:sz="8" w:color="0077C0"/>
            </w:tcBorders>
          </w:tcPr>
          <w:p>
            <w:pPr>
              <w:spacing w:after="0"/>
              <w:rPr>
                <w:sz w:val="16"/>
                <w:szCs w:val="16"/>
                <w:color w:val="auto"/>
              </w:rPr>
            </w:pPr>
          </w:p>
        </w:tc>
        <w:tc>
          <w:tcPr>
            <w:tcW w:w="11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20" w:type="dxa"/>
            <w:vAlign w:val="bottom"/>
          </w:tcPr>
          <w:p>
            <w:pPr>
              <w:spacing w:after="0"/>
              <w:rPr>
                <w:sz w:val="16"/>
                <w:szCs w:val="16"/>
                <w:color w:val="auto"/>
              </w:rPr>
            </w:pPr>
          </w:p>
        </w:tc>
      </w:tr>
      <w:tr>
        <w:trPr>
          <w:trHeight w:val="190"/>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other operating revenues</w:t>
            </w:r>
          </w:p>
        </w:tc>
        <w:tc>
          <w:tcPr>
            <w:tcW w:w="5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18,872</w:t>
            </w:r>
          </w:p>
        </w:tc>
        <w:tc>
          <w:tcPr>
            <w:tcW w:w="5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19,758</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23,975</w:t>
            </w:r>
          </w:p>
        </w:tc>
        <w:tc>
          <w:tcPr>
            <w:tcW w:w="20" w:type="dxa"/>
            <w:vAlign w:val="bottom"/>
          </w:tcPr>
          <w:p>
            <w:pPr>
              <w:spacing w:after="0"/>
              <w:rPr>
                <w:sz w:val="16"/>
                <w:szCs w:val="16"/>
                <w:color w:val="auto"/>
              </w:rPr>
            </w:pPr>
          </w:p>
        </w:tc>
      </w:tr>
      <w:tr>
        <w:trPr>
          <w:trHeight w:val="191"/>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and other deductions</w:t>
            </w:r>
          </w:p>
        </w:tc>
        <w:tc>
          <w:tcPr>
            <w:tcW w:w="540" w:type="dxa"/>
            <w:vAlign w:val="bottom"/>
          </w:tcPr>
          <w:p>
            <w:pPr>
              <w:spacing w:after="0"/>
              <w:rPr>
                <w:sz w:val="16"/>
                <w:szCs w:val="16"/>
                <w:color w:val="auto"/>
              </w:rPr>
            </w:pPr>
          </w:p>
        </w:tc>
        <w:tc>
          <w:tcPr>
            <w:tcW w:w="104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10,616</w:t>
            </w:r>
          </w:p>
        </w:tc>
        <w:tc>
          <w:tcPr>
            <w:tcW w:w="58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10,193</w:t>
            </w:r>
          </w:p>
        </w:tc>
        <w:tc>
          <w:tcPr>
            <w:tcW w:w="3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11,956</w:t>
            </w:r>
          </w:p>
        </w:tc>
        <w:tc>
          <w:tcPr>
            <w:tcW w:w="20" w:type="dxa"/>
            <w:vAlign w:val="bottom"/>
          </w:tcPr>
          <w:p>
            <w:pPr>
              <w:spacing w:after="0"/>
              <w:rPr>
                <w:sz w:val="16"/>
                <w:szCs w:val="16"/>
                <w:color w:val="auto"/>
              </w:rPr>
            </w:pPr>
          </w:p>
        </w:tc>
      </w:tr>
      <w:tr>
        <w:trPr>
          <w:trHeight w:val="203"/>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attributable to TCO</w:t>
            </w:r>
          </w:p>
        </w:tc>
        <w:tc>
          <w:tcPr>
            <w:tcW w:w="540" w:type="dxa"/>
            <w:vAlign w:val="bottom"/>
          </w:tcPr>
          <w:p>
            <w:pPr>
              <w:spacing w:after="0"/>
              <w:rPr>
                <w:sz w:val="17"/>
                <w:szCs w:val="17"/>
                <w:color w:val="auto"/>
              </w:rPr>
            </w:pPr>
          </w:p>
        </w:tc>
        <w:tc>
          <w:tcPr>
            <w:tcW w:w="104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5,779</w:t>
            </w:r>
          </w:p>
        </w:tc>
        <w:tc>
          <w:tcPr>
            <w:tcW w:w="58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6,569</w:t>
            </w:r>
          </w:p>
        </w:tc>
        <w:tc>
          <w:tcPr>
            <w:tcW w:w="3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8,566</w:t>
            </w:r>
          </w:p>
        </w:tc>
        <w:tc>
          <w:tcPr>
            <w:tcW w:w="20" w:type="dxa"/>
            <w:vAlign w:val="bottom"/>
          </w:tcPr>
          <w:p>
            <w:pPr>
              <w:spacing w:after="0"/>
              <w:rPr>
                <w:sz w:val="17"/>
                <w:szCs w:val="17"/>
                <w:color w:val="auto"/>
              </w:rPr>
            </w:pPr>
          </w:p>
        </w:tc>
      </w:tr>
      <w:tr>
        <w:trPr>
          <w:trHeight w:val="23"/>
        </w:trPr>
        <w:tc>
          <w:tcPr>
            <w:tcW w:w="6520" w:type="dxa"/>
            <w:vAlign w:val="bottom"/>
            <w:tcBorders>
              <w:bottom w:val="single" w:sz="8" w:color="0077C0"/>
            </w:tcBorders>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1040" w:type="dxa"/>
            <w:vAlign w:val="bottom"/>
            <w:tcBorders>
              <w:bottom w:val="single" w:sz="8" w:color="0077C0"/>
              <w:right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c>
          <w:tcPr>
            <w:tcW w:w="380" w:type="dxa"/>
            <w:vAlign w:val="bottom"/>
            <w:tcBorders>
              <w:bottom w:val="single" w:sz="8" w:color="0077C0"/>
            </w:tcBorders>
          </w:tcPr>
          <w:p>
            <w:pPr>
              <w:spacing w:after="0"/>
              <w:rPr>
                <w:sz w:val="2"/>
                <w:szCs w:val="2"/>
                <w:color w:val="auto"/>
              </w:rPr>
            </w:pPr>
          </w:p>
        </w:tc>
        <w:tc>
          <w:tcPr>
            <w:tcW w:w="1140" w:type="dxa"/>
            <w:vAlign w:val="bottom"/>
            <w:tcBorders>
              <w:bottom w:val="single" w:sz="8" w:color="0077C0"/>
            </w:tcBorders>
          </w:tcPr>
          <w:p>
            <w:pPr>
              <w:spacing w:after="0"/>
              <w:rPr>
                <w:sz w:val="2"/>
                <w:szCs w:val="2"/>
                <w:color w:val="auto"/>
              </w:rPr>
            </w:pPr>
          </w:p>
        </w:tc>
        <w:tc>
          <w:tcPr>
            <w:tcW w:w="20" w:type="dxa"/>
            <w:vAlign w:val="bottom"/>
          </w:tcPr>
          <w:p>
            <w:pPr>
              <w:spacing w:after="0"/>
              <w:rPr>
                <w:sz w:val="2"/>
                <w:szCs w:val="2"/>
                <w:color w:val="auto"/>
              </w:rPr>
            </w:pPr>
          </w:p>
        </w:tc>
      </w:tr>
      <w:tr>
        <w:trPr>
          <w:trHeight w:val="348"/>
        </w:trPr>
        <w:tc>
          <w:tcPr>
            <w:tcW w:w="6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At December 31</w:t>
            </w:r>
          </w:p>
        </w:tc>
        <w:tc>
          <w:tcPr>
            <w:tcW w:w="20" w:type="dxa"/>
            <w:vAlign w:val="bottom"/>
          </w:tcPr>
          <w:p>
            <w:pPr>
              <w:spacing w:after="0"/>
              <w:rPr>
                <w:sz w:val="24"/>
                <w:szCs w:val="24"/>
                <w:color w:val="auto"/>
              </w:rPr>
            </w:pPr>
          </w:p>
        </w:tc>
      </w:tr>
      <w:tr>
        <w:trPr>
          <w:trHeight w:val="23"/>
        </w:trPr>
        <w:tc>
          <w:tcPr>
            <w:tcW w:w="6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c>
          <w:tcPr>
            <w:tcW w:w="380" w:type="dxa"/>
            <w:vAlign w:val="bottom"/>
            <w:tcBorders>
              <w:bottom w:val="single" w:sz="8" w:color="0077C0"/>
            </w:tcBorders>
          </w:tcPr>
          <w:p>
            <w:pPr>
              <w:spacing w:after="0"/>
              <w:rPr>
                <w:sz w:val="2"/>
                <w:szCs w:val="2"/>
                <w:color w:val="auto"/>
              </w:rPr>
            </w:pPr>
          </w:p>
        </w:tc>
        <w:tc>
          <w:tcPr>
            <w:tcW w:w="1140" w:type="dxa"/>
            <w:vAlign w:val="bottom"/>
            <w:tcBorders>
              <w:bottom w:val="single" w:sz="8" w:color="0077C0"/>
            </w:tcBorders>
          </w:tcPr>
          <w:p>
            <w:pPr>
              <w:spacing w:after="0"/>
              <w:rPr>
                <w:sz w:val="2"/>
                <w:szCs w:val="2"/>
                <w:color w:val="auto"/>
              </w:rPr>
            </w:pPr>
          </w:p>
        </w:tc>
        <w:tc>
          <w:tcPr>
            <w:tcW w:w="20" w:type="dxa"/>
            <w:vAlign w:val="bottom"/>
            <w:tcBorders>
              <w:bottom w:val="single" w:sz="8" w:color="0077C0"/>
            </w:tcBorders>
          </w:tcPr>
          <w:p>
            <w:pPr>
              <w:spacing w:after="0"/>
              <w:rPr>
                <w:sz w:val="2"/>
                <w:szCs w:val="2"/>
                <w:color w:val="auto"/>
              </w:rPr>
            </w:pPr>
          </w:p>
        </w:tc>
      </w:tr>
      <w:tr>
        <w:trPr>
          <w:trHeight w:val="190"/>
        </w:trPr>
        <w:tc>
          <w:tcPr>
            <w:tcW w:w="6520" w:type="dxa"/>
            <w:vAlign w:val="bottom"/>
            <w:tcBorders>
              <w:bottom w:val="single" w:sz="8" w:color="0077C0"/>
            </w:tcBorders>
          </w:tcPr>
          <w:p>
            <w:pPr>
              <w:spacing w:after="0"/>
              <w:rPr>
                <w:sz w:val="16"/>
                <w:szCs w:val="16"/>
                <w:color w:val="auto"/>
              </w:rPr>
            </w:pPr>
          </w:p>
        </w:tc>
        <w:tc>
          <w:tcPr>
            <w:tcW w:w="540" w:type="dxa"/>
            <w:vAlign w:val="bottom"/>
            <w:tcBorders>
              <w:bottom w:val="single" w:sz="8" w:color="0077C0"/>
            </w:tcBorders>
          </w:tcPr>
          <w:p>
            <w:pPr>
              <w:spacing w:after="0"/>
              <w:rPr>
                <w:sz w:val="16"/>
                <w:szCs w:val="16"/>
                <w:color w:val="auto"/>
              </w:rPr>
            </w:pPr>
          </w:p>
        </w:tc>
        <w:tc>
          <w:tcPr>
            <w:tcW w:w="1040" w:type="dxa"/>
            <w:vAlign w:val="bottom"/>
            <w:tcBorders>
              <w:bottom w:val="single" w:sz="8" w:color="0077C0"/>
            </w:tcBorders>
          </w:tcPr>
          <w:p>
            <w:pPr>
              <w:spacing w:after="0"/>
              <w:rPr>
                <w:sz w:val="16"/>
                <w:szCs w:val="16"/>
                <w:color w:val="auto"/>
              </w:rPr>
            </w:pPr>
          </w:p>
        </w:tc>
        <w:tc>
          <w:tcPr>
            <w:tcW w:w="580" w:type="dxa"/>
            <w:vAlign w:val="bottom"/>
            <w:tcBorders>
              <w:bottom w:val="single" w:sz="8" w:color="0077C0"/>
            </w:tcBorders>
          </w:tcPr>
          <w:p>
            <w:pPr>
              <w:spacing w:after="0"/>
              <w:rPr>
                <w:sz w:val="16"/>
                <w:szCs w:val="16"/>
                <w:color w:val="auto"/>
              </w:rPr>
            </w:pPr>
          </w:p>
        </w:tc>
        <w:tc>
          <w:tcPr>
            <w:tcW w:w="100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0077C0"/>
            </w:tcBorders>
          </w:tcPr>
          <w:p>
            <w:pPr>
              <w:spacing w:after="0"/>
              <w:rPr>
                <w:sz w:val="16"/>
                <w:szCs w:val="16"/>
                <w:color w:val="auto"/>
              </w:rPr>
            </w:pPr>
          </w:p>
        </w:tc>
        <w:tc>
          <w:tcPr>
            <w:tcW w:w="11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20" w:type="dxa"/>
            <w:vAlign w:val="bottom"/>
            <w:tcBorders>
              <w:bottom w:val="single" w:sz="8" w:color="0077C0"/>
            </w:tcBorders>
          </w:tcPr>
          <w:p>
            <w:pPr>
              <w:spacing w:after="0"/>
              <w:rPr>
                <w:sz w:val="16"/>
                <w:szCs w:val="16"/>
                <w:color w:val="auto"/>
              </w:rPr>
            </w:pPr>
          </w:p>
        </w:tc>
      </w:tr>
      <w:tr>
        <w:trPr>
          <w:trHeight w:val="190"/>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4,753</w:t>
            </w:r>
          </w:p>
        </w:tc>
        <w:tc>
          <w:tcPr>
            <w:tcW w:w="3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3,919</w:t>
            </w:r>
          </w:p>
        </w:tc>
        <w:tc>
          <w:tcPr>
            <w:tcW w:w="20" w:type="dxa"/>
            <w:vAlign w:val="bottom"/>
          </w:tcPr>
          <w:p>
            <w:pPr>
              <w:spacing w:after="0"/>
              <w:rPr>
                <w:sz w:val="16"/>
                <w:szCs w:val="16"/>
                <w:color w:val="auto"/>
              </w:rPr>
            </w:pPr>
          </w:p>
        </w:tc>
      </w:tr>
      <w:tr>
        <w:trPr>
          <w:trHeight w:val="191"/>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58,057</w:t>
            </w:r>
          </w:p>
        </w:tc>
        <w:tc>
          <w:tcPr>
            <w:tcW w:w="3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57,454</w:t>
            </w:r>
          </w:p>
        </w:tc>
        <w:tc>
          <w:tcPr>
            <w:tcW w:w="20" w:type="dxa"/>
            <w:vAlign w:val="bottom"/>
          </w:tcPr>
          <w:p>
            <w:pPr>
              <w:spacing w:after="0"/>
              <w:rPr>
                <w:sz w:val="16"/>
                <w:szCs w:val="16"/>
                <w:color w:val="auto"/>
              </w:rPr>
            </w:pPr>
          </w:p>
        </w:tc>
      </w:tr>
      <w:tr>
        <w:trPr>
          <w:trHeight w:val="203"/>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3,203</w:t>
            </w:r>
          </w:p>
        </w:tc>
        <w:tc>
          <w:tcPr>
            <w:tcW w:w="3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2,372</w:t>
            </w:r>
          </w:p>
        </w:tc>
        <w:tc>
          <w:tcPr>
            <w:tcW w:w="20" w:type="dxa"/>
            <w:vAlign w:val="bottom"/>
          </w:tcPr>
          <w:p>
            <w:pPr>
              <w:spacing w:after="0"/>
              <w:rPr>
                <w:sz w:val="17"/>
                <w:szCs w:val="17"/>
                <w:color w:val="auto"/>
              </w:rPr>
            </w:pPr>
          </w:p>
        </w:tc>
      </w:tr>
      <w:tr>
        <w:trPr>
          <w:trHeight w:val="203"/>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12,459</w:t>
            </w:r>
          </w:p>
        </w:tc>
        <w:tc>
          <w:tcPr>
            <w:tcW w:w="3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12,782</w:t>
            </w:r>
          </w:p>
        </w:tc>
        <w:tc>
          <w:tcPr>
            <w:tcW w:w="20" w:type="dxa"/>
            <w:vAlign w:val="bottom"/>
          </w:tcPr>
          <w:p>
            <w:pPr>
              <w:spacing w:after="0"/>
              <w:rPr>
                <w:sz w:val="17"/>
                <w:szCs w:val="17"/>
                <w:color w:val="auto"/>
              </w:rPr>
            </w:pPr>
          </w:p>
        </w:tc>
      </w:tr>
      <w:tr>
        <w:trPr>
          <w:trHeight w:val="23"/>
        </w:trPr>
        <w:tc>
          <w:tcPr>
            <w:tcW w:w="6520" w:type="dxa"/>
            <w:vAlign w:val="bottom"/>
            <w:tcBorders>
              <w:bottom w:val="single" w:sz="8" w:color="0077C0"/>
            </w:tcBorders>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104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1000" w:type="dxa"/>
            <w:vAlign w:val="bottom"/>
            <w:tcBorders>
              <w:bottom w:val="single" w:sz="8" w:color="0077C0"/>
              <w:right w:val="single" w:sz="8" w:color="0077C0"/>
            </w:tcBorders>
          </w:tcPr>
          <w:p>
            <w:pPr>
              <w:spacing w:after="0"/>
              <w:rPr>
                <w:sz w:val="2"/>
                <w:szCs w:val="2"/>
                <w:color w:val="auto"/>
              </w:rPr>
            </w:pPr>
          </w:p>
        </w:tc>
        <w:tc>
          <w:tcPr>
            <w:tcW w:w="380" w:type="dxa"/>
            <w:vAlign w:val="bottom"/>
            <w:tcBorders>
              <w:bottom w:val="single" w:sz="8" w:color="0077C0"/>
            </w:tcBorders>
          </w:tcPr>
          <w:p>
            <w:pPr>
              <w:spacing w:after="0"/>
              <w:rPr>
                <w:sz w:val="2"/>
                <w:szCs w:val="2"/>
                <w:color w:val="auto"/>
              </w:rPr>
            </w:pPr>
          </w:p>
        </w:tc>
        <w:tc>
          <w:tcPr>
            <w:tcW w:w="1140" w:type="dxa"/>
            <w:vAlign w:val="bottom"/>
            <w:tcBorders>
              <w:bottom w:val="single" w:sz="8" w:color="0077C0"/>
            </w:tcBorders>
          </w:tcPr>
          <w:p>
            <w:pPr>
              <w:spacing w:after="0"/>
              <w:rPr>
                <w:sz w:val="2"/>
                <w:szCs w:val="2"/>
                <w:color w:val="auto"/>
              </w:rPr>
            </w:pPr>
          </w:p>
        </w:tc>
        <w:tc>
          <w:tcPr>
            <w:tcW w:w="20" w:type="dxa"/>
            <w:vAlign w:val="bottom"/>
            <w:tcBorders>
              <w:bottom w:val="single" w:sz="8" w:color="0077C0"/>
            </w:tcBorders>
          </w:tcPr>
          <w:p>
            <w:pPr>
              <w:spacing w:after="0"/>
              <w:rPr>
                <w:sz w:val="2"/>
                <w:szCs w:val="2"/>
                <w:color w:val="auto"/>
              </w:rPr>
            </w:pPr>
          </w:p>
        </w:tc>
      </w:tr>
      <w:tr>
        <w:trPr>
          <w:trHeight w:val="190"/>
        </w:trPr>
        <w:tc>
          <w:tcPr>
            <w:tcW w:w="652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TCO net equity</w:t>
            </w:r>
          </w:p>
        </w:tc>
        <w:tc>
          <w:tcPr>
            <w:tcW w:w="540" w:type="dxa"/>
            <w:vAlign w:val="bottom"/>
            <w:tcBorders>
              <w:bottom w:val="single" w:sz="8" w:color="0077C0"/>
            </w:tcBorders>
          </w:tcPr>
          <w:p>
            <w:pPr>
              <w:spacing w:after="0"/>
              <w:rPr>
                <w:sz w:val="16"/>
                <w:szCs w:val="16"/>
                <w:color w:val="auto"/>
              </w:rPr>
            </w:pPr>
          </w:p>
        </w:tc>
        <w:tc>
          <w:tcPr>
            <w:tcW w:w="1040" w:type="dxa"/>
            <w:vAlign w:val="bottom"/>
            <w:tcBorders>
              <w:bottom w:val="single" w:sz="8" w:color="0077C0"/>
            </w:tcBorders>
          </w:tcPr>
          <w:p>
            <w:pPr>
              <w:spacing w:after="0"/>
              <w:rPr>
                <w:sz w:val="16"/>
                <w:szCs w:val="16"/>
                <w:color w:val="auto"/>
              </w:rPr>
            </w:pPr>
          </w:p>
        </w:tc>
        <w:tc>
          <w:tcPr>
            <w:tcW w:w="580" w:type="dxa"/>
            <w:vAlign w:val="bottom"/>
            <w:tcBorders>
              <w:bottom w:val="single" w:sz="8" w:color="0077C0"/>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0077C0"/>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47,148</w:t>
            </w:r>
          </w:p>
        </w:tc>
        <w:tc>
          <w:tcPr>
            <w:tcW w:w="380" w:type="dxa"/>
            <w:vAlign w:val="bottom"/>
            <w:tcBorders>
              <w:bottom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46,219</w:t>
            </w:r>
          </w:p>
        </w:tc>
        <w:tc>
          <w:tcPr>
            <w:tcW w:w="20" w:type="dxa"/>
            <w:vAlign w:val="bottom"/>
            <w:tcBorders>
              <w:bottom w:val="single" w:sz="8" w:color="0077C0"/>
            </w:tcBorders>
          </w:tcPr>
          <w:p>
            <w:pPr>
              <w:spacing w:after="0"/>
              <w:rPr>
                <w:sz w:val="16"/>
                <w:szCs w:val="16"/>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8</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0077C0"/>
        </w:rPr>
        <w:t>Restructuring and Reorganization Costs</w:t>
      </w:r>
    </w:p>
    <w:p>
      <w:pPr>
        <w:spacing w:after="0" w:line="1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In 2024, the company announced plans to achieve $2-3 billion in structural cost reductions by the end of 2026. As a result, the company recorded severance accruals during fourth quarter 2024 for employee reduction programs related to an enterprise-wide restructuring, which is expected to be substantially completed by the end of 2026.</w:t>
      </w:r>
    </w:p>
    <w:p>
      <w:pPr>
        <w:spacing w:after="0" w:line="5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A charge of $980 was recorded in fourth quarter 2024, with $706 reported as “Operating expenses” and $274 reported as “Selling, general and administrative expenses” on the Consolidated Statement of Income. Approximately $240 is associated with employee reductions in U.S. Upstream, $197 in International Upstream, $247 in U.S. Downstream, $22 in International Downstream and $274 in All Other. Approximately $560 is classified as current and $430 is classified as long-term on the Consolidated Balance Sheet at December 31, 2024.</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77" w:name="page78"/>
    <w:bookmarkEnd w:id="77"/>
    <w:tbl>
      <w:tblPr>
        <w:tblLayout w:type="fixed"/>
        <w:tblInd w:w="20" w:type="dxa"/>
        <w:tblCellMar>
          <w:top w:w="0" w:type="dxa"/>
          <w:left w:w="0" w:type="dxa"/>
          <w:bottom w:w="0" w:type="dxa"/>
          <w:right w:w="0" w:type="dxa"/>
        </w:tblCellMar>
      </w:tblPr>
      <w:tr>
        <w:trPr>
          <w:trHeight w:val="204"/>
        </w:trPr>
        <w:tc>
          <w:tcPr>
            <w:tcW w:w="6260" w:type="dxa"/>
            <w:vAlign w:val="bottom"/>
          </w:tcPr>
          <w:p>
            <w:pPr>
              <w:spacing w:after="0"/>
              <w:rPr>
                <w:sz w:val="20"/>
                <w:szCs w:val="20"/>
                <w:color w:val="auto"/>
              </w:rPr>
            </w:pPr>
            <w:r>
              <w:rPr>
                <w:rFonts w:ascii="Arial" w:cs="Arial" w:eastAsia="Arial" w:hAnsi="Arial"/>
                <w:sz w:val="14"/>
                <w:szCs w:val="14"/>
                <w:color w:val="0077C0"/>
              </w:rPr>
              <w:t>Notes to the Consolidated Financial Statements</w:t>
            </w:r>
          </w:p>
        </w:tc>
        <w:tc>
          <w:tcPr>
            <w:tcW w:w="4940" w:type="dxa"/>
            <w:vAlign w:val="bottom"/>
          </w:tcPr>
          <w:p>
            <w:pPr>
              <w:ind w:left="3200"/>
              <w:spacing w:after="0"/>
              <w:rPr>
                <w:sz w:val="20"/>
                <w:szCs w:val="20"/>
                <w:color w:val="auto"/>
              </w:rPr>
            </w:pPr>
            <w:r>
              <w:rPr>
                <w:rFonts w:ascii="Arial" w:cs="Arial" w:eastAsia="Arial" w:hAnsi="Arial"/>
                <w:sz w:val="14"/>
                <w:szCs w:val="14"/>
                <w:color w:val="0077C0"/>
              </w:rPr>
              <w:t>Financial Table of Contents</w:t>
            </w:r>
          </w:p>
        </w:tc>
      </w:tr>
      <w:tr>
        <w:trPr>
          <w:trHeight w:val="150"/>
        </w:trPr>
        <w:tc>
          <w:tcPr>
            <w:tcW w:w="6260" w:type="dxa"/>
            <w:vAlign w:val="bottom"/>
          </w:tcPr>
          <w:p>
            <w:pPr>
              <w:ind w:left="40"/>
              <w:spacing w:after="0"/>
              <w:rPr>
                <w:sz w:val="20"/>
                <w:szCs w:val="20"/>
                <w:color w:val="auto"/>
              </w:rPr>
            </w:pPr>
            <w:r>
              <w:rPr>
                <w:rFonts w:ascii="Arial" w:cs="Arial" w:eastAsia="Arial" w:hAnsi="Arial"/>
                <w:sz w:val="11"/>
                <w:szCs w:val="11"/>
                <w:color w:val="0077C0"/>
              </w:rPr>
              <w:t>Millions of dollars, except per-share amounts</w:t>
            </w:r>
          </w:p>
        </w:tc>
        <w:tc>
          <w:tcPr>
            <w:tcW w:w="4940" w:type="dxa"/>
            <w:vAlign w:val="bottom"/>
          </w:tcPr>
          <w:p>
            <w:pPr>
              <w:spacing w:after="0"/>
              <w:rPr>
                <w:sz w:val="13"/>
                <w:szCs w:val="13"/>
                <w:color w:val="auto"/>
              </w:rPr>
            </w:pPr>
          </w:p>
        </w:tc>
      </w:tr>
    </w:tbl>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accrued severance liability.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Amounts Before Tax</w:t>
            </w:r>
          </w:p>
        </w:tc>
      </w:tr>
      <w:tr>
        <w:trPr>
          <w:trHeight w:val="23"/>
        </w:trPr>
        <w:tc>
          <w:tcPr>
            <w:tcW w:w="5720" w:type="dxa"/>
            <w:vAlign w:val="bottom"/>
            <w:tcBorders>
              <w:bottom w:val="single" w:sz="8" w:color="0077C0"/>
            </w:tcBorders>
          </w:tcPr>
          <w:p>
            <w:pPr>
              <w:spacing w:after="0"/>
              <w:rPr>
                <w:sz w:val="2"/>
                <w:szCs w:val="2"/>
                <w:color w:val="auto"/>
              </w:rPr>
            </w:pPr>
          </w:p>
        </w:tc>
        <w:tc>
          <w:tcPr>
            <w:tcW w:w="4100" w:type="dxa"/>
            <w:vAlign w:val="bottom"/>
            <w:tcBorders>
              <w:bottom w:val="single" w:sz="8" w:color="0077C0"/>
            </w:tcBorders>
          </w:tcPr>
          <w:p>
            <w:pPr>
              <w:spacing w:after="0"/>
              <w:rPr>
                <w:sz w:val="2"/>
                <w:szCs w:val="2"/>
                <w:color w:val="auto"/>
              </w:rPr>
            </w:pPr>
          </w:p>
        </w:tc>
        <w:tc>
          <w:tcPr>
            <w:tcW w:w="1420" w:type="dxa"/>
            <w:vAlign w:val="bottom"/>
            <w:tcBorders>
              <w:bottom w:val="single" w:sz="8" w:color="0077C0"/>
            </w:tcBorders>
          </w:tcPr>
          <w:p>
            <w:pPr>
              <w:spacing w:after="0"/>
              <w:rPr>
                <w:sz w:val="2"/>
                <w:szCs w:val="2"/>
                <w:color w:val="auto"/>
              </w:rPr>
            </w:pPr>
          </w:p>
        </w:tc>
      </w:tr>
      <w:tr>
        <w:trPr>
          <w:trHeight w:val="184"/>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January 1, 2024</w:t>
            </w:r>
          </w:p>
        </w:tc>
        <w:tc>
          <w:tcPr>
            <w:tcW w:w="41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r>
      <w:tr>
        <w:trPr>
          <w:trHeight w:val="191"/>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Accruals/Adjustments</w:t>
            </w:r>
          </w:p>
        </w:tc>
        <w:tc>
          <w:tcPr>
            <w:tcW w:w="4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987</w:t>
            </w:r>
          </w:p>
        </w:tc>
      </w:tr>
      <w:tr>
        <w:trPr>
          <w:trHeight w:val="203"/>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w:t>
            </w:r>
          </w:p>
        </w:tc>
        <w:tc>
          <w:tcPr>
            <w:tcW w:w="4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r>
      <w:tr>
        <w:trPr>
          <w:trHeight w:val="23"/>
        </w:trPr>
        <w:tc>
          <w:tcPr>
            <w:tcW w:w="5720" w:type="dxa"/>
            <w:vAlign w:val="bottom"/>
            <w:tcBorders>
              <w:bottom w:val="single" w:sz="8" w:color="0077C0"/>
            </w:tcBorders>
          </w:tcPr>
          <w:p>
            <w:pPr>
              <w:spacing w:after="0"/>
              <w:rPr>
                <w:sz w:val="2"/>
                <w:szCs w:val="2"/>
                <w:color w:val="auto"/>
              </w:rPr>
            </w:pPr>
          </w:p>
        </w:tc>
        <w:tc>
          <w:tcPr>
            <w:tcW w:w="4100" w:type="dxa"/>
            <w:vAlign w:val="bottom"/>
            <w:tcBorders>
              <w:bottom w:val="single" w:sz="8" w:color="0077C0"/>
            </w:tcBorders>
          </w:tcPr>
          <w:p>
            <w:pPr>
              <w:spacing w:after="0"/>
              <w:rPr>
                <w:sz w:val="2"/>
                <w:szCs w:val="2"/>
                <w:color w:val="auto"/>
              </w:rPr>
            </w:pPr>
          </w:p>
        </w:tc>
        <w:tc>
          <w:tcPr>
            <w:tcW w:w="1420" w:type="dxa"/>
            <w:vAlign w:val="bottom"/>
            <w:tcBorders>
              <w:bottom w:val="single" w:sz="8" w:color="0077C0"/>
            </w:tcBorders>
          </w:tcPr>
          <w:p>
            <w:pPr>
              <w:spacing w:after="0"/>
              <w:rPr>
                <w:sz w:val="2"/>
                <w:szCs w:val="2"/>
                <w:color w:val="auto"/>
              </w:rPr>
            </w:pPr>
          </w:p>
        </w:tc>
      </w:tr>
      <w:tr>
        <w:trPr>
          <w:trHeight w:val="190"/>
        </w:trPr>
        <w:tc>
          <w:tcPr>
            <w:tcW w:w="572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4100" w:type="dxa"/>
            <w:vAlign w:val="bottom"/>
            <w:tcBorders>
              <w:bottom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990</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9</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0077C0"/>
        </w:rPr>
        <w:t>Fair Value Measurements</w:t>
      </w:r>
    </w:p>
    <w:p>
      <w:pPr>
        <w:spacing w:after="0" w:line="1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Marketable Securities </w:t>
      </w:r>
      <w:r>
        <w:rPr>
          <w:rFonts w:ascii="Times New Roman" w:cs="Times New Roman" w:eastAsia="Times New Roman" w:hAnsi="Times New Roman"/>
          <w:sz w:val="18"/>
          <w:szCs w:val="18"/>
          <w:color w:val="000000"/>
        </w:rPr>
        <w:t>The company calculates fair value for its marketable securities based on quoted market prices for identical assets. The fair values</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reflect the cash that would have been received if the instruments were sold at December 31, 2024.</w:t>
      </w:r>
    </w:p>
    <w:p>
      <w:pPr>
        <w:spacing w:after="0" w:line="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Derivatives </w:t>
      </w:r>
      <w:r>
        <w:rPr>
          <w:rFonts w:ascii="Times New Roman" w:cs="Times New Roman" w:eastAsia="Times New Roman" w:hAnsi="Times New Roman"/>
          <w:sz w:val="18"/>
          <w:szCs w:val="18"/>
          <w:color w:val="000000"/>
        </w:rPr>
        <w:t>The company records most of its derivative instruments – other than any commodity derivative contracts that are accounted for as normal</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purchase and normal sale – on the Consolidated Balance Sheet at fair value, with the offsetting amount to the Consolidated Statement of Income. The company designates certain derivative instruments as cash flow hedges, if applicable. Derivatives classified as Level 1 include futures, swaps and options contracts valued using quoted prices from active markets such as the New York Mercantile Exchange. Derivatives classified as Level 2 include swaps, options and forward contracts, the fair values of which are obtained from third-party broker quotes, industry pricing services and exchanges. The company obtains multiple sources of pricing information for the Level 2 instruments. Since this pricing information is generated from observable market data, it has historically been very consistent. The company does not materially adjust this information.</w:t>
      </w:r>
    </w:p>
    <w:p>
      <w:pPr>
        <w:spacing w:after="0" w:line="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Properties, Plant and Equipment </w:t>
      </w:r>
      <w:r>
        <w:rPr>
          <w:rFonts w:ascii="Times New Roman" w:cs="Times New Roman" w:eastAsia="Times New Roman" w:hAnsi="Times New Roman"/>
          <w:sz w:val="18"/>
          <w:szCs w:val="18"/>
          <w:color w:val="000000"/>
        </w:rPr>
        <w:t>In 2024, the company did not have any individually material impairments of long lived assets measured at fair value on a</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nonrecurring basis. In 2023, the company impaired a portion of its U.S. upstream assets, primarily in California, due to continuing regulatory challenges in the state that have resulted in lower anticipated future investment levels in its business plans.</w:t>
      </w:r>
    </w:p>
    <w:p>
      <w:pPr>
        <w:spacing w:after="0" w:line="29"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Investments and Advances </w:t>
      </w:r>
      <w:r>
        <w:rPr>
          <w:rFonts w:ascii="Times New Roman" w:cs="Times New Roman" w:eastAsia="Times New Roman" w:hAnsi="Times New Roman"/>
          <w:sz w:val="18"/>
          <w:szCs w:val="18"/>
          <w:color w:val="000000"/>
        </w:rPr>
        <w:t>The company did not have any material impairments of investments and advances measured at fair value on a nonrecurring</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basis to report in 2024 or 2023.</w:t>
      </w:r>
    </w:p>
    <w:p>
      <w:pPr>
        <w:spacing w:after="0" w:line="2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tables below show the fair value hierarchy for assets and liabilities measured at fair value on a recurring and nonrecurring basis at December 31, 2024 and 2023.</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and Liabilities Measured at Fair Value on a Recurring Basis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4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At December 31, 2024</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At December 31, 2023</w:t>
            </w:r>
          </w:p>
        </w:tc>
      </w:tr>
      <w:tr>
        <w:trPr>
          <w:trHeight w:val="23"/>
        </w:trPr>
        <w:tc>
          <w:tcPr>
            <w:tcW w:w="3180" w:type="dxa"/>
            <w:vAlign w:val="bottom"/>
          </w:tcPr>
          <w:p>
            <w:pPr>
              <w:spacing w:after="0"/>
              <w:rPr>
                <w:sz w:val="2"/>
                <w:szCs w:val="2"/>
                <w:color w:val="auto"/>
              </w:rPr>
            </w:pPr>
          </w:p>
        </w:tc>
        <w:tc>
          <w:tcPr>
            <w:tcW w:w="38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720" w:type="dxa"/>
            <w:vAlign w:val="bottom"/>
            <w:tcBorders>
              <w:bottom w:val="single" w:sz="8" w:color="0077C0"/>
            </w:tcBorders>
          </w:tcPr>
          <w:p>
            <w:pPr>
              <w:spacing w:after="0"/>
              <w:rPr>
                <w:sz w:val="2"/>
                <w:szCs w:val="2"/>
                <w:color w:val="auto"/>
              </w:rPr>
            </w:pPr>
          </w:p>
        </w:tc>
        <w:tc>
          <w:tcPr>
            <w:tcW w:w="38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r>
      <w:tr>
        <w:trPr>
          <w:trHeight w:val="190"/>
        </w:trPr>
        <w:tc>
          <w:tcPr>
            <w:tcW w:w="3180" w:type="dxa"/>
            <w:vAlign w:val="bottom"/>
            <w:tcBorders>
              <w:bottom w:val="single" w:sz="8" w:color="0077C0"/>
            </w:tcBorders>
          </w:tcPr>
          <w:p>
            <w:pPr>
              <w:spacing w:after="0"/>
              <w:rPr>
                <w:sz w:val="16"/>
                <w:szCs w:val="16"/>
                <w:color w:val="auto"/>
              </w:rPr>
            </w:pPr>
          </w:p>
        </w:tc>
        <w:tc>
          <w:tcPr>
            <w:tcW w:w="38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Borders>
              <w:bottom w:val="single" w:sz="8" w:color="0077C0"/>
            </w:tcBorders>
          </w:tcPr>
          <w:p>
            <w:pPr>
              <w:spacing w:after="0"/>
              <w:rPr>
                <w:sz w:val="16"/>
                <w:szCs w:val="16"/>
                <w:color w:val="auto"/>
              </w:rPr>
            </w:pPr>
          </w:p>
        </w:tc>
        <w:tc>
          <w:tcPr>
            <w:tcW w:w="700" w:type="dxa"/>
            <w:vAlign w:val="bottom"/>
            <w:tcBorders>
              <w:bottom w:val="single" w:sz="8" w:color="0077C0"/>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Borders>
              <w:bottom w:val="single" w:sz="8" w:color="0077C0"/>
            </w:tcBorders>
          </w:tcPr>
          <w:p>
            <w:pPr>
              <w:spacing w:after="0"/>
              <w:rPr>
                <w:sz w:val="16"/>
                <w:szCs w:val="16"/>
                <w:color w:val="auto"/>
              </w:rPr>
            </w:pPr>
          </w:p>
        </w:tc>
        <w:tc>
          <w:tcPr>
            <w:tcW w:w="720" w:type="dxa"/>
            <w:vAlign w:val="bottom"/>
            <w:tcBorders>
              <w:bottom w:val="single" w:sz="8" w:color="0077C0"/>
              <w:right w:val="single" w:sz="8" w:color="0077C0"/>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80" w:type="dxa"/>
            <w:vAlign w:val="bottom"/>
            <w:tcBorders>
              <w:bottom w:val="single" w:sz="8" w:color="0077C0"/>
            </w:tcBorders>
          </w:tcPr>
          <w:p>
            <w:pPr>
              <w:spacing w:after="0"/>
              <w:rPr>
                <w:sz w:val="16"/>
                <w:szCs w:val="16"/>
                <w:color w:val="auto"/>
              </w:rPr>
            </w:pP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320" w:type="dxa"/>
            <w:vAlign w:val="bottom"/>
            <w:tcBorders>
              <w:bottom w:val="single" w:sz="8" w:color="0077C0"/>
            </w:tcBorders>
          </w:tcPr>
          <w:p>
            <w:pPr>
              <w:spacing w:after="0"/>
              <w:rPr>
                <w:sz w:val="16"/>
                <w:szCs w:val="16"/>
                <w:color w:val="auto"/>
              </w:rPr>
            </w:pPr>
          </w:p>
        </w:tc>
        <w:tc>
          <w:tcPr>
            <w:tcW w:w="7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Level 1</w:t>
            </w:r>
          </w:p>
        </w:tc>
        <w:tc>
          <w:tcPr>
            <w:tcW w:w="32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Level 2</w:t>
            </w:r>
          </w:p>
        </w:tc>
        <w:tc>
          <w:tcPr>
            <w:tcW w:w="320" w:type="dxa"/>
            <w:vAlign w:val="bottom"/>
            <w:tcBorders>
              <w:bottom w:val="single" w:sz="8" w:color="0077C0"/>
            </w:tcBorders>
          </w:tcPr>
          <w:p>
            <w:pPr>
              <w:spacing w:after="0"/>
              <w:rPr>
                <w:sz w:val="16"/>
                <w:szCs w:val="16"/>
                <w:color w:val="auto"/>
              </w:rPr>
            </w:pPr>
          </w:p>
        </w:tc>
        <w:tc>
          <w:tcPr>
            <w:tcW w:w="6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Level 3</w:t>
            </w:r>
          </w:p>
        </w:tc>
      </w:tr>
      <w:tr>
        <w:trPr>
          <w:trHeight w:val="190"/>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 $</w:t>
            </w:r>
          </w:p>
        </w:tc>
        <w:tc>
          <w:tcPr>
            <w:tcW w:w="10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 $</w:t>
            </w:r>
          </w:p>
        </w:tc>
        <w:tc>
          <w:tcPr>
            <w:tcW w:w="102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 $</w:t>
            </w:r>
          </w:p>
        </w:tc>
        <w:tc>
          <w:tcPr>
            <w:tcW w:w="720" w:type="dxa"/>
            <w:vAlign w:val="bottom"/>
            <w:tcBorders>
              <w:right w:val="single" w:sz="8" w:color="0077C0"/>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Derivatives - not designated</w:t>
            </w:r>
          </w:p>
        </w:tc>
        <w:tc>
          <w:tcPr>
            <w:tcW w:w="3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137</w:t>
            </w: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127</w:t>
            </w:r>
          </w:p>
        </w:tc>
        <w:tc>
          <w:tcPr>
            <w:tcW w:w="320" w:type="dxa"/>
            <w:vAlign w:val="bottom"/>
          </w:tcPr>
          <w:p>
            <w:pPr>
              <w:spacing w:after="0"/>
              <w:rPr>
                <w:sz w:val="16"/>
                <w:szCs w:val="16"/>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10</w:t>
            </w:r>
          </w:p>
        </w:tc>
        <w:tc>
          <w:tcPr>
            <w:tcW w:w="320" w:type="dxa"/>
            <w:vAlign w:val="bottom"/>
          </w:tcPr>
          <w:p>
            <w:pPr>
              <w:spacing w:after="0"/>
              <w:rPr>
                <w:sz w:val="16"/>
                <w:szCs w:val="16"/>
                <w:color w:val="auto"/>
              </w:rPr>
            </w:pPr>
          </w:p>
        </w:tc>
        <w:tc>
          <w:tcPr>
            <w:tcW w:w="720" w:type="dxa"/>
            <w:vAlign w:val="bottom"/>
            <w:tcBorders>
              <w:right w:val="single" w:sz="8" w:color="0077C0"/>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320" w:type="dxa"/>
            <w:vAlign w:val="bottom"/>
          </w:tcPr>
          <w:p>
            <w:pPr>
              <w:spacing w:after="0"/>
              <w:rPr>
                <w:sz w:val="16"/>
                <w:szCs w:val="16"/>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Derivatives - designated</w:t>
            </w:r>
          </w:p>
        </w:tc>
        <w:tc>
          <w:tcPr>
            <w:tcW w:w="3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7"/>
                <w:szCs w:val="17"/>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7"/>
                <w:szCs w:val="17"/>
                <w:color w:val="auto"/>
              </w:rPr>
            </w:pPr>
          </w:p>
        </w:tc>
        <w:tc>
          <w:tcPr>
            <w:tcW w:w="720" w:type="dxa"/>
            <w:vAlign w:val="bottom"/>
            <w:tcBorders>
              <w:right w:val="single" w:sz="8" w:color="0077C0"/>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3180" w:type="dxa"/>
            <w:vAlign w:val="bottom"/>
            <w:tcBorders>
              <w:bottom w:val="single" w:sz="8" w:color="0077C0"/>
            </w:tcBorders>
          </w:tcPr>
          <w:p>
            <w:pPr>
              <w:spacing w:after="0"/>
              <w:rPr>
                <w:sz w:val="2"/>
                <w:szCs w:val="2"/>
                <w:color w:val="auto"/>
              </w:rPr>
            </w:pPr>
          </w:p>
        </w:tc>
        <w:tc>
          <w:tcPr>
            <w:tcW w:w="38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720" w:type="dxa"/>
            <w:vAlign w:val="bottom"/>
            <w:tcBorders>
              <w:bottom w:val="single" w:sz="8" w:color="0077C0"/>
              <w:right w:val="single" w:sz="8" w:color="0077C0"/>
            </w:tcBorders>
          </w:tcPr>
          <w:p>
            <w:pPr>
              <w:spacing w:after="0"/>
              <w:rPr>
                <w:sz w:val="2"/>
                <w:szCs w:val="2"/>
                <w:color w:val="auto"/>
              </w:rPr>
            </w:pPr>
          </w:p>
        </w:tc>
        <w:tc>
          <w:tcPr>
            <w:tcW w:w="38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r>
      <w:tr>
        <w:trPr>
          <w:trHeight w:val="190"/>
        </w:trPr>
        <w:tc>
          <w:tcPr>
            <w:tcW w:w="318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 at fair value</w:t>
            </w:r>
          </w:p>
        </w:tc>
        <w:tc>
          <w:tcPr>
            <w:tcW w:w="380" w:type="dxa"/>
            <w:vAlign w:val="bottom"/>
            <w:tcBorders>
              <w:bottom w:val="single" w:sz="8" w:color="0077C0"/>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137</w:t>
            </w:r>
          </w:p>
        </w:tc>
        <w:tc>
          <w:tcPr>
            <w:tcW w:w="320" w:type="dxa"/>
            <w:vAlign w:val="bottom"/>
            <w:tcBorders>
              <w:bottom w:val="single" w:sz="8" w:color="0077C0"/>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127</w:t>
            </w:r>
          </w:p>
        </w:tc>
        <w:tc>
          <w:tcPr>
            <w:tcW w:w="320" w:type="dxa"/>
            <w:vAlign w:val="bottom"/>
            <w:tcBorders>
              <w:bottom w:val="single" w:sz="8" w:color="0077C0"/>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0077C0"/>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10</w:t>
            </w:r>
          </w:p>
        </w:tc>
        <w:tc>
          <w:tcPr>
            <w:tcW w:w="320" w:type="dxa"/>
            <w:vAlign w:val="bottom"/>
            <w:tcBorders>
              <w:bottom w:val="single" w:sz="8" w:color="0077C0"/>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0077C0"/>
              <w:right w:val="single" w:sz="8" w:color="0077C0"/>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bottom w:val="single" w:sz="8" w:color="0077C0"/>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320" w:type="dxa"/>
            <w:vAlign w:val="bottom"/>
            <w:tcBorders>
              <w:bottom w:val="single" w:sz="8" w:color="0077C0"/>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320" w:type="dxa"/>
            <w:vAlign w:val="bottom"/>
            <w:tcBorders>
              <w:bottom w:val="single" w:sz="8" w:color="0077C0"/>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320" w:type="dxa"/>
            <w:vAlign w:val="bottom"/>
            <w:tcBorders>
              <w:bottom w:val="single" w:sz="8" w:color="0077C0"/>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0077C0"/>
            </w:tcBorders>
          </w:tcPr>
          <w:p>
            <w:pPr>
              <w:ind w:left="460"/>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Derivatives - not designated</w:t>
            </w:r>
          </w:p>
        </w:tc>
        <w:tc>
          <w:tcPr>
            <w:tcW w:w="3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136</w:t>
            </w: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47</w:t>
            </w:r>
          </w:p>
        </w:tc>
        <w:tc>
          <w:tcPr>
            <w:tcW w:w="320" w:type="dxa"/>
            <w:vAlign w:val="bottom"/>
          </w:tcPr>
          <w:p>
            <w:pPr>
              <w:spacing w:after="0"/>
              <w:rPr>
                <w:sz w:val="16"/>
                <w:szCs w:val="16"/>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89</w:t>
            </w:r>
          </w:p>
        </w:tc>
        <w:tc>
          <w:tcPr>
            <w:tcW w:w="320" w:type="dxa"/>
            <w:vAlign w:val="bottom"/>
          </w:tcPr>
          <w:p>
            <w:pPr>
              <w:spacing w:after="0"/>
              <w:rPr>
                <w:sz w:val="16"/>
                <w:szCs w:val="16"/>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320" w:type="dxa"/>
            <w:vAlign w:val="bottom"/>
          </w:tcPr>
          <w:p>
            <w:pPr>
              <w:spacing w:after="0"/>
              <w:rPr>
                <w:sz w:val="16"/>
                <w:szCs w:val="16"/>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Derivatives - designated</w:t>
            </w:r>
          </w:p>
        </w:tc>
        <w:tc>
          <w:tcPr>
            <w:tcW w:w="3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w:t>
            </w: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w:t>
            </w:r>
          </w:p>
        </w:tc>
        <w:tc>
          <w:tcPr>
            <w:tcW w:w="320" w:type="dxa"/>
            <w:vAlign w:val="bottom"/>
          </w:tcPr>
          <w:p>
            <w:pPr>
              <w:spacing w:after="0"/>
              <w:rPr>
                <w:sz w:val="16"/>
                <w:szCs w:val="16"/>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6"/>
                <w:szCs w:val="16"/>
                <w:color w:val="auto"/>
              </w:rPr>
            </w:pPr>
          </w:p>
        </w:tc>
        <w:tc>
          <w:tcPr>
            <w:tcW w:w="720" w:type="dxa"/>
            <w:vAlign w:val="bottom"/>
            <w:tcBorders>
              <w:right w:val="single" w:sz="8" w:color="0077C0"/>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3180" w:type="dxa"/>
            <w:vAlign w:val="bottom"/>
            <w:tcBorders>
              <w:bottom w:val="single" w:sz="8" w:color="0077C0"/>
            </w:tcBorders>
          </w:tcPr>
          <w:p>
            <w:pPr>
              <w:spacing w:after="0"/>
              <w:rPr>
                <w:sz w:val="2"/>
                <w:szCs w:val="2"/>
                <w:color w:val="auto"/>
              </w:rPr>
            </w:pPr>
          </w:p>
        </w:tc>
        <w:tc>
          <w:tcPr>
            <w:tcW w:w="38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720" w:type="dxa"/>
            <w:vAlign w:val="bottom"/>
            <w:tcBorders>
              <w:bottom w:val="single" w:sz="8" w:color="0077C0"/>
              <w:right w:val="single" w:sz="8" w:color="0077C0"/>
            </w:tcBorders>
          </w:tcPr>
          <w:p>
            <w:pPr>
              <w:spacing w:after="0"/>
              <w:rPr>
                <w:sz w:val="2"/>
                <w:szCs w:val="2"/>
                <w:color w:val="auto"/>
              </w:rPr>
            </w:pPr>
          </w:p>
        </w:tc>
        <w:tc>
          <w:tcPr>
            <w:tcW w:w="38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r>
      <w:tr>
        <w:trPr>
          <w:trHeight w:val="190"/>
        </w:trPr>
        <w:tc>
          <w:tcPr>
            <w:tcW w:w="318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at fair value</w:t>
            </w:r>
          </w:p>
        </w:tc>
        <w:tc>
          <w:tcPr>
            <w:tcW w:w="380" w:type="dxa"/>
            <w:vAlign w:val="bottom"/>
            <w:tcBorders>
              <w:bottom w:val="single" w:sz="8" w:color="0077C0"/>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153</w:t>
            </w:r>
          </w:p>
        </w:tc>
        <w:tc>
          <w:tcPr>
            <w:tcW w:w="320" w:type="dxa"/>
            <w:vAlign w:val="bottom"/>
            <w:tcBorders>
              <w:bottom w:val="single" w:sz="8" w:color="0077C0"/>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64</w:t>
            </w:r>
          </w:p>
        </w:tc>
        <w:tc>
          <w:tcPr>
            <w:tcW w:w="320" w:type="dxa"/>
            <w:vAlign w:val="bottom"/>
            <w:tcBorders>
              <w:bottom w:val="single" w:sz="8" w:color="0077C0"/>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0077C0"/>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89</w:t>
            </w:r>
          </w:p>
        </w:tc>
        <w:tc>
          <w:tcPr>
            <w:tcW w:w="320" w:type="dxa"/>
            <w:vAlign w:val="bottom"/>
            <w:tcBorders>
              <w:bottom w:val="single" w:sz="8" w:color="0077C0"/>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0077C0"/>
              <w:right w:val="single" w:sz="8" w:color="0077C0"/>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bottom w:val="single" w:sz="8" w:color="0077C0"/>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320" w:type="dxa"/>
            <w:vAlign w:val="bottom"/>
            <w:tcBorders>
              <w:bottom w:val="single" w:sz="8" w:color="0077C0"/>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320" w:type="dxa"/>
            <w:vAlign w:val="bottom"/>
            <w:tcBorders>
              <w:bottom w:val="single" w:sz="8" w:color="0077C0"/>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320" w:type="dxa"/>
            <w:vAlign w:val="bottom"/>
            <w:tcBorders>
              <w:bottom w:val="single" w:sz="8" w:color="0077C0"/>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0077C0"/>
            </w:tcBorders>
          </w:tcPr>
          <w:p>
            <w:pPr>
              <w:ind w:left="460"/>
              <w:spacing w:after="0"/>
              <w:rPr>
                <w:sz w:val="20"/>
                <w:szCs w:val="20"/>
                <w:color w:val="auto"/>
              </w:rPr>
            </w:pPr>
            <w:r>
              <w:rPr>
                <w:rFonts w:ascii="Times New Roman" w:cs="Times New Roman" w:eastAsia="Times New Roman" w:hAnsi="Times New Roman"/>
                <w:sz w:val="14"/>
                <w:szCs w:val="14"/>
                <w:color w:val="auto"/>
              </w:rPr>
              <w:t>—</w:t>
            </w: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and Liabilities Measured at Fair Value on a Nonrecurring Basis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At December 31</w:t>
            </w: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At December 31</w:t>
            </w:r>
          </w:p>
        </w:tc>
        <w:tc>
          <w:tcPr>
            <w:tcW w:w="0" w:type="dxa"/>
            <w:vAlign w:val="bottom"/>
          </w:tcPr>
          <w:p>
            <w:pPr>
              <w:spacing w:after="0"/>
              <w:rPr>
                <w:sz w:val="1"/>
                <w:szCs w:val="1"/>
                <w:color w:val="auto"/>
              </w:rPr>
            </w:pPr>
          </w:p>
        </w:tc>
      </w:tr>
      <w:tr>
        <w:trPr>
          <w:trHeight w:val="23"/>
        </w:trPr>
        <w:tc>
          <w:tcPr>
            <w:tcW w:w="3200" w:type="dxa"/>
            <w:vAlign w:val="bottom"/>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740" w:type="dxa"/>
            <w:vAlign w:val="bottom"/>
            <w:tcBorders>
              <w:bottom w:val="single" w:sz="8" w:color="0077C0"/>
            </w:tcBorders>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80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76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Borders>
              <w:right w:val="single" w:sz="8" w:color="0077C0"/>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Before-Tax</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Before-Tax Loss</w:t>
            </w:r>
          </w:p>
        </w:tc>
        <w:tc>
          <w:tcPr>
            <w:tcW w:w="0" w:type="dxa"/>
            <w:vAlign w:val="bottom"/>
          </w:tcPr>
          <w:p>
            <w:pPr>
              <w:spacing w:after="0"/>
              <w:rPr>
                <w:sz w:val="1"/>
                <w:szCs w:val="1"/>
                <w:color w:val="auto"/>
              </w:rPr>
            </w:pPr>
          </w:p>
        </w:tc>
      </w:tr>
      <w:tr>
        <w:trPr>
          <w:trHeight w:val="188"/>
        </w:trPr>
        <w:tc>
          <w:tcPr>
            <w:tcW w:w="3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right w:val="single" w:sz="8" w:color="0077C0"/>
            </w:tcBorders>
          </w:tcPr>
          <w:p>
            <w:pPr>
              <w:ind w:left="500"/>
              <w:spacing w:after="0"/>
              <w:rPr>
                <w:sz w:val="20"/>
                <w:szCs w:val="20"/>
                <w:color w:val="auto"/>
              </w:rPr>
            </w:pPr>
            <w:r>
              <w:rPr>
                <w:rFonts w:ascii="Times New Roman" w:cs="Times New Roman" w:eastAsia="Times New Roman" w:hAnsi="Times New Roman"/>
                <w:sz w:val="14"/>
                <w:szCs w:val="14"/>
                <w:color w:val="auto"/>
                <w:w w:val="98"/>
              </w:rPr>
              <w:t>Loss</w:t>
            </w: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6"/>
                <w:szCs w:val="16"/>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6"/>
                <w:szCs w:val="16"/>
                <w:color w:val="auto"/>
              </w:rPr>
            </w:pPr>
          </w:p>
        </w:tc>
        <w:tc>
          <w:tcPr>
            <w:tcW w:w="80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Year 2024</w:t>
            </w:r>
          </w:p>
        </w:tc>
        <w:tc>
          <w:tcPr>
            <w:tcW w:w="3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Level 1</w:t>
            </w:r>
          </w:p>
        </w:tc>
        <w:tc>
          <w:tcPr>
            <w:tcW w:w="2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Level 2</w:t>
            </w:r>
          </w:p>
        </w:tc>
        <w:tc>
          <w:tcPr>
            <w:tcW w:w="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Level 3</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Year 2023</w:t>
            </w:r>
          </w:p>
        </w:tc>
        <w:tc>
          <w:tcPr>
            <w:tcW w:w="0" w:type="dxa"/>
            <w:vAlign w:val="bottom"/>
          </w:tcPr>
          <w:p>
            <w:pPr>
              <w:spacing w:after="0"/>
              <w:rPr>
                <w:sz w:val="1"/>
                <w:szCs w:val="1"/>
                <w:color w:val="auto"/>
              </w:rPr>
            </w:pPr>
          </w:p>
        </w:tc>
      </w:tr>
      <w:tr>
        <w:trPr>
          <w:trHeight w:val="23"/>
        </w:trPr>
        <w:tc>
          <w:tcPr>
            <w:tcW w:w="320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740" w:type="dxa"/>
            <w:vAlign w:val="bottom"/>
            <w:tcBorders>
              <w:bottom w:val="single" w:sz="8" w:color="0077C0"/>
            </w:tcBorders>
          </w:tcPr>
          <w:p>
            <w:pPr>
              <w:spacing w:after="0"/>
              <w:rPr>
                <w:sz w:val="2"/>
                <w:szCs w:val="2"/>
                <w:color w:val="auto"/>
              </w:rPr>
            </w:pPr>
          </w:p>
        </w:tc>
        <w:tc>
          <w:tcPr>
            <w:tcW w:w="740" w:type="dxa"/>
            <w:vAlign w:val="bottom"/>
            <w:tcBorders>
              <w:bottom w:val="single" w:sz="8" w:color="0077C0"/>
            </w:tcBorders>
            <w:gridSpan w:val="2"/>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800" w:type="dxa"/>
            <w:vAlign w:val="bottom"/>
            <w:tcBorders>
              <w:bottom w:val="single" w:sz="8" w:color="0077C0"/>
              <w:right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76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Properties, plant and equipment, net (held and used)</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324</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 $</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324</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right w:val="single" w:sz="8" w:color="0077C0"/>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226</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2,175</w:t>
            </w:r>
          </w:p>
        </w:tc>
        <w:tc>
          <w:tcPr>
            <w:tcW w:w="0" w:type="dxa"/>
            <w:vAlign w:val="bottom"/>
          </w:tcPr>
          <w:p>
            <w:pPr>
              <w:spacing w:after="0"/>
              <w:rPr>
                <w:sz w:val="1"/>
                <w:szCs w:val="1"/>
                <w:color w:val="auto"/>
              </w:rPr>
            </w:pPr>
          </w:p>
        </w:tc>
      </w:tr>
      <w:tr>
        <w:trPr>
          <w:trHeight w:val="191"/>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Properties, plant and equipment, net (held for sale)</w:t>
            </w:r>
          </w:p>
        </w:tc>
        <w:tc>
          <w:tcPr>
            <w:tcW w:w="3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616</w:t>
            </w:r>
          </w:p>
        </w:tc>
        <w:tc>
          <w:tcPr>
            <w:tcW w:w="200" w:type="dxa"/>
            <w:vAlign w:val="bottom"/>
          </w:tcPr>
          <w:p>
            <w:pPr>
              <w:spacing w:after="0"/>
              <w:rPr>
                <w:sz w:val="16"/>
                <w:szCs w:val="16"/>
                <w:color w:val="auto"/>
              </w:rPr>
            </w:pPr>
          </w:p>
        </w:tc>
        <w:tc>
          <w:tcPr>
            <w:tcW w:w="7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616</w:t>
            </w:r>
          </w:p>
        </w:tc>
        <w:tc>
          <w:tcPr>
            <w:tcW w:w="2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800" w:type="dxa"/>
            <w:vAlign w:val="bottom"/>
            <w:tcBorders>
              <w:right w:val="single" w:sz="8" w:color="0077C0"/>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274</w:t>
            </w:r>
          </w:p>
        </w:tc>
        <w:tc>
          <w:tcPr>
            <w:tcW w:w="3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3"/>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and advances</w:t>
            </w:r>
          </w:p>
        </w:tc>
        <w:tc>
          <w:tcPr>
            <w:tcW w:w="3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w:t>
            </w:r>
          </w:p>
        </w:tc>
        <w:tc>
          <w:tcPr>
            <w:tcW w:w="200" w:type="dxa"/>
            <w:vAlign w:val="bottom"/>
          </w:tcPr>
          <w:p>
            <w:pPr>
              <w:spacing w:after="0"/>
              <w:rPr>
                <w:sz w:val="17"/>
                <w:szCs w:val="17"/>
                <w:color w:val="auto"/>
              </w:rPr>
            </w:pPr>
          </w:p>
        </w:tc>
        <w:tc>
          <w:tcPr>
            <w:tcW w:w="7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w:t>
            </w: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7"/>
                <w:szCs w:val="17"/>
                <w:color w:val="auto"/>
              </w:rPr>
            </w:pPr>
          </w:p>
        </w:tc>
        <w:tc>
          <w:tcPr>
            <w:tcW w:w="800" w:type="dxa"/>
            <w:vAlign w:val="bottom"/>
            <w:tcBorders>
              <w:right w:val="single" w:sz="8" w:color="0077C0"/>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289</w:t>
            </w:r>
          </w:p>
        </w:tc>
        <w:tc>
          <w:tcPr>
            <w:tcW w:w="3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0" w:type="dxa"/>
            <w:vAlign w:val="bottom"/>
          </w:tcPr>
          <w:p>
            <w:pPr>
              <w:spacing w:after="0"/>
              <w:rPr>
                <w:sz w:val="1"/>
                <w:szCs w:val="1"/>
                <w:color w:val="auto"/>
              </w:rPr>
            </w:pPr>
          </w:p>
        </w:tc>
      </w:tr>
      <w:tr>
        <w:trPr>
          <w:trHeight w:val="23"/>
        </w:trPr>
        <w:tc>
          <w:tcPr>
            <w:tcW w:w="320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740" w:type="dxa"/>
            <w:vAlign w:val="bottom"/>
            <w:tcBorders>
              <w:bottom w:val="single" w:sz="8" w:color="0077C0"/>
            </w:tcBorders>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800" w:type="dxa"/>
            <w:vAlign w:val="bottom"/>
            <w:tcBorders>
              <w:bottom w:val="single" w:sz="8" w:color="0077C0"/>
              <w:right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76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20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nonrecurring assets at fair value</w:t>
            </w:r>
          </w:p>
        </w:tc>
        <w:tc>
          <w:tcPr>
            <w:tcW w:w="300" w:type="dxa"/>
            <w:vAlign w:val="bottom"/>
            <w:tcBorders>
              <w:bottom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976</w:t>
            </w:r>
          </w:p>
        </w:tc>
        <w:tc>
          <w:tcPr>
            <w:tcW w:w="20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0077C0"/>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 $</w:t>
            </w:r>
          </w:p>
        </w:tc>
        <w:tc>
          <w:tcPr>
            <w:tcW w:w="5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652</w:t>
            </w:r>
          </w:p>
        </w:tc>
        <w:tc>
          <w:tcPr>
            <w:tcW w:w="20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324</w:t>
            </w:r>
          </w:p>
        </w:tc>
        <w:tc>
          <w:tcPr>
            <w:tcW w:w="20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0077C0"/>
              <w:right w:val="single" w:sz="8" w:color="0077C0"/>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789</w:t>
            </w:r>
          </w:p>
        </w:tc>
        <w:tc>
          <w:tcPr>
            <w:tcW w:w="300" w:type="dxa"/>
            <w:vAlign w:val="bottom"/>
            <w:tcBorders>
              <w:bottom w:val="single" w:sz="8" w:color="0077C0"/>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18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8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260" w:type="dxa"/>
            <w:vAlign w:val="bottom"/>
            <w:tcBorders>
              <w:bottom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2,532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78" w:name="page79"/>
    <w:bookmarkEnd w:id="78"/>
    <w:p>
      <w:pPr>
        <w:ind w:left="20"/>
        <w:spacing w:after="0"/>
        <w:tabs>
          <w:tab w:leader="none" w:pos="9460" w:val="left"/>
        </w:tabs>
        <w:rPr>
          <w:sz w:val="20"/>
          <w:szCs w:val="20"/>
          <w:color w:val="auto"/>
        </w:rPr>
      </w:pPr>
      <w:r>
        <w:rPr>
          <w:rFonts w:ascii="Arial" w:cs="Arial" w:eastAsia="Arial" w:hAnsi="Arial"/>
          <w:sz w:val="14"/>
          <w:szCs w:val="14"/>
          <w:color w:val="0077C0"/>
        </w:rPr>
        <w:t>Notes to the Consolidated Financial Statements</w:t>
      </w:r>
      <w:r>
        <w:rPr>
          <w:sz w:val="20"/>
          <w:szCs w:val="20"/>
          <w:color w:val="auto"/>
        </w:rPr>
        <w:tab/>
      </w:r>
      <w:r>
        <w:rPr>
          <w:rFonts w:ascii="Arial" w:cs="Arial" w:eastAsia="Arial" w:hAnsi="Arial"/>
          <w:sz w:val="14"/>
          <w:szCs w:val="14"/>
          <w:color w:val="0077C0"/>
        </w:rPr>
        <w:t>Financial Table of Contents</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11"/>
          <w:szCs w:val="11"/>
          <w:color w:val="0077C0"/>
        </w:rPr>
        <w:t>Millions of dollars, except per-share amounts</w:t>
      </w:r>
    </w:p>
    <w:p>
      <w:pPr>
        <w:spacing w:after="0" w:line="200" w:lineRule="exact"/>
        <w:rPr>
          <w:sz w:val="20"/>
          <w:szCs w:val="20"/>
          <w:color w:val="auto"/>
        </w:rPr>
      </w:pPr>
    </w:p>
    <w:p>
      <w:pPr>
        <w:spacing w:after="0" w:line="37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At year-end 2024, the company had assets measured at fair value Level 3 using unobservable inputs of $324. The carrying value of these assets were written down to fair value based on estimates derived from discounted cash flow models. Cash flows were determined using estimates of future production, an outlook of future price based on published prices and a discount rate believed to be consistent with those used by principal market participants.</w:t>
      </w:r>
    </w:p>
    <w:p>
      <w:pPr>
        <w:spacing w:after="0" w:line="5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Assets and Liabilities Not Required to Be Measured at Fair Value </w:t>
      </w:r>
      <w:r>
        <w:rPr>
          <w:rFonts w:ascii="Times New Roman" w:cs="Times New Roman" w:eastAsia="Times New Roman" w:hAnsi="Times New Roman"/>
          <w:sz w:val="18"/>
          <w:szCs w:val="18"/>
          <w:color w:val="000000"/>
        </w:rPr>
        <w:t>The company holds cash equivalents in U.S. and non-U.S. portfolios. The instruments</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classified as cash equivalents are primarily bank time deposits with maturities of 90 days or less and money market funds. “Cash and cash equivalents” had carrying/fair values of $6,781 and $8,178 at December 31, 2024, and December 31, 2023, respectively. The fair values of cash and cash equivalents are classified as Level 1 and reflect the cash that would have been received if the instruments were settled at December 31, 2024.</w:t>
      </w:r>
    </w:p>
    <w:p>
      <w:pPr>
        <w:spacing w:after="0" w:line="4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“Cash and cash equivalents” do not include investments with a carrying/fair value of $1,481 and $1,097 at December 31, 2024, and December 31, 2023, respectively. At December 31, 2024, these investments are classified as Level 1 and include restricted funds mainly related to certain upstream decommissioning activities, a tax-deferred transaction and financing programs.</w:t>
      </w:r>
    </w:p>
    <w:p>
      <w:pPr>
        <w:spacing w:after="0" w:line="6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Long-term debt, excluding finance lease liabilities, of $10,810 and $14,612 at December 31, 2024, and December 31, 2023, respectively, had estimated fair values of $9,791 and $13,709, respectively. Long-term debt primarily includes corporate issued bonds. At December 31, 2024, the fair value of corporate bonds is $9,243 and classified as Level 1 and the fair value of other long-term debt classified as Level 2 is $548.</w:t>
      </w:r>
    </w:p>
    <w:p>
      <w:pPr>
        <w:spacing w:after="0" w:line="47"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The carrying values of other short-term financial assets and liabilities on the Consolidated Balance Sheet approximate their fair values. Fair value remeasurements of other financial instruments at December 31, 2024 and 2023, were not material.</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10</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0077C0"/>
        </w:rPr>
        <w:t>Financial and Derivative Instruments</w:t>
      </w:r>
    </w:p>
    <w:p>
      <w:pPr>
        <w:spacing w:after="0" w:line="1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Derivative Commodity Instruments </w:t>
      </w:r>
      <w:r>
        <w:rPr>
          <w:rFonts w:ascii="Times New Roman" w:cs="Times New Roman" w:eastAsia="Times New Roman" w:hAnsi="Times New Roman"/>
          <w:sz w:val="18"/>
          <w:szCs w:val="18"/>
          <w:color w:val="000000"/>
        </w:rPr>
        <w:t>The company’s derivative commodity instruments principally include crude oil, natural gas, liquefied natural gas and</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refined product futures, swaps, options, and forward contracts. The company applies cash flow hedge accounting to certain commodity transactions, where appropriate, to manage the market price risk associated with forecasted sales of crude oil. The company’s derivatives are not material to the company’s financial position, results of operations or liquidity. The company believes it has no material market or credit risks to its operations, financial position or liquidity as a result of its commodity derivative activities.</w:t>
      </w:r>
    </w:p>
    <w:p>
      <w:pPr>
        <w:spacing w:after="0" w:line="5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company uses derivative commodity instruments traded on the New York Mercantile Exchange and on electronic platforms of the Inter-Continental Exchange and Chicago Mercantile Exchange. In addition, the company enters into swap contracts and option contracts principally with major financial institutions and other oil and gas companies in the “over-the-counter” markets, which are governed by International Swaps and Derivatives Association agreements and other master netting arrangements. Depending on the nature of the derivative transactions, bilateral collateral arrangements may also be required.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Derivative instruments measured at fair value at December 31, 2024, 2023 and 2022, and their classification on the Consolidated Balance Sheet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 of Income are as follows: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Balance Sheet: Fair Value of Derivatives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18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At December 31</w:t>
            </w:r>
          </w:p>
        </w:tc>
        <w:tc>
          <w:tcPr>
            <w:tcW w:w="0" w:type="dxa"/>
            <w:vAlign w:val="bottom"/>
          </w:tcPr>
          <w:p>
            <w:pPr>
              <w:spacing w:after="0"/>
              <w:rPr>
                <w:sz w:val="1"/>
                <w:szCs w:val="1"/>
                <w:color w:val="auto"/>
              </w:rPr>
            </w:pPr>
          </w:p>
        </w:tc>
      </w:tr>
      <w:tr>
        <w:trPr>
          <w:trHeight w:val="23"/>
        </w:trPr>
        <w:tc>
          <w:tcPr>
            <w:tcW w:w="2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Type of Contract</w:t>
            </w:r>
          </w:p>
        </w:tc>
        <w:tc>
          <w:tcPr>
            <w:tcW w:w="594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620" w:type="dxa"/>
            <w:vAlign w:val="bottom"/>
            <w:tcBorders>
              <w:bottom w:val="single" w:sz="8" w:color="0077C0"/>
            </w:tcBorders>
          </w:tcPr>
          <w:p>
            <w:pPr>
              <w:spacing w:after="0"/>
              <w:rPr>
                <w:sz w:val="2"/>
                <w:szCs w:val="2"/>
                <w:color w:val="auto"/>
              </w:rPr>
            </w:pPr>
          </w:p>
        </w:tc>
        <w:tc>
          <w:tcPr>
            <w:tcW w:w="960" w:type="dxa"/>
            <w:vAlign w:val="bottom"/>
            <w:tcBorders>
              <w:bottom w:val="single" w:sz="8" w:color="0077C0"/>
            </w:tcBorders>
          </w:tcPr>
          <w:p>
            <w:pPr>
              <w:spacing w:after="0"/>
              <w:rPr>
                <w:sz w:val="2"/>
                <w:szCs w:val="2"/>
                <w:color w:val="auto"/>
              </w:rPr>
            </w:pPr>
          </w:p>
        </w:tc>
        <w:tc>
          <w:tcPr>
            <w:tcW w:w="380" w:type="dxa"/>
            <w:vAlign w:val="bottom"/>
            <w:tcBorders>
              <w:bottom w:val="single" w:sz="8" w:color="0077C0"/>
            </w:tcBorders>
          </w:tcPr>
          <w:p>
            <w:pPr>
              <w:spacing w:after="0"/>
              <w:rPr>
                <w:sz w:val="2"/>
                <w:szCs w:val="2"/>
                <w:color w:val="auto"/>
              </w:rPr>
            </w:pPr>
          </w:p>
        </w:tc>
        <w:tc>
          <w:tcPr>
            <w:tcW w:w="116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180" w:type="dxa"/>
            <w:vAlign w:val="bottom"/>
            <w:tcBorders>
              <w:bottom w:val="single" w:sz="8" w:color="0077C0"/>
            </w:tcBorders>
            <w:vMerge w:val="continue"/>
          </w:tcPr>
          <w:p>
            <w:pPr>
              <w:spacing w:after="0"/>
              <w:rPr>
                <w:sz w:val="16"/>
                <w:szCs w:val="16"/>
                <w:color w:val="auto"/>
              </w:rPr>
            </w:pPr>
          </w:p>
        </w:tc>
        <w:tc>
          <w:tcPr>
            <w:tcW w:w="5940" w:type="dxa"/>
            <w:vAlign w:val="bottom"/>
            <w:tcBorders>
              <w:bottom w:val="single" w:sz="8" w:color="0077C0"/>
            </w:tcBorders>
            <w:vMerge w:val="continue"/>
          </w:tcPr>
          <w:p>
            <w:pPr>
              <w:spacing w:after="0"/>
              <w:rPr>
                <w:sz w:val="16"/>
                <w:szCs w:val="16"/>
                <w:color w:val="auto"/>
              </w:rPr>
            </w:pPr>
          </w:p>
        </w:tc>
        <w:tc>
          <w:tcPr>
            <w:tcW w:w="620" w:type="dxa"/>
            <w:vAlign w:val="bottom"/>
            <w:tcBorders>
              <w:bottom w:val="single" w:sz="8" w:color="0077C0"/>
            </w:tcBorders>
          </w:tcPr>
          <w:p>
            <w:pPr>
              <w:spacing w:after="0"/>
              <w:rPr>
                <w:sz w:val="16"/>
                <w:szCs w:val="16"/>
                <w:color w:val="auto"/>
              </w:rPr>
            </w:pPr>
          </w:p>
        </w:tc>
        <w:tc>
          <w:tcPr>
            <w:tcW w:w="960" w:type="dxa"/>
            <w:vAlign w:val="bottom"/>
            <w:tcBorders>
              <w:bottom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0077C0"/>
            </w:tcBorders>
          </w:tcPr>
          <w:p>
            <w:pPr>
              <w:spacing w:after="0"/>
              <w:rPr>
                <w:sz w:val="16"/>
                <w:szCs w:val="16"/>
                <w:color w:val="auto"/>
              </w:rPr>
            </w:pPr>
          </w:p>
        </w:tc>
        <w:tc>
          <w:tcPr>
            <w:tcW w:w="11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90"/>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Commodity</w:t>
            </w:r>
          </w:p>
        </w:tc>
        <w:tc>
          <w:tcPr>
            <w:tcW w:w="59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Accounts and notes receivable</w:t>
            </w:r>
          </w:p>
        </w:tc>
        <w:tc>
          <w:tcPr>
            <w:tcW w:w="6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122</w:t>
            </w:r>
          </w:p>
        </w:tc>
        <w:tc>
          <w:tcPr>
            <w:tcW w:w="3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191"/>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Commodity</w:t>
            </w:r>
          </w:p>
        </w:tc>
        <w:tc>
          <w:tcPr>
            <w:tcW w:w="59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Long-term receivables, net</w:t>
            </w:r>
          </w:p>
        </w:tc>
        <w:tc>
          <w:tcPr>
            <w:tcW w:w="620" w:type="dxa"/>
            <w:vAlign w:val="bottom"/>
          </w:tcPr>
          <w:p>
            <w:pPr>
              <w:spacing w:after="0"/>
              <w:rPr>
                <w:sz w:val="16"/>
                <w:szCs w:val="16"/>
                <w:color w:val="auto"/>
              </w:rPr>
            </w:pPr>
          </w:p>
        </w:tc>
        <w:tc>
          <w:tcPr>
            <w:tcW w:w="96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15</w:t>
            </w:r>
          </w:p>
        </w:tc>
        <w:tc>
          <w:tcPr>
            <w:tcW w:w="3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3"/>
        </w:trPr>
        <w:tc>
          <w:tcPr>
            <w:tcW w:w="2180" w:type="dxa"/>
            <w:vAlign w:val="bottom"/>
            <w:tcBorders>
              <w:bottom w:val="single" w:sz="8" w:color="0077C0"/>
            </w:tcBorders>
          </w:tcPr>
          <w:p>
            <w:pPr>
              <w:spacing w:after="0"/>
              <w:rPr>
                <w:sz w:val="2"/>
                <w:szCs w:val="2"/>
                <w:color w:val="auto"/>
              </w:rPr>
            </w:pPr>
          </w:p>
        </w:tc>
        <w:tc>
          <w:tcPr>
            <w:tcW w:w="594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960" w:type="dxa"/>
            <w:vAlign w:val="bottom"/>
            <w:tcBorders>
              <w:bottom w:val="single" w:sz="8" w:color="0077C0"/>
              <w:right w:val="single" w:sz="8" w:color="0077C0"/>
            </w:tcBorders>
          </w:tcPr>
          <w:p>
            <w:pPr>
              <w:spacing w:after="0"/>
              <w:rPr>
                <w:sz w:val="2"/>
                <w:szCs w:val="2"/>
                <w:color w:val="auto"/>
              </w:rPr>
            </w:pPr>
          </w:p>
        </w:tc>
        <w:tc>
          <w:tcPr>
            <w:tcW w:w="380" w:type="dxa"/>
            <w:vAlign w:val="bottom"/>
            <w:tcBorders>
              <w:bottom w:val="single" w:sz="8" w:color="0077C0"/>
            </w:tcBorders>
          </w:tcPr>
          <w:p>
            <w:pPr>
              <w:spacing w:after="0"/>
              <w:rPr>
                <w:sz w:val="2"/>
                <w:szCs w:val="2"/>
                <w:color w:val="auto"/>
              </w:rPr>
            </w:pPr>
          </w:p>
        </w:tc>
        <w:tc>
          <w:tcPr>
            <w:tcW w:w="116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18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 at fair value</w:t>
            </w:r>
          </w:p>
        </w:tc>
        <w:tc>
          <w:tcPr>
            <w:tcW w:w="594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0077C0"/>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137</w:t>
            </w:r>
          </w:p>
        </w:tc>
        <w:tc>
          <w:tcPr>
            <w:tcW w:w="380" w:type="dxa"/>
            <w:vAlign w:val="bottom"/>
            <w:tcBorders>
              <w:bottom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190"/>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Commodity</w:t>
            </w:r>
          </w:p>
        </w:tc>
        <w:tc>
          <w:tcPr>
            <w:tcW w:w="59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Accounts payable</w:t>
            </w:r>
          </w:p>
        </w:tc>
        <w:tc>
          <w:tcPr>
            <w:tcW w:w="6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127</w:t>
            </w:r>
          </w:p>
        </w:tc>
        <w:tc>
          <w:tcPr>
            <w:tcW w:w="3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0" w:type="dxa"/>
            <w:vAlign w:val="bottom"/>
          </w:tcPr>
          <w:p>
            <w:pPr>
              <w:spacing w:after="0"/>
              <w:rPr>
                <w:sz w:val="1"/>
                <w:szCs w:val="1"/>
                <w:color w:val="auto"/>
              </w:rPr>
            </w:pPr>
          </w:p>
        </w:tc>
      </w:tr>
      <w:tr>
        <w:trPr>
          <w:trHeight w:val="191"/>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Commodity</w:t>
            </w:r>
          </w:p>
        </w:tc>
        <w:tc>
          <w:tcPr>
            <w:tcW w:w="59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Deferred credits and other noncurrent obligations</w:t>
            </w:r>
          </w:p>
        </w:tc>
        <w:tc>
          <w:tcPr>
            <w:tcW w:w="620" w:type="dxa"/>
            <w:vAlign w:val="bottom"/>
          </w:tcPr>
          <w:p>
            <w:pPr>
              <w:spacing w:after="0"/>
              <w:rPr>
                <w:sz w:val="16"/>
                <w:szCs w:val="16"/>
                <w:color w:val="auto"/>
              </w:rPr>
            </w:pPr>
          </w:p>
        </w:tc>
        <w:tc>
          <w:tcPr>
            <w:tcW w:w="96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26</w:t>
            </w:r>
          </w:p>
        </w:tc>
        <w:tc>
          <w:tcPr>
            <w:tcW w:w="3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3"/>
        </w:trPr>
        <w:tc>
          <w:tcPr>
            <w:tcW w:w="2180" w:type="dxa"/>
            <w:vAlign w:val="bottom"/>
            <w:tcBorders>
              <w:bottom w:val="single" w:sz="8" w:color="0077C0"/>
            </w:tcBorders>
          </w:tcPr>
          <w:p>
            <w:pPr>
              <w:spacing w:after="0"/>
              <w:rPr>
                <w:sz w:val="2"/>
                <w:szCs w:val="2"/>
                <w:color w:val="auto"/>
              </w:rPr>
            </w:pPr>
          </w:p>
        </w:tc>
        <w:tc>
          <w:tcPr>
            <w:tcW w:w="594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960" w:type="dxa"/>
            <w:vAlign w:val="bottom"/>
            <w:tcBorders>
              <w:bottom w:val="single" w:sz="8" w:color="0077C0"/>
              <w:right w:val="single" w:sz="8" w:color="0077C0"/>
            </w:tcBorders>
          </w:tcPr>
          <w:p>
            <w:pPr>
              <w:spacing w:after="0"/>
              <w:rPr>
                <w:sz w:val="2"/>
                <w:szCs w:val="2"/>
                <w:color w:val="auto"/>
              </w:rPr>
            </w:pPr>
          </w:p>
        </w:tc>
        <w:tc>
          <w:tcPr>
            <w:tcW w:w="380" w:type="dxa"/>
            <w:vAlign w:val="bottom"/>
            <w:tcBorders>
              <w:bottom w:val="single" w:sz="8" w:color="0077C0"/>
            </w:tcBorders>
          </w:tcPr>
          <w:p>
            <w:pPr>
              <w:spacing w:after="0"/>
              <w:rPr>
                <w:sz w:val="2"/>
                <w:szCs w:val="2"/>
                <w:color w:val="auto"/>
              </w:rPr>
            </w:pPr>
          </w:p>
        </w:tc>
        <w:tc>
          <w:tcPr>
            <w:tcW w:w="116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18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at fair value</w:t>
            </w:r>
          </w:p>
        </w:tc>
        <w:tc>
          <w:tcPr>
            <w:tcW w:w="594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0077C0"/>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153</w:t>
            </w:r>
          </w:p>
        </w:tc>
        <w:tc>
          <w:tcPr>
            <w:tcW w:w="380" w:type="dxa"/>
            <w:vAlign w:val="bottom"/>
            <w:tcBorders>
              <w:bottom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79" w:name="page80"/>
    <w:bookmarkEnd w:id="79"/>
    <w:tbl>
      <w:tblPr>
        <w:tblLayout w:type="fixed"/>
        <w:tblInd w:w="20" w:type="dxa"/>
        <w:tblCellMar>
          <w:top w:w="0" w:type="dxa"/>
          <w:left w:w="0" w:type="dxa"/>
          <w:bottom w:w="0" w:type="dxa"/>
          <w:right w:w="0" w:type="dxa"/>
        </w:tblCellMar>
      </w:tblPr>
      <w:tr>
        <w:trPr>
          <w:trHeight w:val="204"/>
        </w:trPr>
        <w:tc>
          <w:tcPr>
            <w:tcW w:w="6260" w:type="dxa"/>
            <w:vAlign w:val="bottom"/>
          </w:tcPr>
          <w:p>
            <w:pPr>
              <w:spacing w:after="0"/>
              <w:rPr>
                <w:sz w:val="20"/>
                <w:szCs w:val="20"/>
                <w:color w:val="auto"/>
              </w:rPr>
            </w:pPr>
            <w:r>
              <w:rPr>
                <w:rFonts w:ascii="Arial" w:cs="Arial" w:eastAsia="Arial" w:hAnsi="Arial"/>
                <w:sz w:val="14"/>
                <w:szCs w:val="14"/>
                <w:color w:val="0077C0"/>
              </w:rPr>
              <w:t>Notes to the Consolidated Financial Statements</w:t>
            </w:r>
          </w:p>
        </w:tc>
        <w:tc>
          <w:tcPr>
            <w:tcW w:w="4940" w:type="dxa"/>
            <w:vAlign w:val="bottom"/>
          </w:tcPr>
          <w:p>
            <w:pPr>
              <w:ind w:left="3200"/>
              <w:spacing w:after="0"/>
              <w:rPr>
                <w:sz w:val="20"/>
                <w:szCs w:val="20"/>
                <w:color w:val="auto"/>
              </w:rPr>
            </w:pPr>
            <w:r>
              <w:rPr>
                <w:rFonts w:ascii="Arial" w:cs="Arial" w:eastAsia="Arial" w:hAnsi="Arial"/>
                <w:sz w:val="14"/>
                <w:szCs w:val="14"/>
                <w:color w:val="0077C0"/>
              </w:rPr>
              <w:t>Financial Table of Contents</w:t>
            </w:r>
          </w:p>
        </w:tc>
      </w:tr>
      <w:tr>
        <w:trPr>
          <w:trHeight w:val="150"/>
        </w:trPr>
        <w:tc>
          <w:tcPr>
            <w:tcW w:w="6260" w:type="dxa"/>
            <w:vAlign w:val="bottom"/>
          </w:tcPr>
          <w:p>
            <w:pPr>
              <w:ind w:left="40"/>
              <w:spacing w:after="0"/>
              <w:rPr>
                <w:sz w:val="20"/>
                <w:szCs w:val="20"/>
                <w:color w:val="auto"/>
              </w:rPr>
            </w:pPr>
            <w:r>
              <w:rPr>
                <w:rFonts w:ascii="Arial" w:cs="Arial" w:eastAsia="Arial" w:hAnsi="Arial"/>
                <w:sz w:val="11"/>
                <w:szCs w:val="11"/>
                <w:color w:val="0077C0"/>
              </w:rPr>
              <w:t>Millions of dollars, except per-share amounts</w:t>
            </w:r>
          </w:p>
        </w:tc>
        <w:tc>
          <w:tcPr>
            <w:tcW w:w="4940" w:type="dxa"/>
            <w:vAlign w:val="bottom"/>
          </w:tcPr>
          <w:p>
            <w:pPr>
              <w:spacing w:after="0"/>
              <w:rPr>
                <w:sz w:val="13"/>
                <w:szCs w:val="13"/>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Statement of Income: The Effect of Derivatives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86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Gain/(Loss)</w:t>
            </w:r>
          </w:p>
        </w:tc>
        <w:tc>
          <w:tcPr>
            <w:tcW w:w="0" w:type="dxa"/>
            <w:vAlign w:val="bottom"/>
          </w:tcPr>
          <w:p>
            <w:pPr>
              <w:spacing w:after="0"/>
              <w:rPr>
                <w:sz w:val="1"/>
                <w:szCs w:val="1"/>
                <w:color w:val="auto"/>
              </w:rPr>
            </w:pPr>
          </w:p>
        </w:tc>
      </w:tr>
      <w:tr>
        <w:trPr>
          <w:trHeight w:val="203"/>
        </w:trPr>
        <w:tc>
          <w:tcPr>
            <w:tcW w:w="186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Year ended December 31</w:t>
            </w:r>
          </w:p>
        </w:tc>
        <w:tc>
          <w:tcPr>
            <w:tcW w:w="0" w:type="dxa"/>
            <w:vAlign w:val="bottom"/>
          </w:tcPr>
          <w:p>
            <w:pPr>
              <w:spacing w:after="0"/>
              <w:rPr>
                <w:sz w:val="1"/>
                <w:szCs w:val="1"/>
                <w:color w:val="auto"/>
              </w:rPr>
            </w:pPr>
          </w:p>
        </w:tc>
      </w:tr>
      <w:tr>
        <w:trPr>
          <w:trHeight w:val="23"/>
        </w:trPr>
        <w:tc>
          <w:tcPr>
            <w:tcW w:w="1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Type of Contract</w:t>
            </w:r>
          </w:p>
        </w:tc>
        <w:tc>
          <w:tcPr>
            <w:tcW w:w="4620" w:type="dxa"/>
            <w:vAlign w:val="bottom"/>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Statement of Income Classification</w:t>
            </w:r>
          </w:p>
        </w:tc>
        <w:tc>
          <w:tcPr>
            <w:tcW w:w="600" w:type="dxa"/>
            <w:vAlign w:val="bottom"/>
            <w:tcBorders>
              <w:bottom w:val="single" w:sz="8" w:color="0077C0"/>
            </w:tcBorders>
          </w:tcPr>
          <w:p>
            <w:pPr>
              <w:spacing w:after="0"/>
              <w:rPr>
                <w:sz w:val="2"/>
                <w:szCs w:val="2"/>
                <w:color w:val="auto"/>
              </w:rPr>
            </w:pPr>
          </w:p>
        </w:tc>
        <w:tc>
          <w:tcPr>
            <w:tcW w:w="96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940" w:type="dxa"/>
            <w:vAlign w:val="bottom"/>
            <w:tcBorders>
              <w:bottom w:val="single" w:sz="8" w:color="0077C0"/>
            </w:tcBorders>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104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860" w:type="dxa"/>
            <w:vAlign w:val="bottom"/>
            <w:tcBorders>
              <w:bottom w:val="single" w:sz="8" w:color="0077C0"/>
            </w:tcBorders>
            <w:vMerge w:val="continue"/>
          </w:tcPr>
          <w:p>
            <w:pPr>
              <w:spacing w:after="0"/>
              <w:rPr>
                <w:sz w:val="16"/>
                <w:szCs w:val="16"/>
                <w:color w:val="auto"/>
              </w:rPr>
            </w:pPr>
          </w:p>
        </w:tc>
        <w:tc>
          <w:tcPr>
            <w:tcW w:w="4620" w:type="dxa"/>
            <w:vAlign w:val="bottom"/>
            <w:tcBorders>
              <w:bottom w:val="single" w:sz="8" w:color="0077C0"/>
            </w:tcBorders>
            <w:vMerge w:val="continue"/>
          </w:tcPr>
          <w:p>
            <w:pPr>
              <w:spacing w:after="0"/>
              <w:rPr>
                <w:sz w:val="16"/>
                <w:szCs w:val="16"/>
                <w:color w:val="auto"/>
              </w:rPr>
            </w:pPr>
          </w:p>
        </w:tc>
        <w:tc>
          <w:tcPr>
            <w:tcW w:w="600" w:type="dxa"/>
            <w:vAlign w:val="bottom"/>
            <w:tcBorders>
              <w:bottom w:val="single" w:sz="8" w:color="0077C0"/>
            </w:tcBorders>
          </w:tcPr>
          <w:p>
            <w:pPr>
              <w:spacing w:after="0"/>
              <w:rPr>
                <w:sz w:val="16"/>
                <w:szCs w:val="16"/>
                <w:color w:val="auto"/>
              </w:rPr>
            </w:pPr>
          </w:p>
        </w:tc>
        <w:tc>
          <w:tcPr>
            <w:tcW w:w="960" w:type="dxa"/>
            <w:vAlign w:val="bottom"/>
            <w:tcBorders>
              <w:bottom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0077C0"/>
            </w:tcBorders>
          </w:tcPr>
          <w:p>
            <w:pPr>
              <w:spacing w:after="0"/>
              <w:rPr>
                <w:sz w:val="16"/>
                <w:szCs w:val="16"/>
                <w:color w:val="auto"/>
              </w:rPr>
            </w:pPr>
          </w:p>
        </w:tc>
        <w:tc>
          <w:tcPr>
            <w:tcW w:w="940" w:type="dxa"/>
            <w:vAlign w:val="bottom"/>
            <w:tcBorders>
              <w:bottom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color w:val="auto"/>
              </w:rPr>
              <w:t>2023</w:t>
            </w:r>
          </w:p>
        </w:tc>
        <w:tc>
          <w:tcPr>
            <w:tcW w:w="540" w:type="dxa"/>
            <w:vAlign w:val="bottom"/>
            <w:tcBorders>
              <w:bottom w:val="single" w:sz="8" w:color="0077C0"/>
            </w:tcBorders>
          </w:tcPr>
          <w:p>
            <w:pPr>
              <w:spacing w:after="0"/>
              <w:rPr>
                <w:sz w:val="16"/>
                <w:szCs w:val="16"/>
                <w:color w:val="auto"/>
              </w:rPr>
            </w:pPr>
          </w:p>
        </w:tc>
        <w:tc>
          <w:tcPr>
            <w:tcW w:w="10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190"/>
        </w:trPr>
        <w:tc>
          <w:tcPr>
            <w:tcW w:w="1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Commodity</w:t>
            </w:r>
          </w:p>
        </w:tc>
        <w:tc>
          <w:tcPr>
            <w:tcW w:w="462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Sales and other operating revenues</w:t>
            </w:r>
          </w:p>
        </w:tc>
        <w:tc>
          <w:tcPr>
            <w:tcW w:w="60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right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(57)</w:t>
            </w:r>
          </w:p>
        </w:tc>
        <w:tc>
          <w:tcPr>
            <w:tcW w:w="68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(304)</w:t>
            </w:r>
          </w:p>
        </w:tc>
        <w:tc>
          <w:tcPr>
            <w:tcW w:w="54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0" w:type="dxa"/>
            <w:vAlign w:val="bottom"/>
          </w:tcPr>
          <w:p>
            <w:pPr>
              <w:spacing w:after="0"/>
              <w:rPr>
                <w:sz w:val="1"/>
                <w:szCs w:val="1"/>
                <w:color w:val="auto"/>
              </w:rPr>
            </w:pPr>
          </w:p>
        </w:tc>
      </w:tr>
      <w:tr>
        <w:trPr>
          <w:trHeight w:val="191"/>
        </w:trPr>
        <w:tc>
          <w:tcPr>
            <w:tcW w:w="1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Commodity</w:t>
            </w:r>
          </w:p>
        </w:tc>
        <w:tc>
          <w:tcPr>
            <w:tcW w:w="462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Purchased crude oil and products</w:t>
            </w:r>
          </w:p>
        </w:tc>
        <w:tc>
          <w:tcPr>
            <w:tcW w:w="600" w:type="dxa"/>
            <w:vAlign w:val="bottom"/>
          </w:tcPr>
          <w:p>
            <w:pPr>
              <w:spacing w:after="0"/>
              <w:rPr>
                <w:sz w:val="16"/>
                <w:szCs w:val="16"/>
                <w:color w:val="auto"/>
              </w:rPr>
            </w:pPr>
          </w:p>
        </w:tc>
        <w:tc>
          <w:tcPr>
            <w:tcW w:w="96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28</w:t>
            </w:r>
          </w:p>
        </w:tc>
        <w:tc>
          <w:tcPr>
            <w:tcW w:w="68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(154)</w:t>
            </w:r>
          </w:p>
        </w:tc>
        <w:tc>
          <w:tcPr>
            <w:tcW w:w="5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0" w:type="dxa"/>
            <w:vAlign w:val="bottom"/>
          </w:tcPr>
          <w:p>
            <w:pPr>
              <w:spacing w:after="0"/>
              <w:rPr>
                <w:sz w:val="1"/>
                <w:szCs w:val="1"/>
                <w:color w:val="auto"/>
              </w:rPr>
            </w:pPr>
          </w:p>
        </w:tc>
      </w:tr>
      <w:tr>
        <w:trPr>
          <w:trHeight w:val="203"/>
        </w:trPr>
        <w:tc>
          <w:tcPr>
            <w:tcW w:w="1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Commodity</w:t>
            </w:r>
          </w:p>
        </w:tc>
        <w:tc>
          <w:tcPr>
            <w:tcW w:w="462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Other income (loss)</w:t>
            </w:r>
          </w:p>
        </w:tc>
        <w:tc>
          <w:tcPr>
            <w:tcW w:w="600" w:type="dxa"/>
            <w:vAlign w:val="bottom"/>
          </w:tcPr>
          <w:p>
            <w:pPr>
              <w:spacing w:after="0"/>
              <w:rPr>
                <w:sz w:val="17"/>
                <w:szCs w:val="17"/>
                <w:color w:val="auto"/>
              </w:rPr>
            </w:pPr>
          </w:p>
        </w:tc>
        <w:tc>
          <w:tcPr>
            <w:tcW w:w="96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6</w:t>
            </w:r>
          </w:p>
        </w:tc>
        <w:tc>
          <w:tcPr>
            <w:tcW w:w="68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(47)</w:t>
            </w:r>
          </w:p>
        </w:tc>
        <w:tc>
          <w:tcPr>
            <w:tcW w:w="5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3"/>
        </w:trPr>
        <w:tc>
          <w:tcPr>
            <w:tcW w:w="1860" w:type="dxa"/>
            <w:vAlign w:val="bottom"/>
            <w:tcBorders>
              <w:bottom w:val="single" w:sz="8" w:color="0077C0"/>
            </w:tcBorders>
          </w:tcPr>
          <w:p>
            <w:pPr>
              <w:spacing w:after="0"/>
              <w:rPr>
                <w:sz w:val="2"/>
                <w:szCs w:val="2"/>
                <w:color w:val="auto"/>
              </w:rPr>
            </w:pPr>
          </w:p>
        </w:tc>
        <w:tc>
          <w:tcPr>
            <w:tcW w:w="462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960" w:type="dxa"/>
            <w:vAlign w:val="bottom"/>
            <w:tcBorders>
              <w:bottom w:val="single" w:sz="8" w:color="0077C0"/>
              <w:right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940" w:type="dxa"/>
            <w:vAlign w:val="bottom"/>
            <w:tcBorders>
              <w:bottom w:val="single" w:sz="8" w:color="0077C0"/>
            </w:tcBorders>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104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860" w:type="dxa"/>
            <w:vAlign w:val="bottom"/>
            <w:tcBorders>
              <w:bottom w:val="single" w:sz="8" w:color="0077C0"/>
            </w:tcBorders>
          </w:tcPr>
          <w:p>
            <w:pPr>
              <w:spacing w:after="0"/>
              <w:rPr>
                <w:sz w:val="16"/>
                <w:szCs w:val="16"/>
                <w:color w:val="auto"/>
              </w:rPr>
            </w:pPr>
          </w:p>
        </w:tc>
        <w:tc>
          <w:tcPr>
            <w:tcW w:w="4620" w:type="dxa"/>
            <w:vAlign w:val="bottom"/>
            <w:tcBorders>
              <w:bottom w:val="single" w:sz="8" w:color="0077C0"/>
            </w:tcBorders>
          </w:tcPr>
          <w:p>
            <w:pPr>
              <w:spacing w:after="0"/>
              <w:rPr>
                <w:sz w:val="16"/>
                <w:szCs w:val="16"/>
                <w:color w:val="auto"/>
              </w:rPr>
            </w:pPr>
          </w:p>
        </w:tc>
        <w:tc>
          <w:tcPr>
            <w:tcW w:w="600" w:type="dxa"/>
            <w:vAlign w:val="bottom"/>
            <w:tcBorders>
              <w:bottom w:val="single" w:sz="8" w:color="0077C0"/>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bottom w:val="single" w:sz="8" w:color="0077C0"/>
              <w:right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(23)</w:t>
            </w:r>
          </w:p>
        </w:tc>
        <w:tc>
          <w:tcPr>
            <w:tcW w:w="680" w:type="dxa"/>
            <w:vAlign w:val="bottom"/>
            <w:tcBorders>
              <w:bottom w:val="single" w:sz="8" w:color="0077C0"/>
            </w:tcBorders>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color w:val="auto"/>
              </w:rPr>
              <w:t>(505)</w:t>
            </w:r>
          </w:p>
        </w:tc>
        <w:tc>
          <w:tcPr>
            <w:tcW w:w="540" w:type="dxa"/>
            <w:vAlign w:val="bottom"/>
            <w:tcBorders>
              <w:bottom w:val="single" w:sz="8" w:color="0077C0"/>
            </w:tcBorders>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(867)</w:t>
            </w: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amount reclassified from AOCL to “Sales and other operating revenues” from designated hedges was a net loss of $25 in 2024, compared with a net loss of $33 in the prior year. At December 31, 2024, before-tax deferred losses in AOCL related to outstanding crude oil price hedging contracts were $17, all of which is expected to be reclassified into earnings during the next 12 months as the hedged crude oil sales are recognized in earnings.</w:t>
      </w:r>
    </w:p>
    <w:p>
      <w:pPr>
        <w:spacing w:after="0" w:line="4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table below represents gross and net derivative assets and liabilities subject to netting agreements on the Consolidated Balance Sheet at December 31, 2024 and 2023.</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Balance Sheet: The Effect of Netting Derivative Assets and Liabilities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244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Gross Amounts Recognized</w:t>
            </w:r>
          </w:p>
        </w:tc>
        <w:tc>
          <w:tcPr>
            <w:tcW w:w="200" w:type="dxa"/>
            <w:vAlign w:val="bottom"/>
          </w:tcPr>
          <w:p>
            <w:pPr>
              <w:spacing w:after="0"/>
              <w:rPr>
                <w:sz w:val="13"/>
                <w:szCs w:val="13"/>
                <w:color w:val="auto"/>
              </w:rPr>
            </w:pPr>
          </w:p>
        </w:tc>
        <w:tc>
          <w:tcPr>
            <w:tcW w:w="14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Gross Amounts Offset</w:t>
            </w:r>
          </w:p>
        </w:tc>
        <w:tc>
          <w:tcPr>
            <w:tcW w:w="160" w:type="dxa"/>
            <w:vAlign w:val="bottom"/>
          </w:tcPr>
          <w:p>
            <w:pPr>
              <w:spacing w:after="0"/>
              <w:rPr>
                <w:sz w:val="13"/>
                <w:szCs w:val="13"/>
                <w:color w:val="auto"/>
              </w:rPr>
            </w:pPr>
          </w:p>
        </w:tc>
        <w:tc>
          <w:tcPr>
            <w:tcW w:w="14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Net Amounts Presented</w:t>
            </w:r>
          </w:p>
        </w:tc>
        <w:tc>
          <w:tcPr>
            <w:tcW w:w="2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Gross Amounts Not</w:t>
            </w:r>
          </w:p>
        </w:tc>
        <w:tc>
          <w:tcPr>
            <w:tcW w:w="2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Net Amounts</w:t>
            </w:r>
          </w:p>
        </w:tc>
        <w:tc>
          <w:tcPr>
            <w:tcW w:w="0" w:type="dxa"/>
            <w:vAlign w:val="bottom"/>
          </w:tcPr>
          <w:p>
            <w:pPr>
              <w:spacing w:after="0"/>
              <w:rPr>
                <w:sz w:val="1"/>
                <w:szCs w:val="1"/>
                <w:color w:val="auto"/>
              </w:rPr>
            </w:pPr>
          </w:p>
        </w:tc>
      </w:tr>
      <w:tr>
        <w:trPr>
          <w:trHeight w:val="188"/>
        </w:trPr>
        <w:tc>
          <w:tcPr>
            <w:tcW w:w="2920" w:type="dxa"/>
            <w:vAlign w:val="bottom"/>
          </w:tcPr>
          <w:p>
            <w:pPr>
              <w:spacing w:after="0"/>
              <w:rPr>
                <w:sz w:val="16"/>
                <w:szCs w:val="16"/>
                <w:color w:val="auto"/>
              </w:rPr>
            </w:pPr>
          </w:p>
        </w:tc>
        <w:tc>
          <w:tcPr>
            <w:tcW w:w="24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Offset</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At December 31, 2024</w:t>
            </w:r>
          </w:p>
        </w:tc>
        <w:tc>
          <w:tcPr>
            <w:tcW w:w="1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tcBorders>
              <w:bottom w:val="single" w:sz="8" w:color="0077C0"/>
            </w:tcBorders>
          </w:tcPr>
          <w:p>
            <w:pPr>
              <w:spacing w:after="0"/>
              <w:rPr>
                <w:sz w:val="2"/>
                <w:szCs w:val="2"/>
                <w:color w:val="auto"/>
              </w:rPr>
            </w:pPr>
          </w:p>
        </w:tc>
        <w:tc>
          <w:tcPr>
            <w:tcW w:w="1380" w:type="dxa"/>
            <w:vAlign w:val="bottom"/>
            <w:tcBorders>
              <w:bottom w:val="single" w:sz="8" w:color="0077C0"/>
            </w:tcBorders>
          </w:tcPr>
          <w:p>
            <w:pPr>
              <w:spacing w:after="0"/>
              <w:rPr>
                <w:sz w:val="2"/>
                <w:szCs w:val="2"/>
                <w:color w:val="auto"/>
              </w:rPr>
            </w:pPr>
          </w:p>
        </w:tc>
        <w:tc>
          <w:tcPr>
            <w:tcW w:w="106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1420" w:type="dxa"/>
            <w:vAlign w:val="bottom"/>
            <w:tcBorders>
              <w:bottom w:val="single" w:sz="8" w:color="0077C0"/>
            </w:tcBorders>
          </w:tcPr>
          <w:p>
            <w:pPr>
              <w:spacing w:after="0"/>
              <w:rPr>
                <w:sz w:val="2"/>
                <w:szCs w:val="2"/>
                <w:color w:val="auto"/>
              </w:rPr>
            </w:pPr>
          </w:p>
        </w:tc>
        <w:tc>
          <w:tcPr>
            <w:tcW w:w="160" w:type="dxa"/>
            <w:vAlign w:val="bottom"/>
            <w:tcBorders>
              <w:bottom w:val="single" w:sz="8" w:color="0077C0"/>
            </w:tcBorders>
          </w:tcPr>
          <w:p>
            <w:pPr>
              <w:spacing w:after="0"/>
              <w:rPr>
                <w:sz w:val="2"/>
                <w:szCs w:val="2"/>
                <w:color w:val="auto"/>
              </w:rPr>
            </w:pPr>
          </w:p>
        </w:tc>
        <w:tc>
          <w:tcPr>
            <w:tcW w:w="146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128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 Assets - not designated</w:t>
            </w:r>
          </w:p>
        </w:tc>
        <w:tc>
          <w:tcPr>
            <w:tcW w:w="13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1,895</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1,758</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137</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w:t>
            </w:r>
          </w:p>
        </w:tc>
        <w:tc>
          <w:tcPr>
            <w:tcW w:w="2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134</w:t>
            </w:r>
          </w:p>
        </w:tc>
        <w:tc>
          <w:tcPr>
            <w:tcW w:w="0" w:type="dxa"/>
            <w:vAlign w:val="bottom"/>
          </w:tcPr>
          <w:p>
            <w:pPr>
              <w:spacing w:after="0"/>
              <w:rPr>
                <w:sz w:val="1"/>
                <w:szCs w:val="1"/>
                <w:color w:val="auto"/>
              </w:rPr>
            </w:pPr>
          </w:p>
        </w:tc>
      </w:tr>
      <w:tr>
        <w:trPr>
          <w:trHeight w:val="191"/>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 Assets - designated</w:t>
            </w:r>
          </w:p>
        </w:tc>
        <w:tc>
          <w:tcPr>
            <w:tcW w:w="13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3"/>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 Liabilities - not designated</w:t>
            </w:r>
          </w:p>
        </w:tc>
        <w:tc>
          <w:tcPr>
            <w:tcW w:w="13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1,894</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1,758</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136</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w:t>
            </w:r>
          </w:p>
        </w:tc>
        <w:tc>
          <w:tcPr>
            <w:tcW w:w="2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134</w:t>
            </w:r>
          </w:p>
        </w:tc>
        <w:tc>
          <w:tcPr>
            <w:tcW w:w="0" w:type="dxa"/>
            <w:vAlign w:val="bottom"/>
          </w:tcPr>
          <w:p>
            <w:pPr>
              <w:spacing w:after="0"/>
              <w:rPr>
                <w:sz w:val="1"/>
                <w:szCs w:val="1"/>
                <w:color w:val="auto"/>
              </w:rPr>
            </w:pPr>
          </w:p>
        </w:tc>
      </w:tr>
      <w:tr>
        <w:trPr>
          <w:trHeight w:val="203"/>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 Liabilities - designated</w:t>
            </w:r>
          </w:p>
        </w:tc>
        <w:tc>
          <w:tcPr>
            <w:tcW w:w="13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17</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17</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w:t>
            </w:r>
          </w:p>
        </w:tc>
        <w:tc>
          <w:tcPr>
            <w:tcW w:w="0" w:type="dxa"/>
            <w:vAlign w:val="bottom"/>
          </w:tcPr>
          <w:p>
            <w:pPr>
              <w:spacing w:after="0"/>
              <w:rPr>
                <w:sz w:val="1"/>
                <w:szCs w:val="1"/>
                <w:color w:val="auto"/>
              </w:rPr>
            </w:pPr>
          </w:p>
        </w:tc>
      </w:tr>
      <w:tr>
        <w:trPr>
          <w:trHeight w:val="23"/>
        </w:trPr>
        <w:tc>
          <w:tcPr>
            <w:tcW w:w="2920" w:type="dxa"/>
            <w:vAlign w:val="bottom"/>
            <w:tcBorders>
              <w:bottom w:val="single" w:sz="8" w:color="0077C0"/>
            </w:tcBorders>
          </w:tcPr>
          <w:p>
            <w:pPr>
              <w:spacing w:after="0"/>
              <w:rPr>
                <w:sz w:val="2"/>
                <w:szCs w:val="2"/>
                <w:color w:val="auto"/>
              </w:rPr>
            </w:pPr>
          </w:p>
        </w:tc>
        <w:tc>
          <w:tcPr>
            <w:tcW w:w="1380" w:type="dxa"/>
            <w:vAlign w:val="bottom"/>
            <w:tcBorders>
              <w:bottom w:val="single" w:sz="8" w:color="0077C0"/>
            </w:tcBorders>
          </w:tcPr>
          <w:p>
            <w:pPr>
              <w:spacing w:after="0"/>
              <w:rPr>
                <w:sz w:val="2"/>
                <w:szCs w:val="2"/>
                <w:color w:val="auto"/>
              </w:rPr>
            </w:pPr>
          </w:p>
        </w:tc>
        <w:tc>
          <w:tcPr>
            <w:tcW w:w="106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1420" w:type="dxa"/>
            <w:vAlign w:val="bottom"/>
            <w:tcBorders>
              <w:bottom w:val="single" w:sz="8" w:color="0077C0"/>
            </w:tcBorders>
          </w:tcPr>
          <w:p>
            <w:pPr>
              <w:spacing w:after="0"/>
              <w:rPr>
                <w:sz w:val="2"/>
                <w:szCs w:val="2"/>
                <w:color w:val="auto"/>
              </w:rPr>
            </w:pPr>
          </w:p>
        </w:tc>
        <w:tc>
          <w:tcPr>
            <w:tcW w:w="160" w:type="dxa"/>
            <w:vAlign w:val="bottom"/>
            <w:tcBorders>
              <w:bottom w:val="single" w:sz="8" w:color="0077C0"/>
            </w:tcBorders>
          </w:tcPr>
          <w:p>
            <w:pPr>
              <w:spacing w:after="0"/>
              <w:rPr>
                <w:sz w:val="2"/>
                <w:szCs w:val="2"/>
                <w:color w:val="auto"/>
              </w:rPr>
            </w:pPr>
          </w:p>
        </w:tc>
        <w:tc>
          <w:tcPr>
            <w:tcW w:w="146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128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At December 31, 2023</w:t>
            </w:r>
          </w:p>
        </w:tc>
        <w:tc>
          <w:tcPr>
            <w:tcW w:w="1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 Assets - not designated</w:t>
            </w:r>
          </w:p>
        </w:tc>
        <w:tc>
          <w:tcPr>
            <w:tcW w:w="138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2,394</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2,242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152</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0" w:type="dxa"/>
            <w:vAlign w:val="bottom"/>
          </w:tcPr>
          <w:p>
            <w:pPr>
              <w:spacing w:after="0"/>
              <w:rPr>
                <w:sz w:val="1"/>
                <w:szCs w:val="1"/>
                <w:color w:val="auto"/>
              </w:rPr>
            </w:pPr>
          </w:p>
        </w:tc>
      </w:tr>
      <w:tr>
        <w:trPr>
          <w:trHeight w:val="203"/>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 Assets - designated</w:t>
            </w:r>
          </w:p>
        </w:tc>
        <w:tc>
          <w:tcPr>
            <w:tcW w:w="138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3"/>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 Liabilities - not designated</w:t>
            </w:r>
          </w:p>
        </w:tc>
        <w:tc>
          <w:tcPr>
            <w:tcW w:w="138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2,504</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2,242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262</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0" w:type="dxa"/>
            <w:vAlign w:val="bottom"/>
          </w:tcPr>
          <w:p>
            <w:pPr>
              <w:spacing w:after="0"/>
              <w:rPr>
                <w:sz w:val="1"/>
                <w:szCs w:val="1"/>
                <w:color w:val="auto"/>
              </w:rPr>
            </w:pPr>
          </w:p>
        </w:tc>
      </w:tr>
      <w:tr>
        <w:trPr>
          <w:trHeight w:val="203"/>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 Liabilities - designated</w:t>
            </w:r>
          </w:p>
        </w:tc>
        <w:tc>
          <w:tcPr>
            <w:tcW w:w="138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920" w:type="dxa"/>
            <w:vAlign w:val="bottom"/>
            <w:tcBorders>
              <w:bottom w:val="single" w:sz="8" w:color="0077C0"/>
            </w:tcBorders>
          </w:tcPr>
          <w:p>
            <w:pPr>
              <w:spacing w:after="0"/>
              <w:rPr>
                <w:sz w:val="2"/>
                <w:szCs w:val="2"/>
                <w:color w:val="auto"/>
              </w:rPr>
            </w:pPr>
          </w:p>
        </w:tc>
        <w:tc>
          <w:tcPr>
            <w:tcW w:w="1380" w:type="dxa"/>
            <w:vAlign w:val="bottom"/>
            <w:tcBorders>
              <w:bottom w:val="single" w:sz="8" w:color="0077C0"/>
            </w:tcBorders>
          </w:tcPr>
          <w:p>
            <w:pPr>
              <w:spacing w:after="0"/>
              <w:rPr>
                <w:sz w:val="2"/>
                <w:szCs w:val="2"/>
                <w:color w:val="auto"/>
              </w:rPr>
            </w:pPr>
          </w:p>
        </w:tc>
        <w:tc>
          <w:tcPr>
            <w:tcW w:w="106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1420" w:type="dxa"/>
            <w:vAlign w:val="bottom"/>
            <w:tcBorders>
              <w:bottom w:val="single" w:sz="8" w:color="0077C0"/>
            </w:tcBorders>
          </w:tcPr>
          <w:p>
            <w:pPr>
              <w:spacing w:after="0"/>
              <w:rPr>
                <w:sz w:val="2"/>
                <w:szCs w:val="2"/>
                <w:color w:val="auto"/>
              </w:rPr>
            </w:pPr>
          </w:p>
        </w:tc>
        <w:tc>
          <w:tcPr>
            <w:tcW w:w="160" w:type="dxa"/>
            <w:vAlign w:val="bottom"/>
            <w:tcBorders>
              <w:bottom w:val="single" w:sz="8" w:color="0077C0"/>
            </w:tcBorders>
          </w:tcPr>
          <w:p>
            <w:pPr>
              <w:spacing w:after="0"/>
              <w:rPr>
                <w:sz w:val="2"/>
                <w:szCs w:val="2"/>
                <w:color w:val="auto"/>
              </w:rPr>
            </w:pPr>
          </w:p>
        </w:tc>
        <w:tc>
          <w:tcPr>
            <w:tcW w:w="146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128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Derivative assets and liabilities are classified on the Consolidated Balance Sheet as “Accounts and notes receivable,” “Long-term receivables,” “Accounts payable,” and “Deferred credits and other noncurrent obligations.” Amounts not offset on the Consolidated Balance Sheet represent positions that do not meet all the conditions for “a right of offset.”</w:t>
      </w:r>
    </w:p>
    <w:p>
      <w:pPr>
        <w:spacing w:after="0" w:line="3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Concentrations of Credit Risk </w:t>
      </w:r>
      <w:r>
        <w:rPr>
          <w:rFonts w:ascii="Times New Roman" w:cs="Times New Roman" w:eastAsia="Times New Roman" w:hAnsi="Times New Roman"/>
          <w:sz w:val="18"/>
          <w:szCs w:val="18"/>
          <w:color w:val="000000"/>
        </w:rPr>
        <w:t>The company’s financial instruments that are exposed to concentrations of credit risk consist primarily of its cash</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 xml:space="preserve">equivalents, marketable securities, derivative financial instruments and trade receivables. The company’s short-term investments are placed with a wide array of financial institutions with high credit ratings. Company investment policies limit the company’s exposure both to credit risk and to concentrations of credit risk. Similar policies on diversification and creditworthiness are applied to the company’s counterparties in derivative instruments. For a discussion of credit risk on trade receivables, see </w:t>
      </w:r>
      <w:r>
        <w:rPr>
          <w:rFonts w:ascii="Times New Roman" w:cs="Times New Roman" w:eastAsia="Times New Roman" w:hAnsi="Times New Roman"/>
          <w:sz w:val="18"/>
          <w:szCs w:val="18"/>
          <w:u w:val="single" w:color="auto"/>
          <w:color w:val="0000FF"/>
        </w:rPr>
        <w:t>Note 28 Financial Instruments - Credit Losses</w:t>
      </w:r>
      <w:r>
        <w:rPr>
          <w:rFonts w:ascii="Times New Roman" w:cs="Times New Roman" w:eastAsia="Times New Roman" w:hAnsi="Times New Roman"/>
          <w:sz w:val="18"/>
          <w:szCs w:val="18"/>
          <w:color w:val="000000"/>
        </w:rPr>
        <w:t>.</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11</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0077C0"/>
        </w:rPr>
        <w:t>Assets Held for Sale</w:t>
      </w:r>
    </w:p>
    <w:p>
      <w:pPr>
        <w:spacing w:after="0" w:line="1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At December 31, 2024, the company classified $481 of net properties, plant and equipment as “Assets held for sale” on the Consolidated Balance Sheet. These assets are associated with upstream and downstream operations that were sold in early 2025, or are anticipated to be sold in the next 12 months. The revenues and earnings contributions of these assets in 2024 were not material.</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12</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0077C0"/>
        </w:rPr>
        <w:t>Equity</w:t>
      </w:r>
    </w:p>
    <w:p>
      <w:pPr>
        <w:spacing w:after="0" w:line="12"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Retained earnings at December 31, 2024 and 2023, included $35,349 and $34,359, respectively, for the company’s share of undistributed earnings of equity affiliates.</w:t>
      </w:r>
    </w:p>
    <w:p>
      <w:pPr>
        <w:spacing w:after="0" w:line="4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At December 31, 2024, about 96 million shares of Chevron’s common stock remained available for issuance from the 104 million shares that were reserved for issuance under the 2022 Chevron Long-Term Incentive Plan. In addition, 559,513 shares remain available for issuance from the 1,600,000 shares of the company’s common stock that were reserved for awards under the Chevron Corporation Non-Employee Directors’ Equity Compensation and Deferral Plan.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80" w:name="page81"/>
    <w:bookmarkEnd w:id="80"/>
    <w:p>
      <w:pPr>
        <w:ind w:left="20"/>
        <w:spacing w:after="0"/>
        <w:tabs>
          <w:tab w:leader="none" w:pos="9460" w:val="left"/>
        </w:tabs>
        <w:rPr>
          <w:sz w:val="20"/>
          <w:szCs w:val="20"/>
          <w:color w:val="auto"/>
        </w:rPr>
      </w:pPr>
      <w:r>
        <w:rPr>
          <w:rFonts w:ascii="Arial" w:cs="Arial" w:eastAsia="Arial" w:hAnsi="Arial"/>
          <w:sz w:val="14"/>
          <w:szCs w:val="14"/>
          <w:color w:val="0077C0"/>
        </w:rPr>
        <w:t>Notes to the Consolidated Financial Statements</w:t>
      </w:r>
      <w:r>
        <w:rPr>
          <w:sz w:val="20"/>
          <w:szCs w:val="20"/>
          <w:color w:val="auto"/>
        </w:rPr>
        <w:tab/>
      </w:r>
      <w:r>
        <w:rPr>
          <w:rFonts w:ascii="Arial" w:cs="Arial" w:eastAsia="Arial" w:hAnsi="Arial"/>
          <w:sz w:val="14"/>
          <w:szCs w:val="14"/>
          <w:color w:val="0077C0"/>
        </w:rPr>
        <w:t>Financial Table of Contents</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11"/>
          <w:szCs w:val="11"/>
          <w:color w:val="0077C0"/>
        </w:rPr>
        <w:t>Millions of dollars, except per-share amounts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13</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0077C0"/>
        </w:rPr>
        <w:t>Earnings Per Share</w:t>
      </w:r>
    </w:p>
    <w:p>
      <w:pPr>
        <w:spacing w:after="0" w:line="1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Basic earnings per share (EPS) is based upon “Net Income (Loss) Attributable to Chevron Corporation” (“earnings”) and includes the effects of deferrals of salary and other compensation awards that are invested in Chevron stock units by certain officers and employees of the company. Diluted EPS includes the effects of these items as well as the dilutive effects of outstanding stock options awarded under the company’s stock option programs (refer to </w:t>
      </w:r>
      <w:r>
        <w:rPr>
          <w:rFonts w:ascii="Times New Roman" w:cs="Times New Roman" w:eastAsia="Times New Roman" w:hAnsi="Times New Roman"/>
          <w:sz w:val="18"/>
          <w:szCs w:val="18"/>
          <w:u w:val="single" w:color="auto"/>
          <w:color w:val="0000FF"/>
        </w:rPr>
        <w:t>Note 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Stock Options and Other Share-Based Compensation</w:t>
      </w:r>
      <w:r>
        <w:rPr>
          <w:rFonts w:ascii="Times New Roman" w:cs="Times New Roman" w:eastAsia="Times New Roman" w:hAnsi="Times New Roman"/>
          <w:sz w:val="18"/>
          <w:szCs w:val="18"/>
          <w:color w:val="000000"/>
        </w:rPr>
        <w:t>). The table below sets forth the computation of basic and diluted EPS: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Year ended December 31</w:t>
            </w:r>
          </w:p>
        </w:tc>
      </w:tr>
      <w:tr>
        <w:trPr>
          <w:trHeight w:val="23"/>
        </w:trPr>
        <w:tc>
          <w:tcPr>
            <w:tcW w:w="6560" w:type="dxa"/>
            <w:vAlign w:val="bottom"/>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104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96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r>
      <w:tr>
        <w:trPr>
          <w:trHeight w:val="190"/>
        </w:trPr>
        <w:tc>
          <w:tcPr>
            <w:tcW w:w="6560" w:type="dxa"/>
            <w:vAlign w:val="bottom"/>
            <w:tcBorders>
              <w:bottom w:val="single" w:sz="8" w:color="0077C0"/>
            </w:tcBorders>
          </w:tcPr>
          <w:p>
            <w:pPr>
              <w:spacing w:after="0"/>
              <w:rPr>
                <w:sz w:val="16"/>
                <w:szCs w:val="16"/>
                <w:color w:val="auto"/>
              </w:rPr>
            </w:pPr>
          </w:p>
        </w:tc>
        <w:tc>
          <w:tcPr>
            <w:tcW w:w="540" w:type="dxa"/>
            <w:vAlign w:val="bottom"/>
            <w:tcBorders>
              <w:bottom w:val="single" w:sz="8" w:color="0077C0"/>
            </w:tcBorders>
          </w:tcPr>
          <w:p>
            <w:pPr>
              <w:spacing w:after="0"/>
              <w:rPr>
                <w:sz w:val="16"/>
                <w:szCs w:val="16"/>
                <w:color w:val="auto"/>
              </w:rPr>
            </w:pPr>
          </w:p>
        </w:tc>
        <w:tc>
          <w:tcPr>
            <w:tcW w:w="104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0077C0"/>
            </w:tcBorders>
          </w:tcPr>
          <w:p>
            <w:pPr>
              <w:spacing w:after="0"/>
              <w:rPr>
                <w:sz w:val="16"/>
                <w:szCs w:val="16"/>
                <w:color w:val="auto"/>
              </w:rPr>
            </w:pPr>
          </w:p>
        </w:tc>
        <w:tc>
          <w:tcPr>
            <w:tcW w:w="9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600" w:type="dxa"/>
            <w:vAlign w:val="bottom"/>
            <w:tcBorders>
              <w:bottom w:val="single" w:sz="8" w:color="0077C0"/>
            </w:tcBorders>
          </w:tcPr>
          <w:p>
            <w:pPr>
              <w:spacing w:after="0"/>
              <w:rPr>
                <w:sz w:val="16"/>
                <w:szCs w:val="16"/>
                <w:color w:val="auto"/>
              </w:rPr>
            </w:pPr>
          </w:p>
        </w:tc>
        <w:tc>
          <w:tcPr>
            <w:tcW w:w="9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r>
      <w:tr>
        <w:trPr>
          <w:trHeight w:val="196"/>
        </w:trPr>
        <w:tc>
          <w:tcPr>
            <w:tcW w:w="65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color w:val="auto"/>
              </w:rPr>
              <w:t>Basic EPS Calculation</w:t>
            </w:r>
          </w:p>
        </w:tc>
        <w:tc>
          <w:tcPr>
            <w:tcW w:w="540" w:type="dxa"/>
            <w:vAlign w:val="bottom"/>
            <w:tcBorders>
              <w:bottom w:val="single" w:sz="8" w:color="0077C0"/>
            </w:tcBorders>
          </w:tcPr>
          <w:p>
            <w:pPr>
              <w:spacing w:after="0"/>
              <w:rPr>
                <w:sz w:val="17"/>
                <w:szCs w:val="17"/>
                <w:color w:val="auto"/>
              </w:rPr>
            </w:pPr>
          </w:p>
        </w:tc>
        <w:tc>
          <w:tcPr>
            <w:tcW w:w="1040" w:type="dxa"/>
            <w:vAlign w:val="bottom"/>
            <w:tcBorders>
              <w:bottom w:val="single" w:sz="8" w:color="0077C0"/>
              <w:right w:val="single" w:sz="8" w:color="0077C0"/>
            </w:tcBorders>
          </w:tcPr>
          <w:p>
            <w:pPr>
              <w:spacing w:after="0"/>
              <w:rPr>
                <w:sz w:val="17"/>
                <w:szCs w:val="17"/>
                <w:color w:val="auto"/>
              </w:rPr>
            </w:pPr>
          </w:p>
        </w:tc>
        <w:tc>
          <w:tcPr>
            <w:tcW w:w="620" w:type="dxa"/>
            <w:vAlign w:val="bottom"/>
            <w:tcBorders>
              <w:bottom w:val="single" w:sz="8" w:color="0077C0"/>
            </w:tcBorders>
          </w:tcPr>
          <w:p>
            <w:pPr>
              <w:spacing w:after="0"/>
              <w:rPr>
                <w:sz w:val="17"/>
                <w:szCs w:val="17"/>
                <w:color w:val="auto"/>
              </w:rPr>
            </w:pPr>
          </w:p>
        </w:tc>
        <w:tc>
          <w:tcPr>
            <w:tcW w:w="960" w:type="dxa"/>
            <w:vAlign w:val="bottom"/>
            <w:tcBorders>
              <w:bottom w:val="single" w:sz="8" w:color="0077C0"/>
            </w:tcBorders>
          </w:tcPr>
          <w:p>
            <w:pPr>
              <w:spacing w:after="0"/>
              <w:rPr>
                <w:sz w:val="17"/>
                <w:szCs w:val="17"/>
                <w:color w:val="auto"/>
              </w:rPr>
            </w:pPr>
          </w:p>
        </w:tc>
        <w:tc>
          <w:tcPr>
            <w:tcW w:w="600" w:type="dxa"/>
            <w:vAlign w:val="bottom"/>
            <w:tcBorders>
              <w:bottom w:val="single" w:sz="8" w:color="0077C0"/>
            </w:tcBorders>
          </w:tcPr>
          <w:p>
            <w:pPr>
              <w:spacing w:after="0"/>
              <w:rPr>
                <w:sz w:val="17"/>
                <w:szCs w:val="17"/>
                <w:color w:val="auto"/>
              </w:rPr>
            </w:pPr>
          </w:p>
        </w:tc>
        <w:tc>
          <w:tcPr>
            <w:tcW w:w="920" w:type="dxa"/>
            <w:vAlign w:val="bottom"/>
            <w:tcBorders>
              <w:bottom w:val="single" w:sz="8" w:color="0077C0"/>
            </w:tcBorders>
          </w:tcPr>
          <w:p>
            <w:pPr>
              <w:spacing w:after="0"/>
              <w:rPr>
                <w:sz w:val="17"/>
                <w:szCs w:val="17"/>
                <w:color w:val="auto"/>
              </w:rPr>
            </w:pPr>
          </w:p>
        </w:tc>
      </w:tr>
      <w:tr>
        <w:trPr>
          <w:trHeight w:val="203"/>
        </w:trPr>
        <w:tc>
          <w:tcPr>
            <w:tcW w:w="6560" w:type="dxa"/>
            <w:vAlign w:val="bottom"/>
            <w:tcBorders>
              <w:bottom w:val="single" w:sz="8" w:color="0077C0"/>
            </w:tcBorders>
          </w:tcPr>
          <w:p>
            <w:pPr>
              <w:ind w:left="20"/>
              <w:spacing w:after="0" w:line="202" w:lineRule="exact"/>
              <w:rPr>
                <w:sz w:val="20"/>
                <w:szCs w:val="20"/>
                <w:color w:val="auto"/>
              </w:rPr>
            </w:pPr>
            <w:r>
              <w:rPr>
                <w:rFonts w:ascii="Times New Roman" w:cs="Times New Roman" w:eastAsia="Times New Roman" w:hAnsi="Times New Roman"/>
                <w:sz w:val="14"/>
                <w:szCs w:val="14"/>
                <w:color w:val="auto"/>
              </w:rPr>
              <w:t>Earnings available to common stockholders - Basic</w:t>
            </w:r>
            <w:r>
              <w:rPr>
                <w:rFonts w:ascii="Times New Roman" w:cs="Times New Roman" w:eastAsia="Times New Roman" w:hAnsi="Times New Roman"/>
                <w:sz w:val="18"/>
                <w:szCs w:val="18"/>
                <w:color w:val="auto"/>
                <w:vertAlign w:val="superscript"/>
              </w:rPr>
              <w:t>*</w:t>
            </w:r>
          </w:p>
        </w:tc>
        <w:tc>
          <w:tcPr>
            <w:tcW w:w="540" w:type="dxa"/>
            <w:vAlign w:val="bottom"/>
            <w:tcBorders>
              <w:bottom w:val="single" w:sz="8" w:color="0077C0"/>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0077C0"/>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17,661</w:t>
            </w:r>
          </w:p>
        </w:tc>
        <w:tc>
          <w:tcPr>
            <w:tcW w:w="620" w:type="dxa"/>
            <w:vAlign w:val="bottom"/>
            <w:tcBorders>
              <w:bottom w:val="single" w:sz="8" w:color="0077C0"/>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21,369</w:t>
            </w:r>
          </w:p>
        </w:tc>
        <w:tc>
          <w:tcPr>
            <w:tcW w:w="600" w:type="dxa"/>
            <w:vAlign w:val="bottom"/>
            <w:tcBorders>
              <w:bottom w:val="single" w:sz="8" w:color="0077C0"/>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35,465</w:t>
            </w:r>
          </w:p>
        </w:tc>
      </w:tr>
      <w:tr>
        <w:trPr>
          <w:trHeight w:val="184"/>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number of common shares outstanding</w:t>
            </w:r>
          </w:p>
        </w:tc>
        <w:tc>
          <w:tcPr>
            <w:tcW w:w="540" w:type="dxa"/>
            <w:vAlign w:val="bottom"/>
          </w:tcPr>
          <w:p>
            <w:pPr>
              <w:spacing w:after="0"/>
              <w:rPr>
                <w:sz w:val="15"/>
                <w:szCs w:val="15"/>
                <w:color w:val="auto"/>
              </w:rPr>
            </w:pPr>
          </w:p>
        </w:tc>
        <w:tc>
          <w:tcPr>
            <w:tcW w:w="104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1,810</w:t>
            </w:r>
          </w:p>
        </w:tc>
        <w:tc>
          <w:tcPr>
            <w:tcW w:w="62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1,873</w:t>
            </w:r>
          </w:p>
        </w:tc>
        <w:tc>
          <w:tcPr>
            <w:tcW w:w="6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1,931</w:t>
            </w:r>
          </w:p>
        </w:tc>
      </w:tr>
      <w:tr>
        <w:trPr>
          <w:trHeight w:val="191"/>
        </w:trPr>
        <w:tc>
          <w:tcPr>
            <w:tcW w:w="6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Add: Deferred awards held as stock units</w:t>
            </w:r>
          </w:p>
        </w:tc>
        <w:tc>
          <w:tcPr>
            <w:tcW w:w="540" w:type="dxa"/>
            <w:vAlign w:val="bottom"/>
          </w:tcPr>
          <w:p>
            <w:pPr>
              <w:spacing w:after="0"/>
              <w:rPr>
                <w:sz w:val="16"/>
                <w:szCs w:val="16"/>
                <w:color w:val="auto"/>
              </w:rPr>
            </w:pPr>
          </w:p>
        </w:tc>
        <w:tc>
          <w:tcPr>
            <w:tcW w:w="104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6560" w:type="dxa"/>
            <w:vAlign w:val="bottom"/>
            <w:tcBorders>
              <w:bottom w:val="single" w:sz="8" w:color="0077C0"/>
            </w:tcBorders>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1040" w:type="dxa"/>
            <w:vAlign w:val="bottom"/>
            <w:tcBorders>
              <w:bottom w:val="single" w:sz="8" w:color="0077C0"/>
              <w:right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96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r>
      <w:tr>
        <w:trPr>
          <w:trHeight w:val="190"/>
        </w:trPr>
        <w:tc>
          <w:tcPr>
            <w:tcW w:w="65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color w:val="auto"/>
              </w:rPr>
              <w:t>Total weighted-average number of common shares outstanding</w:t>
            </w:r>
          </w:p>
        </w:tc>
        <w:tc>
          <w:tcPr>
            <w:tcW w:w="540" w:type="dxa"/>
            <w:vAlign w:val="bottom"/>
            <w:tcBorders>
              <w:bottom w:val="single" w:sz="8" w:color="0077C0"/>
            </w:tcBorders>
          </w:tcPr>
          <w:p>
            <w:pPr>
              <w:spacing w:after="0"/>
              <w:rPr>
                <w:sz w:val="16"/>
                <w:szCs w:val="16"/>
                <w:color w:val="auto"/>
              </w:rPr>
            </w:pPr>
          </w:p>
        </w:tc>
        <w:tc>
          <w:tcPr>
            <w:tcW w:w="1040" w:type="dxa"/>
            <w:vAlign w:val="bottom"/>
            <w:tcBorders>
              <w:bottom w:val="single" w:sz="8" w:color="0077C0"/>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1,810</w:t>
            </w:r>
          </w:p>
        </w:tc>
        <w:tc>
          <w:tcPr>
            <w:tcW w:w="620" w:type="dxa"/>
            <w:vAlign w:val="bottom"/>
            <w:tcBorders>
              <w:bottom w:val="single" w:sz="8" w:color="0077C0"/>
            </w:tcBorders>
          </w:tcPr>
          <w:p>
            <w:pPr>
              <w:spacing w:after="0"/>
              <w:rPr>
                <w:sz w:val="16"/>
                <w:szCs w:val="16"/>
                <w:color w:val="auto"/>
              </w:rPr>
            </w:pPr>
          </w:p>
        </w:tc>
        <w:tc>
          <w:tcPr>
            <w:tcW w:w="96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1,873</w:t>
            </w:r>
          </w:p>
        </w:tc>
        <w:tc>
          <w:tcPr>
            <w:tcW w:w="600" w:type="dxa"/>
            <w:vAlign w:val="bottom"/>
            <w:tcBorders>
              <w:bottom w:val="single" w:sz="8" w:color="0077C0"/>
            </w:tcBorders>
          </w:tcPr>
          <w:p>
            <w:pPr>
              <w:spacing w:after="0"/>
              <w:rPr>
                <w:sz w:val="16"/>
                <w:szCs w:val="16"/>
                <w:color w:val="auto"/>
              </w:rPr>
            </w:pPr>
          </w:p>
        </w:tc>
        <w:tc>
          <w:tcPr>
            <w:tcW w:w="9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1,931</w:t>
            </w:r>
          </w:p>
        </w:tc>
      </w:tr>
      <w:tr>
        <w:trPr>
          <w:trHeight w:val="196"/>
        </w:trPr>
        <w:tc>
          <w:tcPr>
            <w:tcW w:w="65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Earnings per share of common stock - Basic</w:t>
            </w:r>
          </w:p>
        </w:tc>
        <w:tc>
          <w:tcPr>
            <w:tcW w:w="540" w:type="dxa"/>
            <w:vAlign w:val="bottom"/>
            <w:tcBorders>
              <w:bottom w:val="single" w:sz="8" w:color="0077C0"/>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0077C0"/>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9.76</w:t>
            </w:r>
          </w:p>
        </w:tc>
        <w:tc>
          <w:tcPr>
            <w:tcW w:w="620" w:type="dxa"/>
            <w:vAlign w:val="bottom"/>
            <w:tcBorders>
              <w:bottom w:val="single" w:sz="8" w:color="0077C0"/>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11.41</w:t>
            </w:r>
          </w:p>
        </w:tc>
        <w:tc>
          <w:tcPr>
            <w:tcW w:w="600" w:type="dxa"/>
            <w:vAlign w:val="bottom"/>
            <w:tcBorders>
              <w:bottom w:val="single" w:sz="8" w:color="0077C0"/>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18.36</w:t>
            </w:r>
          </w:p>
        </w:tc>
      </w:tr>
      <w:tr>
        <w:trPr>
          <w:trHeight w:val="196"/>
        </w:trPr>
        <w:tc>
          <w:tcPr>
            <w:tcW w:w="65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color w:val="auto"/>
              </w:rPr>
              <w:t>Diluted EPS Calculation</w:t>
            </w:r>
          </w:p>
        </w:tc>
        <w:tc>
          <w:tcPr>
            <w:tcW w:w="540" w:type="dxa"/>
            <w:vAlign w:val="bottom"/>
            <w:tcBorders>
              <w:bottom w:val="single" w:sz="8" w:color="0077C0"/>
            </w:tcBorders>
          </w:tcPr>
          <w:p>
            <w:pPr>
              <w:spacing w:after="0"/>
              <w:rPr>
                <w:sz w:val="17"/>
                <w:szCs w:val="17"/>
                <w:color w:val="auto"/>
              </w:rPr>
            </w:pPr>
          </w:p>
        </w:tc>
        <w:tc>
          <w:tcPr>
            <w:tcW w:w="1040" w:type="dxa"/>
            <w:vAlign w:val="bottom"/>
            <w:tcBorders>
              <w:bottom w:val="single" w:sz="8" w:color="0077C0"/>
              <w:right w:val="single" w:sz="8" w:color="0077C0"/>
            </w:tcBorders>
          </w:tcPr>
          <w:p>
            <w:pPr>
              <w:spacing w:after="0"/>
              <w:rPr>
                <w:sz w:val="17"/>
                <w:szCs w:val="17"/>
                <w:color w:val="auto"/>
              </w:rPr>
            </w:pPr>
          </w:p>
        </w:tc>
        <w:tc>
          <w:tcPr>
            <w:tcW w:w="620" w:type="dxa"/>
            <w:vAlign w:val="bottom"/>
            <w:tcBorders>
              <w:bottom w:val="single" w:sz="8" w:color="0077C0"/>
            </w:tcBorders>
          </w:tcPr>
          <w:p>
            <w:pPr>
              <w:spacing w:after="0"/>
              <w:rPr>
                <w:sz w:val="17"/>
                <w:szCs w:val="17"/>
                <w:color w:val="auto"/>
              </w:rPr>
            </w:pPr>
          </w:p>
        </w:tc>
        <w:tc>
          <w:tcPr>
            <w:tcW w:w="960" w:type="dxa"/>
            <w:vAlign w:val="bottom"/>
            <w:tcBorders>
              <w:bottom w:val="single" w:sz="8" w:color="0077C0"/>
            </w:tcBorders>
          </w:tcPr>
          <w:p>
            <w:pPr>
              <w:spacing w:after="0"/>
              <w:rPr>
                <w:sz w:val="17"/>
                <w:szCs w:val="17"/>
                <w:color w:val="auto"/>
              </w:rPr>
            </w:pPr>
          </w:p>
        </w:tc>
        <w:tc>
          <w:tcPr>
            <w:tcW w:w="600" w:type="dxa"/>
            <w:vAlign w:val="bottom"/>
            <w:tcBorders>
              <w:bottom w:val="single" w:sz="8" w:color="0077C0"/>
            </w:tcBorders>
          </w:tcPr>
          <w:p>
            <w:pPr>
              <w:spacing w:after="0"/>
              <w:rPr>
                <w:sz w:val="17"/>
                <w:szCs w:val="17"/>
                <w:color w:val="auto"/>
              </w:rPr>
            </w:pPr>
          </w:p>
        </w:tc>
        <w:tc>
          <w:tcPr>
            <w:tcW w:w="920" w:type="dxa"/>
            <w:vAlign w:val="bottom"/>
            <w:tcBorders>
              <w:bottom w:val="single" w:sz="8" w:color="0077C0"/>
            </w:tcBorders>
          </w:tcPr>
          <w:p>
            <w:pPr>
              <w:spacing w:after="0"/>
              <w:rPr>
                <w:sz w:val="17"/>
                <w:szCs w:val="17"/>
                <w:color w:val="auto"/>
              </w:rPr>
            </w:pPr>
          </w:p>
        </w:tc>
      </w:tr>
      <w:tr>
        <w:trPr>
          <w:trHeight w:val="203"/>
        </w:trPr>
        <w:tc>
          <w:tcPr>
            <w:tcW w:w="6560" w:type="dxa"/>
            <w:vAlign w:val="bottom"/>
            <w:tcBorders>
              <w:bottom w:val="single" w:sz="8" w:color="0077C0"/>
            </w:tcBorders>
          </w:tcPr>
          <w:p>
            <w:pPr>
              <w:ind w:left="20"/>
              <w:spacing w:after="0" w:line="202" w:lineRule="exact"/>
              <w:rPr>
                <w:sz w:val="20"/>
                <w:szCs w:val="20"/>
                <w:color w:val="auto"/>
              </w:rPr>
            </w:pPr>
            <w:r>
              <w:rPr>
                <w:rFonts w:ascii="Times New Roman" w:cs="Times New Roman" w:eastAsia="Times New Roman" w:hAnsi="Times New Roman"/>
                <w:sz w:val="14"/>
                <w:szCs w:val="14"/>
                <w:color w:val="auto"/>
              </w:rPr>
              <w:t>Earnings available to common stockholders - Diluted</w:t>
            </w:r>
            <w:r>
              <w:rPr>
                <w:rFonts w:ascii="Times New Roman" w:cs="Times New Roman" w:eastAsia="Times New Roman" w:hAnsi="Times New Roman"/>
                <w:sz w:val="18"/>
                <w:szCs w:val="18"/>
                <w:color w:val="auto"/>
                <w:vertAlign w:val="superscript"/>
              </w:rPr>
              <w:t>*</w:t>
            </w:r>
          </w:p>
        </w:tc>
        <w:tc>
          <w:tcPr>
            <w:tcW w:w="540" w:type="dxa"/>
            <w:vAlign w:val="bottom"/>
            <w:tcBorders>
              <w:bottom w:val="single" w:sz="8" w:color="0077C0"/>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0077C0"/>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17,661</w:t>
            </w:r>
          </w:p>
        </w:tc>
        <w:tc>
          <w:tcPr>
            <w:tcW w:w="620" w:type="dxa"/>
            <w:vAlign w:val="bottom"/>
            <w:tcBorders>
              <w:bottom w:val="single" w:sz="8" w:color="0077C0"/>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21,369</w:t>
            </w:r>
          </w:p>
        </w:tc>
        <w:tc>
          <w:tcPr>
            <w:tcW w:w="600" w:type="dxa"/>
            <w:vAlign w:val="bottom"/>
            <w:tcBorders>
              <w:bottom w:val="single" w:sz="8" w:color="0077C0"/>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35,465</w:t>
            </w:r>
          </w:p>
        </w:tc>
      </w:tr>
      <w:tr>
        <w:trPr>
          <w:trHeight w:val="184"/>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number of common shares outstanding</w:t>
            </w:r>
          </w:p>
        </w:tc>
        <w:tc>
          <w:tcPr>
            <w:tcW w:w="540" w:type="dxa"/>
            <w:vAlign w:val="bottom"/>
          </w:tcPr>
          <w:p>
            <w:pPr>
              <w:spacing w:after="0"/>
              <w:rPr>
                <w:sz w:val="15"/>
                <w:szCs w:val="15"/>
                <w:color w:val="auto"/>
              </w:rPr>
            </w:pPr>
          </w:p>
        </w:tc>
        <w:tc>
          <w:tcPr>
            <w:tcW w:w="104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1,810</w:t>
            </w:r>
          </w:p>
        </w:tc>
        <w:tc>
          <w:tcPr>
            <w:tcW w:w="62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1,873</w:t>
            </w:r>
          </w:p>
        </w:tc>
        <w:tc>
          <w:tcPr>
            <w:tcW w:w="6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1,931</w:t>
            </w:r>
          </w:p>
        </w:tc>
      </w:tr>
      <w:tr>
        <w:trPr>
          <w:trHeight w:val="191"/>
        </w:trPr>
        <w:tc>
          <w:tcPr>
            <w:tcW w:w="6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Add: Deferred awards held as stock units</w:t>
            </w:r>
          </w:p>
        </w:tc>
        <w:tc>
          <w:tcPr>
            <w:tcW w:w="540" w:type="dxa"/>
            <w:vAlign w:val="bottom"/>
          </w:tcPr>
          <w:p>
            <w:pPr>
              <w:spacing w:after="0"/>
              <w:rPr>
                <w:sz w:val="16"/>
                <w:szCs w:val="16"/>
                <w:color w:val="auto"/>
              </w:rPr>
            </w:pPr>
          </w:p>
        </w:tc>
        <w:tc>
          <w:tcPr>
            <w:tcW w:w="104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6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Add: Dilutive effect of employee stock-based awards</w:t>
            </w:r>
          </w:p>
        </w:tc>
        <w:tc>
          <w:tcPr>
            <w:tcW w:w="540" w:type="dxa"/>
            <w:vAlign w:val="bottom"/>
          </w:tcPr>
          <w:p>
            <w:pPr>
              <w:spacing w:after="0"/>
              <w:rPr>
                <w:sz w:val="17"/>
                <w:szCs w:val="17"/>
                <w:color w:val="auto"/>
              </w:rPr>
            </w:pPr>
          </w:p>
        </w:tc>
        <w:tc>
          <w:tcPr>
            <w:tcW w:w="104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7</w:t>
            </w:r>
          </w:p>
        </w:tc>
        <w:tc>
          <w:tcPr>
            <w:tcW w:w="6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3"/>
        </w:trPr>
        <w:tc>
          <w:tcPr>
            <w:tcW w:w="6560" w:type="dxa"/>
            <w:vAlign w:val="bottom"/>
            <w:tcBorders>
              <w:bottom w:val="single" w:sz="8" w:color="0077C0"/>
            </w:tcBorders>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1040" w:type="dxa"/>
            <w:vAlign w:val="bottom"/>
            <w:tcBorders>
              <w:bottom w:val="single" w:sz="8" w:color="0077C0"/>
              <w:right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96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r>
      <w:tr>
        <w:trPr>
          <w:trHeight w:val="190"/>
        </w:trPr>
        <w:tc>
          <w:tcPr>
            <w:tcW w:w="65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color w:val="auto"/>
              </w:rPr>
              <w:t>Total weighted-average number of common shares outstanding</w:t>
            </w:r>
          </w:p>
        </w:tc>
        <w:tc>
          <w:tcPr>
            <w:tcW w:w="540" w:type="dxa"/>
            <w:vAlign w:val="bottom"/>
            <w:tcBorders>
              <w:bottom w:val="single" w:sz="8" w:color="0077C0"/>
            </w:tcBorders>
          </w:tcPr>
          <w:p>
            <w:pPr>
              <w:spacing w:after="0"/>
              <w:rPr>
                <w:sz w:val="16"/>
                <w:szCs w:val="16"/>
                <w:color w:val="auto"/>
              </w:rPr>
            </w:pPr>
          </w:p>
        </w:tc>
        <w:tc>
          <w:tcPr>
            <w:tcW w:w="1040" w:type="dxa"/>
            <w:vAlign w:val="bottom"/>
            <w:tcBorders>
              <w:bottom w:val="single" w:sz="8" w:color="0077C0"/>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1,817</w:t>
            </w:r>
          </w:p>
        </w:tc>
        <w:tc>
          <w:tcPr>
            <w:tcW w:w="620" w:type="dxa"/>
            <w:vAlign w:val="bottom"/>
            <w:tcBorders>
              <w:bottom w:val="single" w:sz="8" w:color="0077C0"/>
            </w:tcBorders>
          </w:tcPr>
          <w:p>
            <w:pPr>
              <w:spacing w:after="0"/>
              <w:rPr>
                <w:sz w:val="16"/>
                <w:szCs w:val="16"/>
                <w:color w:val="auto"/>
              </w:rPr>
            </w:pPr>
          </w:p>
        </w:tc>
        <w:tc>
          <w:tcPr>
            <w:tcW w:w="96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1,880</w:t>
            </w:r>
          </w:p>
        </w:tc>
        <w:tc>
          <w:tcPr>
            <w:tcW w:w="600" w:type="dxa"/>
            <w:vAlign w:val="bottom"/>
            <w:tcBorders>
              <w:bottom w:val="single" w:sz="8" w:color="0077C0"/>
            </w:tcBorders>
          </w:tcPr>
          <w:p>
            <w:pPr>
              <w:spacing w:after="0"/>
              <w:rPr>
                <w:sz w:val="16"/>
                <w:szCs w:val="16"/>
                <w:color w:val="auto"/>
              </w:rPr>
            </w:pPr>
          </w:p>
        </w:tc>
        <w:tc>
          <w:tcPr>
            <w:tcW w:w="9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1,940</w:t>
            </w:r>
          </w:p>
        </w:tc>
      </w:tr>
      <w:tr>
        <w:trPr>
          <w:trHeight w:val="196"/>
        </w:trPr>
        <w:tc>
          <w:tcPr>
            <w:tcW w:w="65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Earnings per share of common stock - Diluted</w:t>
            </w:r>
          </w:p>
        </w:tc>
        <w:tc>
          <w:tcPr>
            <w:tcW w:w="540" w:type="dxa"/>
            <w:vAlign w:val="bottom"/>
            <w:tcBorders>
              <w:bottom w:val="single" w:sz="8" w:color="0077C0"/>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0077C0"/>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9.72</w:t>
            </w:r>
          </w:p>
        </w:tc>
        <w:tc>
          <w:tcPr>
            <w:tcW w:w="620" w:type="dxa"/>
            <w:vAlign w:val="bottom"/>
            <w:tcBorders>
              <w:bottom w:val="single" w:sz="8" w:color="0077C0"/>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11.36</w:t>
            </w:r>
          </w:p>
        </w:tc>
        <w:tc>
          <w:tcPr>
            <w:tcW w:w="600" w:type="dxa"/>
            <w:vAlign w:val="bottom"/>
            <w:tcBorders>
              <w:bottom w:val="single" w:sz="8" w:color="0077C0"/>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18.28</w:t>
            </w:r>
          </w:p>
        </w:tc>
      </w:tr>
    </w:tbl>
    <w:p>
      <w:pPr>
        <w:ind w:left="80" w:hanging="54"/>
        <w:spacing w:after="0" w:line="208" w:lineRule="auto"/>
        <w:tabs>
          <w:tab w:leader="none" w:pos="80" w:val="left"/>
        </w:tabs>
        <w:numPr>
          <w:ilvl w:val="0"/>
          <w:numId w:val="3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There was no effect of dividend equivalents paid on stock units or dilutive impact of employee stock-based awards on earnings.</w:t>
      </w: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14</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0077C0"/>
        </w:rPr>
        <w:t>Operating Segments and Geographic Data</w:t>
      </w:r>
    </w:p>
    <w:p>
      <w:pPr>
        <w:spacing w:after="0" w:line="1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Although each subsidiary of Chevron is responsible for its own affairs, Chevron Corporation manages its investments in these subsidiaries and their affiliates. The investments are grouped into two business segments, Upstream and Downstream, representing the company’s “reportable segments” and “operating segments.” Upstream operations consist primarily of exploring for, developing, producing and transporting crude oil and natural gas; liquefaction, transportation and regasification associated with LNG; transporting crude oil by major international oil export pipelines; processing, transporting, storage and marketing of natural gas; carbon capture and storage; and a gas-to-liquids plant. Downstream operations consist primarily of refining of crude oil into petroleum products; marketing of crude oil, refined products, and lubricants; manufacturing and marketing of renewable fuels; transporting of crude oil and refined products by pipeline, marine vessel, motor equipment and rail car; and manufacturing and marketing of commodity petrochemicals, plastics for industrial uses, and fuel and lubricant additives. All Other activities of the company include worldwide cash management and debt financing activities, corporate administrative functions, insurance operations, real estate activities, and technology activities.</w:t>
      </w:r>
    </w:p>
    <w:p>
      <w:pPr>
        <w:spacing w:after="0" w:line="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company’s segments are managed by “segment managers” who report to the “chief operating decision maker” (CODM), which is comprised of the company’s Executive Committee, as referenced in </w:t>
      </w:r>
      <w:r>
        <w:rPr>
          <w:rFonts w:ascii="Times New Roman" w:cs="Times New Roman" w:eastAsia="Times New Roman" w:hAnsi="Times New Roman"/>
          <w:sz w:val="18"/>
          <w:szCs w:val="18"/>
          <w:u w:val="single" w:color="auto"/>
          <w:color w:val="0000FF"/>
        </w:rPr>
        <w:t>Item 10 Executive Officers</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segments represent components of the company that engage in activities from which revenues are earned and expenses are incurred. Each segment has discrete financial information available. The CODM regularly reviews the operating results of these segments to assess their performance and make decisions about resources to be allocated to the segments. The company's primary country of operation is the United States of America, its country of domicile, while other components of the company's operations are reported as “International” (outside the United States).</w:t>
      </w:r>
    </w:p>
    <w:p>
      <w:pPr>
        <w:spacing w:after="0" w:line="4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Segment Sales and Other Operating Revenues </w:t>
      </w:r>
      <w:r>
        <w:rPr>
          <w:rFonts w:ascii="Times New Roman" w:cs="Times New Roman" w:eastAsia="Times New Roman" w:hAnsi="Times New Roman"/>
          <w:sz w:val="18"/>
          <w:szCs w:val="18"/>
          <w:color w:val="000000"/>
        </w:rPr>
        <w:t>Products are transferred between operating segments at internal product values that approximate market</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prices. Revenues for the upstream segment are derived primarily from the production and sale of crude oil, natural gas and NGLs, as well as the sale of third-party production of natural gas. Revenues for the downstream segment are derived from the refining and marketing of petroleum products such as gasoline, jet fuel, gas oils, lubricants, residual fuel oils and other products derived from crude oil. This segment also generates revenues from the manufacture and sale of fuel and lubricant additives, renewable fuels, and the transportation and trading of refined products and crude oil. “All Other” activities include revenues from insurance operations, real estate activities and technology companies.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81" w:name="page82"/>
    <w:bookmarkEnd w:id="81"/>
    <w:p>
      <w:pPr>
        <w:ind w:left="21"/>
        <w:spacing w:after="0"/>
        <w:tabs>
          <w:tab w:leader="none" w:pos="9461" w:val="left"/>
        </w:tabs>
        <w:rPr>
          <w:sz w:val="20"/>
          <w:szCs w:val="20"/>
          <w:color w:val="auto"/>
        </w:rPr>
      </w:pPr>
      <w:r>
        <w:rPr>
          <w:rFonts w:ascii="Arial" w:cs="Arial" w:eastAsia="Arial" w:hAnsi="Arial"/>
          <w:sz w:val="14"/>
          <w:szCs w:val="14"/>
          <w:color w:val="0077C0"/>
        </w:rPr>
        <w:t>Notes to the Consolidated Financial Statements</w:t>
      </w:r>
      <w:r>
        <w:rPr>
          <w:sz w:val="20"/>
          <w:szCs w:val="20"/>
          <w:color w:val="auto"/>
        </w:rPr>
        <w:tab/>
      </w:r>
      <w:r>
        <w:rPr>
          <w:rFonts w:ascii="Arial" w:cs="Arial" w:eastAsia="Arial" w:hAnsi="Arial"/>
          <w:sz w:val="14"/>
          <w:szCs w:val="14"/>
          <w:color w:val="0077C0"/>
        </w:rPr>
        <w:t>Financial Table of Contents</w:t>
      </w:r>
    </w:p>
    <w:p>
      <w:pPr>
        <w:spacing w:after="0" w:line="51" w:lineRule="exact"/>
        <w:rPr>
          <w:sz w:val="20"/>
          <w:szCs w:val="20"/>
          <w:color w:val="auto"/>
        </w:rPr>
      </w:pPr>
    </w:p>
    <w:p>
      <w:pPr>
        <w:ind w:left="61"/>
        <w:spacing w:after="0"/>
        <w:rPr>
          <w:sz w:val="20"/>
          <w:szCs w:val="20"/>
          <w:color w:val="auto"/>
        </w:rPr>
      </w:pPr>
      <w:r>
        <w:rPr>
          <w:rFonts w:ascii="Arial" w:cs="Arial" w:eastAsia="Arial" w:hAnsi="Arial"/>
          <w:sz w:val="11"/>
          <w:szCs w:val="11"/>
          <w:color w:val="0077C0"/>
        </w:rPr>
        <w:t>Millions of dollars, except per-share amounts</w:t>
      </w:r>
    </w:p>
    <w:p>
      <w:pPr>
        <w:spacing w:after="0" w:line="200" w:lineRule="exact"/>
        <w:rPr>
          <w:sz w:val="20"/>
          <w:szCs w:val="20"/>
          <w:color w:val="auto"/>
        </w:rPr>
      </w:pPr>
    </w:p>
    <w:p>
      <w:pPr>
        <w:spacing w:after="0" w:line="366" w:lineRule="exact"/>
        <w:rPr>
          <w:sz w:val="20"/>
          <w:szCs w:val="20"/>
          <w:color w:val="auto"/>
        </w:rPr>
      </w:pPr>
    </w:p>
    <w:p>
      <w:pPr>
        <w:jc w:val="both"/>
        <w:ind w:left="1"/>
        <w:spacing w:after="0" w:line="273"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Segment Expenses </w:t>
      </w:r>
      <w:r>
        <w:rPr>
          <w:rFonts w:ascii="Times New Roman" w:cs="Times New Roman" w:eastAsia="Times New Roman" w:hAnsi="Times New Roman"/>
          <w:sz w:val="18"/>
          <w:szCs w:val="18"/>
          <w:color w:val="000000"/>
        </w:rPr>
        <w:t>Purchased crude oil and products, operating and selling, general and administrative (SG&amp;A) expense, and depreciation, depletion and</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amortization are the company’s significant segment expenses. Operating and SG&amp;A expenses include transportation, employee costs, service and fees, fuel and utilities, materials and supplies, SG&amp;A expenses and other components of periodic benefit costs. Other costs and deductions primarily represent taxes other than on income, exploration expense and interest and debt expenses.</w:t>
      </w:r>
    </w:p>
    <w:p>
      <w:pPr>
        <w:spacing w:after="0" w:line="44" w:lineRule="exact"/>
        <w:rPr>
          <w:sz w:val="20"/>
          <w:szCs w:val="20"/>
          <w:color w:val="auto"/>
        </w:rPr>
      </w:pPr>
    </w:p>
    <w:p>
      <w:pPr>
        <w:jc w:val="both"/>
        <w:ind w:left="1"/>
        <w:spacing w:after="0" w:line="273"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Segment Earnings </w:t>
      </w:r>
      <w:r>
        <w:rPr>
          <w:rFonts w:ascii="Times New Roman" w:cs="Times New Roman" w:eastAsia="Times New Roman" w:hAnsi="Times New Roman"/>
          <w:sz w:val="18"/>
          <w:szCs w:val="18"/>
          <w:color w:val="000000"/>
        </w:rPr>
        <w:t>The company evaluates the performance of its operating segments on an after-tax basis, without considering the effects of debt</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financing interest expense or investment interest income, both of which are managed by the company on a worldwide basis. Corporate administrative costs are not allocated to the operating segments. However, operating segments are billed for the direct use of corporate services. Non-billable costs remain at the corporate level in “All Other.”</w:t>
      </w:r>
    </w:p>
    <w:p>
      <w:pPr>
        <w:spacing w:after="0" w:line="6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Segmented income statements for the years ended December 31, 2024, 2023 and 2022 are presented below:</w:t>
      </w:r>
    </w:p>
    <w:p>
      <w:pPr>
        <w:spacing w:after="0" w:line="192" w:lineRule="exact"/>
        <w:rPr>
          <w:sz w:val="20"/>
          <w:szCs w:val="20"/>
          <w:color w:val="auto"/>
        </w:rPr>
      </w:pPr>
    </w:p>
    <w:tbl>
      <w:tblPr>
        <w:tblLayout w:type="fixed"/>
        <w:tblInd w:w="1"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Upstream</w:t>
            </w: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Downstream</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
        </w:trPr>
        <w:tc>
          <w:tcPr>
            <w:tcW w:w="4240" w:type="dxa"/>
            <w:vAlign w:val="bottom"/>
          </w:tcPr>
          <w:p>
            <w:pPr>
              <w:spacing w:after="0"/>
              <w:rPr>
                <w:sz w:val="2"/>
                <w:szCs w:val="2"/>
                <w:color w:val="auto"/>
              </w:rPr>
            </w:pPr>
          </w:p>
        </w:tc>
        <w:tc>
          <w:tcPr>
            <w:tcW w:w="42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40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44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7"/>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U.S.</w:t>
            </w:r>
          </w:p>
        </w:tc>
        <w:tc>
          <w:tcPr>
            <w:tcW w:w="66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Int'l.</w:t>
            </w:r>
          </w:p>
        </w:tc>
        <w:tc>
          <w:tcPr>
            <w:tcW w:w="580" w:type="dxa"/>
            <w:vAlign w:val="bottom"/>
          </w:tcPr>
          <w:p>
            <w:pPr>
              <w:spacing w:after="0"/>
              <w:rPr>
                <w:sz w:val="19"/>
                <w:szCs w:val="19"/>
                <w:color w:val="auto"/>
              </w:rPr>
            </w:pPr>
          </w:p>
        </w:tc>
        <w:tc>
          <w:tcPr>
            <w:tcW w:w="4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U.S.</w:t>
            </w:r>
          </w:p>
        </w:tc>
        <w:tc>
          <w:tcPr>
            <w:tcW w:w="640" w:type="dxa"/>
            <w:vAlign w:val="bottom"/>
          </w:tcPr>
          <w:p>
            <w:pPr>
              <w:spacing w:after="0"/>
              <w:rPr>
                <w:sz w:val="19"/>
                <w:szCs w:val="19"/>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Int'l.</w:t>
            </w:r>
          </w:p>
        </w:tc>
        <w:tc>
          <w:tcPr>
            <w:tcW w:w="580" w:type="dxa"/>
            <w:vAlign w:val="bottom"/>
          </w:tcPr>
          <w:p>
            <w:pPr>
              <w:spacing w:after="0"/>
              <w:rPr>
                <w:sz w:val="19"/>
                <w:szCs w:val="19"/>
                <w:color w:val="auto"/>
              </w:rPr>
            </w:pPr>
          </w:p>
        </w:tc>
        <w:tc>
          <w:tcPr>
            <w:tcW w:w="10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Segment Total</w:t>
            </w:r>
          </w:p>
        </w:tc>
        <w:tc>
          <w:tcPr>
            <w:tcW w:w="100" w:type="dxa"/>
            <w:vAlign w:val="bottom"/>
          </w:tcPr>
          <w:p>
            <w:pPr>
              <w:spacing w:after="0"/>
              <w:rPr>
                <w:sz w:val="19"/>
                <w:szCs w:val="19"/>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80" w:type="dxa"/>
            <w:vAlign w:val="bottom"/>
          </w:tcPr>
          <w:p>
            <w:pPr>
              <w:spacing w:after="0"/>
              <w:rPr>
                <w:sz w:val="19"/>
                <w:szCs w:val="19"/>
                <w:color w:val="auto"/>
              </w:rPr>
            </w:pPr>
          </w:p>
        </w:tc>
        <w:tc>
          <w:tcPr>
            <w:tcW w:w="7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240" w:type="dxa"/>
            <w:vAlign w:val="bottom"/>
            <w:tcBorders>
              <w:bottom w:val="single" w:sz="8" w:color="0077C0"/>
            </w:tcBorders>
          </w:tcPr>
          <w:p>
            <w:pPr>
              <w:spacing w:after="0"/>
              <w:rPr>
                <w:sz w:val="2"/>
                <w:szCs w:val="2"/>
                <w:color w:val="auto"/>
              </w:rPr>
            </w:pPr>
          </w:p>
        </w:tc>
        <w:tc>
          <w:tcPr>
            <w:tcW w:w="42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40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44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740" w:type="dxa"/>
            <w:vAlign w:val="bottom"/>
            <w:tcBorders>
              <w:bottom w:val="single" w:sz="8" w:color="0077C0"/>
            </w:tcBorders>
          </w:tcPr>
          <w:p>
            <w:pPr>
              <w:spacing w:after="0"/>
              <w:rPr>
                <w:sz w:val="2"/>
                <w:szCs w:val="2"/>
                <w:color w:val="auto"/>
              </w:rPr>
            </w:pPr>
          </w:p>
        </w:tc>
        <w:tc>
          <w:tcPr>
            <w:tcW w:w="100" w:type="dxa"/>
            <w:vAlign w:val="bottom"/>
            <w:tcBorders>
              <w:bottom w:val="single" w:sz="8" w:color="0077C0"/>
            </w:tcBorders>
          </w:tcPr>
          <w:p>
            <w:pPr>
              <w:spacing w:after="0"/>
              <w:rPr>
                <w:sz w:val="2"/>
                <w:szCs w:val="2"/>
                <w:color w:val="auto"/>
              </w:rPr>
            </w:pPr>
          </w:p>
        </w:tc>
        <w:tc>
          <w:tcPr>
            <w:tcW w:w="740" w:type="dxa"/>
            <w:vAlign w:val="bottom"/>
            <w:tcBorders>
              <w:bottom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720" w:type="dxa"/>
            <w:vAlign w:val="bottom"/>
            <w:tcBorders>
              <w:bottom w:val="single" w:sz="8" w:color="0077C0"/>
            </w:tcBorders>
          </w:tcPr>
          <w:p>
            <w:pPr>
              <w:spacing w:after="0"/>
              <w:rPr>
                <w:sz w:val="2"/>
                <w:szCs w:val="2"/>
                <w:color w:val="auto"/>
              </w:rPr>
            </w:pPr>
          </w:p>
        </w:tc>
      </w:tr>
      <w:tr>
        <w:trPr>
          <w:trHeight w:val="182"/>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other operating revenues before elimination</w:t>
            </w:r>
          </w:p>
        </w:tc>
        <w:tc>
          <w:tcPr>
            <w:tcW w:w="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44,302</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43,466</w:t>
            </w:r>
          </w:p>
        </w:tc>
        <w:tc>
          <w:tcPr>
            <w:tcW w:w="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80,417</w:t>
            </w:r>
          </w:p>
        </w:tc>
        <w:tc>
          <w:tcPr>
            <w:tcW w:w="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77,430</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245,615</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246,232</w:t>
            </w:r>
          </w:p>
        </w:tc>
      </w:tr>
      <w:tr>
        <w:trPr>
          <w:trHeight w:val="193"/>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Intersegment revenue elimination</w:t>
            </w:r>
          </w:p>
        </w:tc>
        <w:tc>
          <w:tcPr>
            <w:tcW w:w="4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(29,662)</w:t>
            </w:r>
          </w:p>
        </w:tc>
        <w:tc>
          <w:tcPr>
            <w:tcW w:w="4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(11,258)</w:t>
            </w:r>
          </w:p>
        </w:tc>
        <w:tc>
          <w:tcPr>
            <w:tcW w:w="4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(9,745)</w:t>
            </w:r>
          </w:p>
        </w:tc>
        <w:tc>
          <w:tcPr>
            <w:tcW w:w="5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(1,668)</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(52,333)</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(52,818)</w:t>
            </w:r>
          </w:p>
        </w:tc>
      </w:tr>
      <w:tr>
        <w:trPr>
          <w:trHeight w:val="23"/>
        </w:trPr>
        <w:tc>
          <w:tcPr>
            <w:tcW w:w="4240" w:type="dxa"/>
            <w:vAlign w:val="bottom"/>
            <w:tcBorders>
              <w:bottom w:val="single" w:sz="8" w:color="0077C0"/>
            </w:tcBorders>
          </w:tcPr>
          <w:p>
            <w:pPr>
              <w:spacing w:after="0"/>
              <w:rPr>
                <w:sz w:val="2"/>
                <w:szCs w:val="2"/>
                <w:color w:val="auto"/>
              </w:rPr>
            </w:pPr>
          </w:p>
        </w:tc>
        <w:tc>
          <w:tcPr>
            <w:tcW w:w="42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40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44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740" w:type="dxa"/>
            <w:vAlign w:val="bottom"/>
            <w:tcBorders>
              <w:bottom w:val="single" w:sz="8" w:color="0077C0"/>
            </w:tcBorders>
          </w:tcPr>
          <w:p>
            <w:pPr>
              <w:spacing w:after="0"/>
              <w:rPr>
                <w:sz w:val="2"/>
                <w:szCs w:val="2"/>
                <w:color w:val="auto"/>
              </w:rPr>
            </w:pPr>
          </w:p>
        </w:tc>
        <w:tc>
          <w:tcPr>
            <w:tcW w:w="100" w:type="dxa"/>
            <w:vAlign w:val="bottom"/>
            <w:tcBorders>
              <w:bottom w:val="single" w:sz="8" w:color="0077C0"/>
            </w:tcBorders>
          </w:tcPr>
          <w:p>
            <w:pPr>
              <w:spacing w:after="0"/>
              <w:rPr>
                <w:sz w:val="2"/>
                <w:szCs w:val="2"/>
                <w:color w:val="auto"/>
              </w:rPr>
            </w:pPr>
          </w:p>
        </w:tc>
        <w:tc>
          <w:tcPr>
            <w:tcW w:w="740" w:type="dxa"/>
            <w:vAlign w:val="bottom"/>
            <w:tcBorders>
              <w:bottom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720" w:type="dxa"/>
            <w:vAlign w:val="bottom"/>
            <w:tcBorders>
              <w:bottom w:val="single" w:sz="8" w:color="0077C0"/>
            </w:tcBorders>
          </w:tcPr>
          <w:p>
            <w:pPr>
              <w:spacing w:after="0"/>
              <w:rPr>
                <w:sz w:val="2"/>
                <w:szCs w:val="2"/>
                <w:color w:val="auto"/>
              </w:rPr>
            </w:pPr>
          </w:p>
        </w:tc>
      </w:tr>
      <w:tr>
        <w:trPr>
          <w:trHeight w:val="190"/>
        </w:trPr>
        <w:tc>
          <w:tcPr>
            <w:tcW w:w="424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Sales and Other Operating Revenues</w:t>
            </w:r>
          </w:p>
        </w:tc>
        <w:tc>
          <w:tcPr>
            <w:tcW w:w="420" w:type="dxa"/>
            <w:vAlign w:val="bottom"/>
            <w:tcBorders>
              <w:bottom w:val="single" w:sz="8" w:color="0077C0"/>
            </w:tcBorders>
          </w:tcPr>
          <w:p>
            <w:pPr>
              <w:spacing w:after="0"/>
              <w:rPr>
                <w:sz w:val="16"/>
                <w:szCs w:val="16"/>
                <w:color w:val="auto"/>
              </w:rPr>
            </w:pPr>
          </w:p>
        </w:tc>
        <w:tc>
          <w:tcPr>
            <w:tcW w:w="6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14,640</w:t>
            </w:r>
          </w:p>
        </w:tc>
        <w:tc>
          <w:tcPr>
            <w:tcW w:w="400" w:type="dxa"/>
            <w:vAlign w:val="bottom"/>
            <w:tcBorders>
              <w:bottom w:val="single" w:sz="8" w:color="0077C0"/>
            </w:tcBorders>
          </w:tcPr>
          <w:p>
            <w:pPr>
              <w:spacing w:after="0"/>
              <w:rPr>
                <w:sz w:val="16"/>
                <w:szCs w:val="16"/>
                <w:color w:val="auto"/>
              </w:rPr>
            </w:pPr>
          </w:p>
        </w:tc>
        <w:tc>
          <w:tcPr>
            <w:tcW w:w="5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32,208</w:t>
            </w:r>
          </w:p>
        </w:tc>
        <w:tc>
          <w:tcPr>
            <w:tcW w:w="44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70,672</w:t>
            </w:r>
          </w:p>
        </w:tc>
        <w:tc>
          <w:tcPr>
            <w:tcW w:w="520" w:type="dxa"/>
            <w:vAlign w:val="bottom"/>
            <w:tcBorders>
              <w:bottom w:val="single" w:sz="8" w:color="0077C0"/>
            </w:tcBorders>
          </w:tcPr>
          <w:p>
            <w:pPr>
              <w:spacing w:after="0"/>
              <w:rPr>
                <w:sz w:val="16"/>
                <w:szCs w:val="16"/>
                <w:color w:val="auto"/>
              </w:rPr>
            </w:pPr>
          </w:p>
        </w:tc>
        <w:tc>
          <w:tcPr>
            <w:tcW w:w="58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75,762</w:t>
            </w:r>
          </w:p>
        </w:tc>
        <w:tc>
          <w:tcPr>
            <w:tcW w:w="280" w:type="dxa"/>
            <w:vAlign w:val="bottom"/>
            <w:tcBorders>
              <w:bottom w:val="single" w:sz="8" w:color="0077C0"/>
            </w:tcBorders>
          </w:tcPr>
          <w:p>
            <w:pPr>
              <w:spacing w:after="0"/>
              <w:rPr>
                <w:sz w:val="16"/>
                <w:szCs w:val="16"/>
                <w:color w:val="auto"/>
              </w:rPr>
            </w:pPr>
          </w:p>
        </w:tc>
        <w:tc>
          <w:tcPr>
            <w:tcW w:w="7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193,282</w:t>
            </w:r>
          </w:p>
        </w:tc>
        <w:tc>
          <w:tcPr>
            <w:tcW w:w="100" w:type="dxa"/>
            <w:vAlign w:val="bottom"/>
            <w:tcBorders>
              <w:bottom w:val="single" w:sz="8" w:color="0077C0"/>
            </w:tcBorders>
          </w:tcPr>
          <w:p>
            <w:pPr>
              <w:spacing w:after="0"/>
              <w:rPr>
                <w:sz w:val="16"/>
                <w:szCs w:val="16"/>
                <w:color w:val="auto"/>
              </w:rPr>
            </w:pPr>
          </w:p>
        </w:tc>
        <w:tc>
          <w:tcPr>
            <w:tcW w:w="7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132</w:t>
            </w:r>
          </w:p>
        </w:tc>
        <w:tc>
          <w:tcPr>
            <w:tcW w:w="180" w:type="dxa"/>
            <w:vAlign w:val="bottom"/>
            <w:tcBorders>
              <w:bottom w:val="single" w:sz="8" w:color="0077C0"/>
            </w:tcBorders>
          </w:tcPr>
          <w:p>
            <w:pPr>
              <w:spacing w:after="0"/>
              <w:rPr>
                <w:sz w:val="16"/>
                <w:szCs w:val="16"/>
                <w:color w:val="auto"/>
              </w:rPr>
            </w:pP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193,414</w:t>
            </w:r>
          </w:p>
        </w:tc>
      </w:tr>
      <w:tr>
        <w:trPr>
          <w:trHeight w:val="260"/>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from equity affiliates</w:t>
            </w:r>
          </w:p>
        </w:tc>
        <w:tc>
          <w:tcPr>
            <w:tcW w:w="4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4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3,642</w:t>
            </w:r>
          </w:p>
        </w:tc>
        <w:tc>
          <w:tcPr>
            <w:tcW w:w="4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52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2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4,600</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4,596</w:t>
            </w:r>
          </w:p>
        </w:tc>
      </w:tr>
      <w:tr>
        <w:trPr>
          <w:trHeight w:val="226"/>
        </w:trPr>
        <w:tc>
          <w:tcPr>
            <w:tcW w:w="424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color w:val="auto"/>
              </w:rPr>
              <w:t>Other income (loss)</w:t>
            </w:r>
            <w:r>
              <w:rPr>
                <w:rFonts w:ascii="Times New Roman" w:cs="Times New Roman" w:eastAsia="Times New Roman" w:hAnsi="Times New Roman"/>
                <w:sz w:val="18"/>
                <w:szCs w:val="18"/>
                <w:color w:val="auto"/>
                <w:vertAlign w:val="superscript"/>
              </w:rPr>
              <w:t>1</w:t>
            </w:r>
          </w:p>
        </w:tc>
        <w:tc>
          <w:tcPr>
            <w:tcW w:w="420" w:type="dxa"/>
            <w:vAlign w:val="bottom"/>
            <w:tcBorders>
              <w:bottom w:val="single" w:sz="8" w:color="0077C0"/>
            </w:tcBorders>
          </w:tcPr>
          <w:p>
            <w:pPr>
              <w:spacing w:after="0"/>
              <w:rPr>
                <w:sz w:val="19"/>
                <w:szCs w:val="19"/>
                <w:color w:val="auto"/>
              </w:rPr>
            </w:pPr>
          </w:p>
        </w:tc>
        <w:tc>
          <w:tcPr>
            <w:tcW w:w="6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400" w:type="dxa"/>
            <w:vAlign w:val="bottom"/>
            <w:tcBorders>
              <w:bottom w:val="single" w:sz="8" w:color="0077C0"/>
            </w:tcBorders>
          </w:tcPr>
          <w:p>
            <w:pPr>
              <w:spacing w:after="0"/>
              <w:rPr>
                <w:sz w:val="19"/>
                <w:szCs w:val="19"/>
                <w:color w:val="auto"/>
              </w:rPr>
            </w:pPr>
          </w:p>
        </w:tc>
        <w:tc>
          <w:tcPr>
            <w:tcW w:w="5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3,460</w:t>
            </w:r>
          </w:p>
        </w:tc>
        <w:tc>
          <w:tcPr>
            <w:tcW w:w="440" w:type="dxa"/>
            <w:vAlign w:val="bottom"/>
            <w:tcBorders>
              <w:bottom w:val="single" w:sz="8" w:color="0077C0"/>
            </w:tcBorders>
          </w:tcPr>
          <w:p>
            <w:pPr>
              <w:spacing w:after="0"/>
              <w:rPr>
                <w:sz w:val="19"/>
                <w:szCs w:val="19"/>
                <w:color w:val="auto"/>
              </w:rPr>
            </w:pP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520" w:type="dxa"/>
            <w:vAlign w:val="bottom"/>
            <w:tcBorders>
              <w:bottom w:val="single" w:sz="8" w:color="0077C0"/>
            </w:tcBorders>
          </w:tcPr>
          <w:p>
            <w:pPr>
              <w:spacing w:after="0"/>
              <w:rPr>
                <w:sz w:val="19"/>
                <w:szCs w:val="19"/>
                <w:color w:val="auto"/>
              </w:rPr>
            </w:pPr>
          </w:p>
        </w:tc>
        <w:tc>
          <w:tcPr>
            <w:tcW w:w="58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96</w:t>
            </w:r>
          </w:p>
        </w:tc>
        <w:tc>
          <w:tcPr>
            <w:tcW w:w="280" w:type="dxa"/>
            <w:vAlign w:val="bottom"/>
            <w:tcBorders>
              <w:bottom w:val="single" w:sz="8" w:color="0077C0"/>
            </w:tcBorders>
          </w:tcPr>
          <w:p>
            <w:pPr>
              <w:spacing w:after="0"/>
              <w:rPr>
                <w:sz w:val="19"/>
                <w:szCs w:val="19"/>
                <w:color w:val="auto"/>
              </w:rPr>
            </w:pPr>
          </w:p>
        </w:tc>
        <w:tc>
          <w:tcPr>
            <w:tcW w:w="7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4,260</w:t>
            </w:r>
          </w:p>
        </w:tc>
        <w:tc>
          <w:tcPr>
            <w:tcW w:w="100" w:type="dxa"/>
            <w:vAlign w:val="bottom"/>
            <w:tcBorders>
              <w:bottom w:val="single" w:sz="8" w:color="0077C0"/>
            </w:tcBorders>
          </w:tcPr>
          <w:p>
            <w:pPr>
              <w:spacing w:after="0"/>
              <w:rPr>
                <w:sz w:val="19"/>
                <w:szCs w:val="19"/>
                <w:color w:val="auto"/>
              </w:rPr>
            </w:pPr>
          </w:p>
        </w:tc>
        <w:tc>
          <w:tcPr>
            <w:tcW w:w="7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180" w:type="dxa"/>
            <w:vAlign w:val="bottom"/>
            <w:tcBorders>
              <w:bottom w:val="single" w:sz="8" w:color="0077C0"/>
            </w:tcBorders>
          </w:tcPr>
          <w:p>
            <w:pPr>
              <w:spacing w:after="0"/>
              <w:rPr>
                <w:sz w:val="19"/>
                <w:szCs w:val="19"/>
                <w:color w:val="auto"/>
              </w:rPr>
            </w:pP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4,782</w:t>
            </w:r>
          </w:p>
        </w:tc>
      </w:tr>
      <w:tr>
        <w:trPr>
          <w:trHeight w:val="190"/>
        </w:trPr>
        <w:tc>
          <w:tcPr>
            <w:tcW w:w="424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Revenues and Other Income</w:t>
            </w:r>
          </w:p>
        </w:tc>
        <w:tc>
          <w:tcPr>
            <w:tcW w:w="420" w:type="dxa"/>
            <w:vAlign w:val="bottom"/>
            <w:tcBorders>
              <w:bottom w:val="single" w:sz="8" w:color="0077C0"/>
            </w:tcBorders>
          </w:tcPr>
          <w:p>
            <w:pPr>
              <w:spacing w:after="0"/>
              <w:rPr>
                <w:sz w:val="16"/>
                <w:szCs w:val="16"/>
                <w:color w:val="auto"/>
              </w:rPr>
            </w:pPr>
          </w:p>
        </w:tc>
        <w:tc>
          <w:tcPr>
            <w:tcW w:w="6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14,924</w:t>
            </w:r>
          </w:p>
        </w:tc>
        <w:tc>
          <w:tcPr>
            <w:tcW w:w="400" w:type="dxa"/>
            <w:vAlign w:val="bottom"/>
            <w:tcBorders>
              <w:bottom w:val="single" w:sz="8" w:color="0077C0"/>
            </w:tcBorders>
          </w:tcPr>
          <w:p>
            <w:pPr>
              <w:spacing w:after="0"/>
              <w:rPr>
                <w:sz w:val="16"/>
                <w:szCs w:val="16"/>
                <w:color w:val="auto"/>
              </w:rPr>
            </w:pPr>
          </w:p>
        </w:tc>
        <w:tc>
          <w:tcPr>
            <w:tcW w:w="5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39,310</w:t>
            </w:r>
          </w:p>
        </w:tc>
        <w:tc>
          <w:tcPr>
            <w:tcW w:w="44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72,040</w:t>
            </w:r>
          </w:p>
        </w:tc>
        <w:tc>
          <w:tcPr>
            <w:tcW w:w="520" w:type="dxa"/>
            <w:vAlign w:val="bottom"/>
            <w:tcBorders>
              <w:bottom w:val="single" w:sz="8" w:color="0077C0"/>
            </w:tcBorders>
          </w:tcPr>
          <w:p>
            <w:pPr>
              <w:spacing w:after="0"/>
              <w:rPr>
                <w:sz w:val="16"/>
                <w:szCs w:val="16"/>
                <w:color w:val="auto"/>
              </w:rPr>
            </w:pPr>
          </w:p>
        </w:tc>
        <w:tc>
          <w:tcPr>
            <w:tcW w:w="58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75,868</w:t>
            </w:r>
          </w:p>
        </w:tc>
        <w:tc>
          <w:tcPr>
            <w:tcW w:w="280" w:type="dxa"/>
            <w:vAlign w:val="bottom"/>
            <w:tcBorders>
              <w:bottom w:val="single" w:sz="8" w:color="0077C0"/>
            </w:tcBorders>
          </w:tcPr>
          <w:p>
            <w:pPr>
              <w:spacing w:after="0"/>
              <w:rPr>
                <w:sz w:val="16"/>
                <w:szCs w:val="16"/>
                <w:color w:val="auto"/>
              </w:rPr>
            </w:pPr>
          </w:p>
        </w:tc>
        <w:tc>
          <w:tcPr>
            <w:tcW w:w="7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202,142</w:t>
            </w:r>
          </w:p>
        </w:tc>
        <w:tc>
          <w:tcPr>
            <w:tcW w:w="100" w:type="dxa"/>
            <w:vAlign w:val="bottom"/>
            <w:tcBorders>
              <w:bottom w:val="single" w:sz="8" w:color="0077C0"/>
            </w:tcBorders>
          </w:tcPr>
          <w:p>
            <w:pPr>
              <w:spacing w:after="0"/>
              <w:rPr>
                <w:sz w:val="16"/>
                <w:szCs w:val="16"/>
                <w:color w:val="auto"/>
              </w:rPr>
            </w:pPr>
          </w:p>
        </w:tc>
        <w:tc>
          <w:tcPr>
            <w:tcW w:w="7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650</w:t>
            </w:r>
          </w:p>
        </w:tc>
        <w:tc>
          <w:tcPr>
            <w:tcW w:w="180" w:type="dxa"/>
            <w:vAlign w:val="bottom"/>
            <w:tcBorders>
              <w:bottom w:val="single" w:sz="8" w:color="0077C0"/>
            </w:tcBorders>
          </w:tcPr>
          <w:p>
            <w:pPr>
              <w:spacing w:after="0"/>
              <w:rPr>
                <w:sz w:val="16"/>
                <w:szCs w:val="16"/>
                <w:color w:val="auto"/>
              </w:rPr>
            </w:pP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202,792</w:t>
            </w:r>
          </w:p>
        </w:tc>
      </w:tr>
      <w:tr>
        <w:trPr>
          <w:trHeight w:val="272"/>
        </w:trPr>
        <w:tc>
          <w:tcPr>
            <w:tcW w:w="4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Intersegment product transfers</w:t>
            </w:r>
            <w:r>
              <w:rPr>
                <w:rFonts w:ascii="Times New Roman" w:cs="Times New Roman" w:eastAsia="Times New Roman" w:hAnsi="Times New Roman"/>
                <w:sz w:val="18"/>
                <w:szCs w:val="18"/>
                <w:color w:val="auto"/>
                <w:vertAlign w:val="superscript"/>
              </w:rPr>
              <w:t>2</w:t>
            </w:r>
          </w:p>
        </w:tc>
        <w:tc>
          <w:tcPr>
            <w:tcW w:w="4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25,305</w:t>
            </w:r>
          </w:p>
        </w:tc>
        <w:tc>
          <w:tcPr>
            <w:tcW w:w="4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4,190</w:t>
            </w:r>
          </w:p>
        </w:tc>
        <w:tc>
          <w:tcPr>
            <w:tcW w:w="4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(26,845)</w:t>
            </w:r>
          </w:p>
        </w:tc>
        <w:tc>
          <w:tcPr>
            <w:tcW w:w="5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(2,833)</w:t>
            </w: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Less expenses:</w:t>
            </w: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3"/>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Purchased crude oil and products</w:t>
            </w:r>
          </w:p>
        </w:tc>
        <w:tc>
          <w:tcPr>
            <w:tcW w:w="4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13,326</w:t>
            </w:r>
          </w:p>
        </w:tc>
        <w:tc>
          <w:tcPr>
            <w:tcW w:w="4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9,445</w:t>
            </w:r>
          </w:p>
        </w:tc>
        <w:tc>
          <w:tcPr>
            <w:tcW w:w="4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33,514</w:t>
            </w:r>
          </w:p>
        </w:tc>
        <w:tc>
          <w:tcPr>
            <w:tcW w:w="520" w:type="dxa"/>
            <w:vAlign w:val="bottom"/>
          </w:tcPr>
          <w:p>
            <w:pPr>
              <w:spacing w:after="0"/>
              <w:rPr>
                <w:sz w:val="17"/>
                <w:szCs w:val="17"/>
                <w:color w:val="auto"/>
              </w:rPr>
            </w:pP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62,921</w:t>
            </w: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119,206</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119,206</w:t>
            </w:r>
          </w:p>
        </w:tc>
      </w:tr>
      <w:tr>
        <w:trPr>
          <w:trHeight w:val="203"/>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and SG&amp;A expenses</w:t>
            </w:r>
          </w:p>
        </w:tc>
        <w:tc>
          <w:tcPr>
            <w:tcW w:w="4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7,708</w:t>
            </w:r>
          </w:p>
        </w:tc>
        <w:tc>
          <w:tcPr>
            <w:tcW w:w="4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6,412</w:t>
            </w:r>
          </w:p>
        </w:tc>
        <w:tc>
          <w:tcPr>
            <w:tcW w:w="4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9,425</w:t>
            </w:r>
          </w:p>
        </w:tc>
        <w:tc>
          <w:tcPr>
            <w:tcW w:w="520" w:type="dxa"/>
            <w:vAlign w:val="bottom"/>
          </w:tcPr>
          <w:p>
            <w:pPr>
              <w:spacing w:after="0"/>
              <w:rPr>
                <w:sz w:val="17"/>
                <w:szCs w:val="17"/>
                <w:color w:val="auto"/>
              </w:rPr>
            </w:pP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6,034</w:t>
            </w: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29,579</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2,914</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32,493</w:t>
            </w:r>
          </w:p>
        </w:tc>
      </w:tr>
      <w:tr>
        <w:trPr>
          <w:trHeight w:val="203"/>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depletion and amortization</w:t>
            </w:r>
          </w:p>
        </w:tc>
        <w:tc>
          <w:tcPr>
            <w:tcW w:w="4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7,562</w:t>
            </w:r>
          </w:p>
        </w:tc>
        <w:tc>
          <w:tcPr>
            <w:tcW w:w="4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7,935</w:t>
            </w:r>
          </w:p>
        </w:tc>
        <w:tc>
          <w:tcPr>
            <w:tcW w:w="4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1,091</w:t>
            </w:r>
          </w:p>
        </w:tc>
        <w:tc>
          <w:tcPr>
            <w:tcW w:w="520" w:type="dxa"/>
            <w:vAlign w:val="bottom"/>
          </w:tcPr>
          <w:p>
            <w:pPr>
              <w:spacing w:after="0"/>
              <w:rPr>
                <w:sz w:val="17"/>
                <w:szCs w:val="17"/>
                <w:color w:val="auto"/>
              </w:rPr>
            </w:pP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360</w:t>
            </w: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16,948</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17,282</w:t>
            </w:r>
          </w:p>
        </w:tc>
      </w:tr>
      <w:tr>
        <w:trPr>
          <w:trHeight w:val="226"/>
        </w:trPr>
        <w:tc>
          <w:tcPr>
            <w:tcW w:w="424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color w:val="auto"/>
              </w:rPr>
              <w:t>Other costs and deductions</w:t>
            </w:r>
            <w:r>
              <w:rPr>
                <w:rFonts w:ascii="Times New Roman" w:cs="Times New Roman" w:eastAsia="Times New Roman" w:hAnsi="Times New Roman"/>
                <w:sz w:val="18"/>
                <w:szCs w:val="18"/>
                <w:color w:val="auto"/>
                <w:vertAlign w:val="superscript"/>
              </w:rPr>
              <w:t>3</w:t>
            </w:r>
          </w:p>
        </w:tc>
        <w:tc>
          <w:tcPr>
            <w:tcW w:w="420" w:type="dxa"/>
            <w:vAlign w:val="bottom"/>
            <w:tcBorders>
              <w:bottom w:val="single" w:sz="8" w:color="0077C0"/>
            </w:tcBorders>
          </w:tcPr>
          <w:p>
            <w:pPr>
              <w:spacing w:after="0"/>
              <w:rPr>
                <w:sz w:val="19"/>
                <w:szCs w:val="19"/>
                <w:color w:val="auto"/>
              </w:rPr>
            </w:pPr>
          </w:p>
        </w:tc>
        <w:tc>
          <w:tcPr>
            <w:tcW w:w="6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1,805</w:t>
            </w:r>
          </w:p>
        </w:tc>
        <w:tc>
          <w:tcPr>
            <w:tcW w:w="400" w:type="dxa"/>
            <w:vAlign w:val="bottom"/>
            <w:tcBorders>
              <w:bottom w:val="single" w:sz="8" w:color="0077C0"/>
            </w:tcBorders>
          </w:tcPr>
          <w:p>
            <w:pPr>
              <w:spacing w:after="0"/>
              <w:rPr>
                <w:sz w:val="19"/>
                <w:szCs w:val="19"/>
                <w:color w:val="auto"/>
              </w:rPr>
            </w:pPr>
          </w:p>
        </w:tc>
        <w:tc>
          <w:tcPr>
            <w:tcW w:w="5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1,156</w:t>
            </w:r>
          </w:p>
        </w:tc>
        <w:tc>
          <w:tcPr>
            <w:tcW w:w="440" w:type="dxa"/>
            <w:vAlign w:val="bottom"/>
            <w:tcBorders>
              <w:bottom w:val="single" w:sz="8" w:color="0077C0"/>
            </w:tcBorders>
          </w:tcPr>
          <w:p>
            <w:pPr>
              <w:spacing w:after="0"/>
              <w:rPr>
                <w:sz w:val="19"/>
                <w:szCs w:val="19"/>
                <w:color w:val="auto"/>
              </w:rPr>
            </w:pP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520" w:type="dxa"/>
            <w:vAlign w:val="bottom"/>
            <w:tcBorders>
              <w:bottom w:val="single" w:sz="8" w:color="0077C0"/>
            </w:tcBorders>
          </w:tcPr>
          <w:p>
            <w:pPr>
              <w:spacing w:after="0"/>
              <w:rPr>
                <w:sz w:val="19"/>
                <w:szCs w:val="19"/>
                <w:color w:val="auto"/>
              </w:rPr>
            </w:pPr>
          </w:p>
        </w:tc>
        <w:tc>
          <w:tcPr>
            <w:tcW w:w="58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2,071</w:t>
            </w:r>
          </w:p>
        </w:tc>
        <w:tc>
          <w:tcPr>
            <w:tcW w:w="280" w:type="dxa"/>
            <w:vAlign w:val="bottom"/>
            <w:tcBorders>
              <w:bottom w:val="single" w:sz="8" w:color="0077C0"/>
            </w:tcBorders>
          </w:tcPr>
          <w:p>
            <w:pPr>
              <w:spacing w:after="0"/>
              <w:rPr>
                <w:sz w:val="19"/>
                <w:szCs w:val="19"/>
                <w:color w:val="auto"/>
              </w:rPr>
            </w:pPr>
          </w:p>
        </w:tc>
        <w:tc>
          <w:tcPr>
            <w:tcW w:w="7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5,582</w:t>
            </w:r>
          </w:p>
        </w:tc>
        <w:tc>
          <w:tcPr>
            <w:tcW w:w="100" w:type="dxa"/>
            <w:vAlign w:val="bottom"/>
            <w:tcBorders>
              <w:bottom w:val="single" w:sz="8" w:color="0077C0"/>
            </w:tcBorders>
          </w:tcPr>
          <w:p>
            <w:pPr>
              <w:spacing w:after="0"/>
              <w:rPr>
                <w:sz w:val="19"/>
                <w:szCs w:val="19"/>
                <w:color w:val="auto"/>
              </w:rPr>
            </w:pPr>
          </w:p>
        </w:tc>
        <w:tc>
          <w:tcPr>
            <w:tcW w:w="7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80" w:type="dxa"/>
            <w:vAlign w:val="bottom"/>
            <w:tcBorders>
              <w:bottom w:val="single" w:sz="8" w:color="0077C0"/>
            </w:tcBorders>
          </w:tcPr>
          <w:p>
            <w:pPr>
              <w:spacing w:after="0"/>
              <w:rPr>
                <w:sz w:val="19"/>
                <w:szCs w:val="19"/>
                <w:color w:val="auto"/>
              </w:rPr>
            </w:pP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6,305</w:t>
            </w:r>
          </w:p>
        </w:tc>
      </w:tr>
      <w:tr>
        <w:trPr>
          <w:trHeight w:val="190"/>
        </w:trPr>
        <w:tc>
          <w:tcPr>
            <w:tcW w:w="424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Costs and Other Deductions</w:t>
            </w:r>
          </w:p>
        </w:tc>
        <w:tc>
          <w:tcPr>
            <w:tcW w:w="420" w:type="dxa"/>
            <w:vAlign w:val="bottom"/>
            <w:tcBorders>
              <w:bottom w:val="single" w:sz="8" w:color="0077C0"/>
            </w:tcBorders>
          </w:tcPr>
          <w:p>
            <w:pPr>
              <w:spacing w:after="0"/>
              <w:rPr>
                <w:sz w:val="16"/>
                <w:szCs w:val="16"/>
                <w:color w:val="auto"/>
              </w:rPr>
            </w:pPr>
          </w:p>
        </w:tc>
        <w:tc>
          <w:tcPr>
            <w:tcW w:w="6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30,401</w:t>
            </w:r>
          </w:p>
        </w:tc>
        <w:tc>
          <w:tcPr>
            <w:tcW w:w="400" w:type="dxa"/>
            <w:vAlign w:val="bottom"/>
            <w:tcBorders>
              <w:bottom w:val="single" w:sz="8" w:color="0077C0"/>
            </w:tcBorders>
          </w:tcPr>
          <w:p>
            <w:pPr>
              <w:spacing w:after="0"/>
              <w:rPr>
                <w:sz w:val="16"/>
                <w:szCs w:val="16"/>
                <w:color w:val="auto"/>
              </w:rPr>
            </w:pPr>
          </w:p>
        </w:tc>
        <w:tc>
          <w:tcPr>
            <w:tcW w:w="5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24,948</w:t>
            </w:r>
          </w:p>
        </w:tc>
        <w:tc>
          <w:tcPr>
            <w:tcW w:w="44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44,580</w:t>
            </w:r>
          </w:p>
        </w:tc>
        <w:tc>
          <w:tcPr>
            <w:tcW w:w="520" w:type="dxa"/>
            <w:vAlign w:val="bottom"/>
            <w:tcBorders>
              <w:bottom w:val="single" w:sz="8" w:color="0077C0"/>
            </w:tcBorders>
          </w:tcPr>
          <w:p>
            <w:pPr>
              <w:spacing w:after="0"/>
              <w:rPr>
                <w:sz w:val="16"/>
                <w:szCs w:val="16"/>
                <w:color w:val="auto"/>
              </w:rPr>
            </w:pPr>
          </w:p>
        </w:tc>
        <w:tc>
          <w:tcPr>
            <w:tcW w:w="58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71,386</w:t>
            </w:r>
          </w:p>
        </w:tc>
        <w:tc>
          <w:tcPr>
            <w:tcW w:w="280" w:type="dxa"/>
            <w:vAlign w:val="bottom"/>
            <w:tcBorders>
              <w:bottom w:val="single" w:sz="8" w:color="0077C0"/>
            </w:tcBorders>
          </w:tcPr>
          <w:p>
            <w:pPr>
              <w:spacing w:after="0"/>
              <w:rPr>
                <w:sz w:val="16"/>
                <w:szCs w:val="16"/>
                <w:color w:val="auto"/>
              </w:rPr>
            </w:pPr>
          </w:p>
        </w:tc>
        <w:tc>
          <w:tcPr>
            <w:tcW w:w="7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171,315</w:t>
            </w:r>
          </w:p>
        </w:tc>
        <w:tc>
          <w:tcPr>
            <w:tcW w:w="100" w:type="dxa"/>
            <w:vAlign w:val="bottom"/>
            <w:tcBorders>
              <w:bottom w:val="single" w:sz="8" w:color="0077C0"/>
            </w:tcBorders>
          </w:tcPr>
          <w:p>
            <w:pPr>
              <w:spacing w:after="0"/>
              <w:rPr>
                <w:sz w:val="16"/>
                <w:szCs w:val="16"/>
                <w:color w:val="auto"/>
              </w:rPr>
            </w:pPr>
          </w:p>
        </w:tc>
        <w:tc>
          <w:tcPr>
            <w:tcW w:w="7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3,971</w:t>
            </w:r>
          </w:p>
        </w:tc>
        <w:tc>
          <w:tcPr>
            <w:tcW w:w="180" w:type="dxa"/>
            <w:vAlign w:val="bottom"/>
            <w:tcBorders>
              <w:bottom w:val="single" w:sz="8" w:color="0077C0"/>
            </w:tcBorders>
          </w:tcPr>
          <w:p>
            <w:pPr>
              <w:spacing w:after="0"/>
              <w:rPr>
                <w:sz w:val="16"/>
                <w:szCs w:val="16"/>
                <w:color w:val="auto"/>
              </w:rPr>
            </w:pP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175,286</w:t>
            </w:r>
          </w:p>
        </w:tc>
      </w:tr>
      <w:tr>
        <w:trPr>
          <w:trHeight w:val="260"/>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4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2,198</w:t>
            </w:r>
          </w:p>
        </w:tc>
        <w:tc>
          <w:tcPr>
            <w:tcW w:w="4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7,548</w:t>
            </w:r>
          </w:p>
        </w:tc>
        <w:tc>
          <w:tcPr>
            <w:tcW w:w="4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52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397</w:t>
            </w:r>
          </w:p>
        </w:tc>
        <w:tc>
          <w:tcPr>
            <w:tcW w:w="2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10,227</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9,757</w:t>
            </w:r>
          </w:p>
        </w:tc>
      </w:tr>
      <w:tr>
        <w:trPr>
          <w:trHeight w:val="23"/>
        </w:trPr>
        <w:tc>
          <w:tcPr>
            <w:tcW w:w="4240" w:type="dxa"/>
            <w:vAlign w:val="bottom"/>
            <w:tcBorders>
              <w:bottom w:val="single" w:sz="8" w:color="0077C0"/>
            </w:tcBorders>
          </w:tcPr>
          <w:p>
            <w:pPr>
              <w:spacing w:after="0"/>
              <w:rPr>
                <w:sz w:val="2"/>
                <w:szCs w:val="2"/>
                <w:color w:val="auto"/>
              </w:rPr>
            </w:pPr>
          </w:p>
        </w:tc>
        <w:tc>
          <w:tcPr>
            <w:tcW w:w="42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40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44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740" w:type="dxa"/>
            <w:vAlign w:val="bottom"/>
            <w:tcBorders>
              <w:bottom w:val="single" w:sz="8" w:color="0077C0"/>
            </w:tcBorders>
          </w:tcPr>
          <w:p>
            <w:pPr>
              <w:spacing w:after="0"/>
              <w:rPr>
                <w:sz w:val="2"/>
                <w:szCs w:val="2"/>
                <w:color w:val="auto"/>
              </w:rPr>
            </w:pPr>
          </w:p>
        </w:tc>
        <w:tc>
          <w:tcPr>
            <w:tcW w:w="100" w:type="dxa"/>
            <w:vAlign w:val="bottom"/>
            <w:tcBorders>
              <w:bottom w:val="single" w:sz="8" w:color="0077C0"/>
            </w:tcBorders>
          </w:tcPr>
          <w:p>
            <w:pPr>
              <w:spacing w:after="0"/>
              <w:rPr>
                <w:sz w:val="2"/>
                <w:szCs w:val="2"/>
                <w:color w:val="auto"/>
              </w:rPr>
            </w:pPr>
          </w:p>
        </w:tc>
        <w:tc>
          <w:tcPr>
            <w:tcW w:w="740" w:type="dxa"/>
            <w:vAlign w:val="bottom"/>
            <w:tcBorders>
              <w:bottom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720" w:type="dxa"/>
            <w:vAlign w:val="bottom"/>
            <w:tcBorders>
              <w:bottom w:val="single" w:sz="8" w:color="0077C0"/>
            </w:tcBorders>
          </w:tcPr>
          <w:p>
            <w:pPr>
              <w:spacing w:after="0"/>
              <w:rPr>
                <w:sz w:val="2"/>
                <w:szCs w:val="2"/>
                <w:color w:val="auto"/>
              </w:rPr>
            </w:pPr>
          </w:p>
        </w:tc>
      </w:tr>
      <w:tr>
        <w:trPr>
          <w:trHeight w:val="190"/>
        </w:trPr>
        <w:tc>
          <w:tcPr>
            <w:tcW w:w="4240" w:type="dxa"/>
            <w:vAlign w:val="bottom"/>
            <w:tcBorders>
              <w:bottom w:val="single" w:sz="8" w:color="0077C0"/>
            </w:tcBorders>
          </w:tcPr>
          <w:p>
            <w:pPr>
              <w:ind w:left="360"/>
              <w:spacing w:after="0"/>
              <w:rPr>
                <w:sz w:val="20"/>
                <w:szCs w:val="20"/>
                <w:color w:val="auto"/>
              </w:rPr>
            </w:pPr>
            <w:r>
              <w:rPr>
                <w:rFonts w:ascii="Times New Roman" w:cs="Times New Roman" w:eastAsia="Times New Roman" w:hAnsi="Times New Roman"/>
                <w:sz w:val="14"/>
                <w:szCs w:val="14"/>
                <w:color w:val="auto"/>
              </w:rPr>
              <w:t>Less: Net income (loss) attributable to non-controlling interests</w:t>
            </w:r>
          </w:p>
        </w:tc>
        <w:tc>
          <w:tcPr>
            <w:tcW w:w="420" w:type="dxa"/>
            <w:vAlign w:val="bottom"/>
            <w:tcBorders>
              <w:bottom w:val="single" w:sz="8" w:color="0077C0"/>
            </w:tcBorders>
          </w:tcPr>
          <w:p>
            <w:pPr>
              <w:spacing w:after="0"/>
              <w:rPr>
                <w:sz w:val="16"/>
                <w:szCs w:val="16"/>
                <w:color w:val="auto"/>
              </w:rPr>
            </w:pPr>
          </w:p>
        </w:tc>
        <w:tc>
          <w:tcPr>
            <w:tcW w:w="6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400" w:type="dxa"/>
            <w:vAlign w:val="bottom"/>
            <w:tcBorders>
              <w:bottom w:val="single" w:sz="8" w:color="0077C0"/>
            </w:tcBorders>
          </w:tcPr>
          <w:p>
            <w:pPr>
              <w:spacing w:after="0"/>
              <w:rPr>
                <w:sz w:val="16"/>
                <w:szCs w:val="16"/>
                <w:color w:val="auto"/>
              </w:rPr>
            </w:pPr>
          </w:p>
        </w:tc>
        <w:tc>
          <w:tcPr>
            <w:tcW w:w="5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4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0077C0"/>
            </w:tcBorders>
          </w:tcPr>
          <w:p>
            <w:pPr>
              <w:spacing w:after="0"/>
              <w:rPr>
                <w:sz w:val="16"/>
                <w:szCs w:val="16"/>
                <w:color w:val="auto"/>
              </w:rPr>
            </w:pPr>
          </w:p>
        </w:tc>
        <w:tc>
          <w:tcPr>
            <w:tcW w:w="58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56</w:t>
            </w:r>
          </w:p>
        </w:tc>
        <w:tc>
          <w:tcPr>
            <w:tcW w:w="280" w:type="dxa"/>
            <w:vAlign w:val="bottom"/>
            <w:tcBorders>
              <w:bottom w:val="single" w:sz="8" w:color="0077C0"/>
            </w:tcBorders>
          </w:tcPr>
          <w:p>
            <w:pPr>
              <w:spacing w:after="0"/>
              <w:rPr>
                <w:sz w:val="16"/>
                <w:szCs w:val="16"/>
                <w:color w:val="auto"/>
              </w:rPr>
            </w:pPr>
          </w:p>
        </w:tc>
        <w:tc>
          <w:tcPr>
            <w:tcW w:w="7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Borders>
              <w:bottom w:val="single" w:sz="8" w:color="0077C0"/>
            </w:tcBorders>
          </w:tcPr>
          <w:p>
            <w:pPr>
              <w:spacing w:after="0"/>
              <w:rPr>
                <w:sz w:val="16"/>
                <w:szCs w:val="16"/>
                <w:color w:val="auto"/>
              </w:rPr>
            </w:pPr>
          </w:p>
        </w:tc>
        <w:tc>
          <w:tcPr>
            <w:tcW w:w="7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0077C0"/>
            </w:tcBorders>
          </w:tcPr>
          <w:p>
            <w:pPr>
              <w:spacing w:after="0"/>
              <w:rPr>
                <w:sz w:val="16"/>
                <w:szCs w:val="16"/>
                <w:color w:val="auto"/>
              </w:rPr>
            </w:pP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88</w:t>
            </w:r>
          </w:p>
        </w:tc>
      </w:tr>
      <w:tr>
        <w:trPr>
          <w:trHeight w:val="190"/>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 Attributable to Chevron Corporation</w:t>
            </w:r>
          </w:p>
        </w:tc>
        <w:tc>
          <w:tcPr>
            <w:tcW w:w="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7,602</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11,000</w:t>
            </w:r>
          </w:p>
        </w:tc>
        <w:tc>
          <w:tcPr>
            <w:tcW w:w="4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531</w:t>
            </w:r>
          </w:p>
        </w:tc>
        <w:tc>
          <w:tcPr>
            <w:tcW w:w="5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1,196</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20,329</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(2,668)</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17,661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 w:lineRule="exact"/>
        <w:rPr>
          <w:sz w:val="20"/>
          <w:szCs w:val="20"/>
          <w:color w:val="auto"/>
        </w:rPr>
      </w:pPr>
    </w:p>
    <w:p>
      <w:pPr>
        <w:ind w:left="21"/>
        <w:spacing w:after="0"/>
        <w:rPr>
          <w:sz w:val="20"/>
          <w:szCs w:val="20"/>
          <w:color w:val="auto"/>
        </w:rPr>
      </w:pPr>
      <w:r>
        <w:rPr>
          <w:rFonts w:ascii="Times New Roman" w:cs="Times New Roman" w:eastAsia="Times New Roman" w:hAnsi="Times New Roman"/>
          <w:sz w:val="13"/>
          <w:szCs w:val="13"/>
          <w:color w:val="auto"/>
        </w:rPr>
        <w:t>Values have been adjusted for eliminations, unless otherwise specified.</w:t>
      </w:r>
    </w:p>
    <w:p>
      <w:pPr>
        <w:spacing w:after="0" w:line="47" w:lineRule="exact"/>
        <w:rPr>
          <w:sz w:val="20"/>
          <w:szCs w:val="20"/>
          <w:color w:val="auto"/>
        </w:rPr>
      </w:pPr>
    </w:p>
    <w:p>
      <w:pPr>
        <w:ind w:left="61" w:hanging="61"/>
        <w:spacing w:after="0"/>
        <w:tabs>
          <w:tab w:leader="none" w:pos="61" w:val="left"/>
        </w:tabs>
        <w:numPr>
          <w:ilvl w:val="0"/>
          <w:numId w:val="3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Includes interest income of $296 in “All Other.”</w:t>
      </w:r>
    </w:p>
    <w:p>
      <w:pPr>
        <w:spacing w:after="0" w:line="113" w:lineRule="exact"/>
        <w:rPr>
          <w:sz w:val="20"/>
          <w:szCs w:val="20"/>
          <w:color w:val="auto"/>
        </w:rPr>
      </w:pPr>
    </w:p>
    <w:p>
      <w:pPr>
        <w:ind w:left="81" w:hanging="54"/>
        <w:spacing w:after="0"/>
        <w:tabs>
          <w:tab w:leader="none" w:pos="81" w:val="left"/>
        </w:tabs>
        <w:numPr>
          <w:ilvl w:val="0"/>
          <w:numId w:val="3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Valuation of product transfers between operating segments.</w:t>
      </w:r>
    </w:p>
    <w:p>
      <w:pPr>
        <w:spacing w:after="0" w:line="127" w:lineRule="exact"/>
        <w:rPr>
          <w:sz w:val="20"/>
          <w:szCs w:val="20"/>
          <w:color w:val="auto"/>
        </w:rPr>
      </w:pPr>
    </w:p>
    <w:p>
      <w:pPr>
        <w:ind w:left="81" w:hanging="54"/>
        <w:spacing w:after="0"/>
        <w:tabs>
          <w:tab w:leader="none" w:pos="81" w:val="left"/>
        </w:tabs>
        <w:numPr>
          <w:ilvl w:val="0"/>
          <w:numId w:val="3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Includes interest expense of $539 in “All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230505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1"/>
          </w:cols>
          <w:pgMar w:left="319" w:top="184"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04"/>
        </w:trPr>
        <w:tc>
          <w:tcPr>
            <w:tcW w:w="4160" w:type="dxa"/>
            <w:vAlign w:val="bottom"/>
          </w:tcPr>
          <w:p>
            <w:pPr>
              <w:ind w:left="20"/>
              <w:spacing w:after="0"/>
              <w:rPr>
                <w:sz w:val="20"/>
                <w:szCs w:val="20"/>
                <w:color w:val="auto"/>
              </w:rPr>
            </w:pPr>
            <w:r>
              <w:rPr>
                <w:rFonts w:ascii="Arial" w:cs="Arial" w:eastAsia="Arial" w:hAnsi="Arial"/>
                <w:sz w:val="14"/>
                <w:szCs w:val="14"/>
                <w:color w:val="0077C0"/>
              </w:rPr>
              <w:t>Notes to the Consolidated Financial Statements</w:t>
            </w: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40" w:type="dxa"/>
            <w:vAlign w:val="bottom"/>
            <w:gridSpan w:val="4"/>
          </w:tcPr>
          <w:p>
            <w:pPr>
              <w:jc w:val="right"/>
              <w:spacing w:after="0"/>
              <w:rPr>
                <w:sz w:val="20"/>
                <w:szCs w:val="20"/>
                <w:color w:val="auto"/>
              </w:rPr>
            </w:pPr>
            <w:r>
              <w:rPr>
                <w:rFonts w:ascii="Arial" w:cs="Arial" w:eastAsia="Arial" w:hAnsi="Arial"/>
                <w:sz w:val="14"/>
                <w:szCs w:val="14"/>
                <w:color w:val="0077C0"/>
              </w:rPr>
              <w:t>Financial Table of Contents</w:t>
            </w:r>
          </w:p>
        </w:tc>
      </w:tr>
      <w:tr>
        <w:trPr>
          <w:trHeight w:val="150"/>
        </w:trPr>
        <w:tc>
          <w:tcPr>
            <w:tcW w:w="4160" w:type="dxa"/>
            <w:vAlign w:val="bottom"/>
          </w:tcPr>
          <w:p>
            <w:pPr>
              <w:ind w:left="60"/>
              <w:spacing w:after="0"/>
              <w:rPr>
                <w:sz w:val="20"/>
                <w:szCs w:val="20"/>
                <w:color w:val="auto"/>
              </w:rPr>
            </w:pPr>
            <w:r>
              <w:rPr>
                <w:rFonts w:ascii="Arial" w:cs="Arial" w:eastAsia="Arial" w:hAnsi="Arial"/>
                <w:sz w:val="11"/>
                <w:szCs w:val="11"/>
                <w:color w:val="0077C0"/>
              </w:rPr>
              <w:t>Millions of dollars, except per-share amounts</w:t>
            </w: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833"/>
        </w:trPr>
        <w:tc>
          <w:tcPr>
            <w:tcW w:w="4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Upstream</w:t>
            </w: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Downstream</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
        </w:trPr>
        <w:tc>
          <w:tcPr>
            <w:tcW w:w="4160" w:type="dxa"/>
            <w:vAlign w:val="bottom"/>
          </w:tcPr>
          <w:p>
            <w:pPr>
              <w:spacing w:after="0"/>
              <w:rPr>
                <w:sz w:val="2"/>
                <w:szCs w:val="2"/>
                <w:color w:val="auto"/>
              </w:rPr>
            </w:pPr>
          </w:p>
        </w:tc>
        <w:tc>
          <w:tcPr>
            <w:tcW w:w="42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46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44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10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U.S.</w:t>
            </w:r>
          </w:p>
        </w:tc>
        <w:tc>
          <w:tcPr>
            <w:tcW w:w="64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Int'l.</w:t>
            </w:r>
          </w:p>
        </w:tc>
        <w:tc>
          <w:tcPr>
            <w:tcW w:w="62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U.S.</w:t>
            </w:r>
          </w:p>
        </w:tc>
        <w:tc>
          <w:tcPr>
            <w:tcW w:w="64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Int'l.</w:t>
            </w:r>
          </w:p>
        </w:tc>
        <w:tc>
          <w:tcPr>
            <w:tcW w:w="5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Segment Total</w:t>
            </w:r>
          </w:p>
        </w:tc>
        <w:tc>
          <w:tcPr>
            <w:tcW w:w="14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00" w:type="dxa"/>
            <w:vAlign w:val="bottom"/>
          </w:tcPr>
          <w:p>
            <w:pPr>
              <w:spacing w:after="0"/>
              <w:rPr>
                <w:sz w:val="18"/>
                <w:szCs w:val="18"/>
                <w:color w:val="auto"/>
              </w:rPr>
            </w:pPr>
          </w:p>
        </w:tc>
        <w:tc>
          <w:tcPr>
            <w:tcW w:w="7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160" w:type="dxa"/>
            <w:vAlign w:val="bottom"/>
            <w:tcBorders>
              <w:bottom w:val="single" w:sz="8" w:color="0077C0"/>
            </w:tcBorders>
          </w:tcPr>
          <w:p>
            <w:pPr>
              <w:spacing w:after="0"/>
              <w:rPr>
                <w:sz w:val="2"/>
                <w:szCs w:val="2"/>
                <w:color w:val="auto"/>
              </w:rPr>
            </w:pPr>
          </w:p>
        </w:tc>
        <w:tc>
          <w:tcPr>
            <w:tcW w:w="42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46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44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c>
          <w:tcPr>
            <w:tcW w:w="14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r>
      <w:tr>
        <w:trPr>
          <w:trHeight w:val="182"/>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other operating revenues before elimination</w:t>
            </w:r>
          </w:p>
        </w:tc>
        <w:tc>
          <w:tcPr>
            <w:tcW w:w="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40,115</w:t>
            </w:r>
          </w:p>
        </w:tc>
        <w:tc>
          <w:tcPr>
            <w:tcW w:w="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43,805</w:t>
            </w:r>
          </w:p>
        </w:tc>
        <w:tc>
          <w:tcPr>
            <w:tcW w:w="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83,567</w:t>
            </w:r>
          </w:p>
        </w:tc>
        <w:tc>
          <w:tcPr>
            <w:tcW w:w="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78,058</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245,545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246,142</w:t>
            </w:r>
          </w:p>
        </w:tc>
      </w:tr>
      <w:tr>
        <w:trPr>
          <w:trHeight w:val="193"/>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Intersegment revenue elimination</w:t>
            </w:r>
          </w:p>
        </w:tc>
        <w:tc>
          <w:tcPr>
            <w:tcW w:w="4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(26,307)</w:t>
            </w:r>
          </w:p>
        </w:tc>
        <w:tc>
          <w:tcPr>
            <w:tcW w:w="4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(11,871)</w:t>
            </w:r>
          </w:p>
        </w:tc>
        <w:tc>
          <w:tcPr>
            <w:tcW w:w="4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(8,793)</w:t>
            </w:r>
          </w:p>
        </w:tc>
        <w:tc>
          <w:tcPr>
            <w:tcW w:w="5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(1,794)</w:t>
            </w: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(48,765)</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(49,229)</w:t>
            </w:r>
          </w:p>
        </w:tc>
      </w:tr>
      <w:tr>
        <w:trPr>
          <w:trHeight w:val="23"/>
        </w:trPr>
        <w:tc>
          <w:tcPr>
            <w:tcW w:w="4160" w:type="dxa"/>
            <w:vAlign w:val="bottom"/>
            <w:tcBorders>
              <w:bottom w:val="single" w:sz="8" w:color="0077C0"/>
            </w:tcBorders>
          </w:tcPr>
          <w:p>
            <w:pPr>
              <w:spacing w:after="0"/>
              <w:rPr>
                <w:sz w:val="2"/>
                <w:szCs w:val="2"/>
                <w:color w:val="auto"/>
              </w:rPr>
            </w:pPr>
          </w:p>
        </w:tc>
        <w:tc>
          <w:tcPr>
            <w:tcW w:w="42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46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44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c>
          <w:tcPr>
            <w:tcW w:w="14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r>
      <w:tr>
        <w:trPr>
          <w:trHeight w:val="190"/>
        </w:trPr>
        <w:tc>
          <w:tcPr>
            <w:tcW w:w="41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Sales and Other Operating Revenues</w:t>
            </w:r>
          </w:p>
        </w:tc>
        <w:tc>
          <w:tcPr>
            <w:tcW w:w="42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13,808</w:t>
            </w:r>
          </w:p>
        </w:tc>
        <w:tc>
          <w:tcPr>
            <w:tcW w:w="46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31,934</w:t>
            </w:r>
          </w:p>
        </w:tc>
        <w:tc>
          <w:tcPr>
            <w:tcW w:w="44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74,774</w:t>
            </w:r>
          </w:p>
        </w:tc>
        <w:tc>
          <w:tcPr>
            <w:tcW w:w="520" w:type="dxa"/>
            <w:vAlign w:val="bottom"/>
            <w:tcBorders>
              <w:bottom w:val="single" w:sz="8" w:color="0077C0"/>
            </w:tcBorders>
          </w:tcPr>
          <w:p>
            <w:pPr>
              <w:spacing w:after="0"/>
              <w:rPr>
                <w:sz w:val="16"/>
                <w:szCs w:val="16"/>
                <w:color w:val="auto"/>
              </w:rPr>
            </w:pPr>
          </w:p>
        </w:tc>
        <w:tc>
          <w:tcPr>
            <w:tcW w:w="58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76,264</w:t>
            </w:r>
          </w:p>
        </w:tc>
        <w:tc>
          <w:tcPr>
            <w:tcW w:w="300" w:type="dxa"/>
            <w:vAlign w:val="bottom"/>
            <w:tcBorders>
              <w:bottom w:val="single" w:sz="8" w:color="0077C0"/>
            </w:tcBorders>
          </w:tcPr>
          <w:p>
            <w:pPr>
              <w:spacing w:after="0"/>
              <w:rPr>
                <w:sz w:val="16"/>
                <w:szCs w:val="16"/>
                <w:color w:val="auto"/>
              </w:rPr>
            </w:pPr>
          </w:p>
        </w:tc>
        <w:tc>
          <w:tcPr>
            <w:tcW w:w="7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196,780</w:t>
            </w:r>
          </w:p>
        </w:tc>
        <w:tc>
          <w:tcPr>
            <w:tcW w:w="140" w:type="dxa"/>
            <w:vAlign w:val="bottom"/>
            <w:tcBorders>
              <w:bottom w:val="single" w:sz="8" w:color="0077C0"/>
            </w:tcBorders>
          </w:tcPr>
          <w:p>
            <w:pPr>
              <w:spacing w:after="0"/>
              <w:rPr>
                <w:sz w:val="16"/>
                <w:szCs w:val="16"/>
                <w:color w:val="auto"/>
              </w:rPr>
            </w:pPr>
          </w:p>
        </w:tc>
        <w:tc>
          <w:tcPr>
            <w:tcW w:w="7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133</w:t>
            </w:r>
          </w:p>
        </w:tc>
        <w:tc>
          <w:tcPr>
            <w:tcW w:w="200" w:type="dxa"/>
            <w:vAlign w:val="bottom"/>
            <w:tcBorders>
              <w:bottom w:val="single" w:sz="8" w:color="0077C0"/>
            </w:tcBorders>
          </w:tcPr>
          <w:p>
            <w:pPr>
              <w:spacing w:after="0"/>
              <w:rPr>
                <w:sz w:val="16"/>
                <w:szCs w:val="16"/>
                <w:color w:val="auto"/>
              </w:rPr>
            </w:pPr>
          </w:p>
        </w:tc>
        <w:tc>
          <w:tcPr>
            <w:tcW w:w="7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196,913</w:t>
            </w:r>
          </w:p>
        </w:tc>
      </w:tr>
      <w:tr>
        <w:trPr>
          <w:trHeight w:val="260"/>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from equity affiliates</w:t>
            </w:r>
          </w:p>
        </w:tc>
        <w:tc>
          <w:tcPr>
            <w:tcW w:w="4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4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4,272</w:t>
            </w:r>
          </w:p>
        </w:tc>
        <w:tc>
          <w:tcPr>
            <w:tcW w:w="4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52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519</w:t>
            </w:r>
          </w:p>
        </w:tc>
        <w:tc>
          <w:tcPr>
            <w:tcW w:w="3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5,140</w:t>
            </w: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5,131</w:t>
            </w:r>
          </w:p>
        </w:tc>
      </w:tr>
      <w:tr>
        <w:trPr>
          <w:trHeight w:val="226"/>
        </w:trPr>
        <w:tc>
          <w:tcPr>
            <w:tcW w:w="41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color w:val="auto"/>
              </w:rPr>
              <w:t>Other income (loss)</w:t>
            </w:r>
            <w:r>
              <w:rPr>
                <w:rFonts w:ascii="Times New Roman" w:cs="Times New Roman" w:eastAsia="Times New Roman" w:hAnsi="Times New Roman"/>
                <w:sz w:val="18"/>
                <w:szCs w:val="18"/>
                <w:color w:val="auto"/>
                <w:vertAlign w:val="superscript"/>
              </w:rPr>
              <w:t>1</w:t>
            </w:r>
          </w:p>
        </w:tc>
        <w:tc>
          <w:tcPr>
            <w:tcW w:w="420" w:type="dxa"/>
            <w:vAlign w:val="bottom"/>
            <w:tcBorders>
              <w:bottom w:val="single" w:sz="8" w:color="0077C0"/>
            </w:tcBorders>
          </w:tcPr>
          <w:p>
            <w:pPr>
              <w:spacing w:after="0"/>
              <w:rPr>
                <w:sz w:val="19"/>
                <w:szCs w:val="19"/>
                <w:color w:val="auto"/>
              </w:rPr>
            </w:pP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(2,536)</w:t>
            </w:r>
          </w:p>
        </w:tc>
        <w:tc>
          <w:tcPr>
            <w:tcW w:w="46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776</w:t>
            </w:r>
          </w:p>
        </w:tc>
        <w:tc>
          <w:tcPr>
            <w:tcW w:w="440" w:type="dxa"/>
            <w:vAlign w:val="bottom"/>
            <w:tcBorders>
              <w:bottom w:val="single" w:sz="8" w:color="0077C0"/>
            </w:tcBorders>
          </w:tcPr>
          <w:p>
            <w:pPr>
              <w:spacing w:after="0"/>
              <w:rPr>
                <w:sz w:val="19"/>
                <w:szCs w:val="19"/>
                <w:color w:val="auto"/>
              </w:rPr>
            </w:pP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520" w:type="dxa"/>
            <w:vAlign w:val="bottom"/>
            <w:tcBorders>
              <w:bottom w:val="single" w:sz="8" w:color="0077C0"/>
            </w:tcBorders>
          </w:tcPr>
          <w:p>
            <w:pPr>
              <w:spacing w:after="0"/>
              <w:rPr>
                <w:sz w:val="19"/>
                <w:szCs w:val="19"/>
                <w:color w:val="auto"/>
              </w:rPr>
            </w:pPr>
          </w:p>
        </w:tc>
        <w:tc>
          <w:tcPr>
            <w:tcW w:w="58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39</w:t>
            </w:r>
          </w:p>
        </w:tc>
        <w:tc>
          <w:tcPr>
            <w:tcW w:w="300" w:type="dxa"/>
            <w:vAlign w:val="bottom"/>
            <w:tcBorders>
              <w:bottom w:val="single" w:sz="8" w:color="0077C0"/>
            </w:tcBorders>
          </w:tcPr>
          <w:p>
            <w:pPr>
              <w:spacing w:after="0"/>
              <w:rPr>
                <w:sz w:val="19"/>
                <w:szCs w:val="19"/>
                <w:color w:val="auto"/>
              </w:rPr>
            </w:pPr>
          </w:p>
        </w:tc>
        <w:tc>
          <w:tcPr>
            <w:tcW w:w="7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140" w:type="dxa"/>
            <w:vAlign w:val="bottom"/>
            <w:tcBorders>
              <w:bottom w:val="single" w:sz="8" w:color="0077C0"/>
            </w:tcBorders>
          </w:tcPr>
          <w:p>
            <w:pPr>
              <w:spacing w:after="0"/>
              <w:rPr>
                <w:sz w:val="19"/>
                <w:szCs w:val="19"/>
                <w:color w:val="auto"/>
              </w:rPr>
            </w:pPr>
          </w:p>
        </w:tc>
        <w:tc>
          <w:tcPr>
            <w:tcW w:w="7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200" w:type="dxa"/>
            <w:vAlign w:val="bottom"/>
            <w:tcBorders>
              <w:bottom w:val="single" w:sz="8" w:color="0077C0"/>
            </w:tcBorders>
          </w:tcPr>
          <w:p>
            <w:pPr>
              <w:spacing w:after="0"/>
              <w:rPr>
                <w:sz w:val="19"/>
                <w:szCs w:val="19"/>
                <w:color w:val="auto"/>
              </w:rPr>
            </w:pPr>
          </w:p>
        </w:tc>
        <w:tc>
          <w:tcPr>
            <w:tcW w:w="7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(1,095)</w:t>
            </w:r>
          </w:p>
        </w:tc>
      </w:tr>
      <w:tr>
        <w:trPr>
          <w:trHeight w:val="190"/>
        </w:trPr>
        <w:tc>
          <w:tcPr>
            <w:tcW w:w="41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Revenues and Other Income</w:t>
            </w:r>
          </w:p>
        </w:tc>
        <w:tc>
          <w:tcPr>
            <w:tcW w:w="42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10,885</w:t>
            </w:r>
          </w:p>
        </w:tc>
        <w:tc>
          <w:tcPr>
            <w:tcW w:w="46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36,982</w:t>
            </w:r>
          </w:p>
        </w:tc>
        <w:tc>
          <w:tcPr>
            <w:tcW w:w="44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75,954</w:t>
            </w:r>
          </w:p>
        </w:tc>
        <w:tc>
          <w:tcPr>
            <w:tcW w:w="520" w:type="dxa"/>
            <w:vAlign w:val="bottom"/>
            <w:tcBorders>
              <w:bottom w:val="single" w:sz="8" w:color="0077C0"/>
            </w:tcBorders>
          </w:tcPr>
          <w:p>
            <w:pPr>
              <w:spacing w:after="0"/>
              <w:rPr>
                <w:sz w:val="16"/>
                <w:szCs w:val="16"/>
                <w:color w:val="auto"/>
              </w:rPr>
            </w:pPr>
          </w:p>
        </w:tc>
        <w:tc>
          <w:tcPr>
            <w:tcW w:w="58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76,822</w:t>
            </w:r>
          </w:p>
        </w:tc>
        <w:tc>
          <w:tcPr>
            <w:tcW w:w="300" w:type="dxa"/>
            <w:vAlign w:val="bottom"/>
            <w:tcBorders>
              <w:bottom w:val="single" w:sz="8" w:color="0077C0"/>
            </w:tcBorders>
          </w:tcPr>
          <w:p>
            <w:pPr>
              <w:spacing w:after="0"/>
              <w:rPr>
                <w:sz w:val="16"/>
                <w:szCs w:val="16"/>
                <w:color w:val="auto"/>
              </w:rPr>
            </w:pPr>
          </w:p>
        </w:tc>
        <w:tc>
          <w:tcPr>
            <w:tcW w:w="7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200,643</w:t>
            </w:r>
          </w:p>
        </w:tc>
        <w:tc>
          <w:tcPr>
            <w:tcW w:w="140" w:type="dxa"/>
            <w:vAlign w:val="bottom"/>
            <w:tcBorders>
              <w:bottom w:val="single" w:sz="8" w:color="0077C0"/>
            </w:tcBorders>
          </w:tcPr>
          <w:p>
            <w:pPr>
              <w:spacing w:after="0"/>
              <w:rPr>
                <w:sz w:val="16"/>
                <w:szCs w:val="16"/>
                <w:color w:val="auto"/>
              </w:rPr>
            </w:pPr>
          </w:p>
        </w:tc>
        <w:tc>
          <w:tcPr>
            <w:tcW w:w="7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306</w:t>
            </w:r>
          </w:p>
        </w:tc>
        <w:tc>
          <w:tcPr>
            <w:tcW w:w="200" w:type="dxa"/>
            <w:vAlign w:val="bottom"/>
            <w:tcBorders>
              <w:bottom w:val="single" w:sz="8" w:color="0077C0"/>
            </w:tcBorders>
          </w:tcPr>
          <w:p>
            <w:pPr>
              <w:spacing w:after="0"/>
              <w:rPr>
                <w:sz w:val="16"/>
                <w:szCs w:val="16"/>
                <w:color w:val="auto"/>
              </w:rPr>
            </w:pPr>
          </w:p>
        </w:tc>
        <w:tc>
          <w:tcPr>
            <w:tcW w:w="7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200,949</w:t>
            </w:r>
          </w:p>
        </w:tc>
      </w:tr>
      <w:tr>
        <w:trPr>
          <w:trHeight w:val="272"/>
        </w:trPr>
        <w:tc>
          <w:tcPr>
            <w:tcW w:w="41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Intersegment product transfers</w:t>
            </w:r>
            <w:r>
              <w:rPr>
                <w:rFonts w:ascii="Times New Roman" w:cs="Times New Roman" w:eastAsia="Times New Roman" w:hAnsi="Times New Roman"/>
                <w:sz w:val="18"/>
                <w:szCs w:val="18"/>
                <w:color w:val="auto"/>
                <w:vertAlign w:val="superscript"/>
              </w:rPr>
              <w:t>2</w:t>
            </w:r>
          </w:p>
        </w:tc>
        <w:tc>
          <w:tcPr>
            <w:tcW w:w="4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23,665</w:t>
            </w:r>
          </w:p>
        </w:tc>
        <w:tc>
          <w:tcPr>
            <w:tcW w:w="4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4,274</w:t>
            </w:r>
          </w:p>
        </w:tc>
        <w:tc>
          <w:tcPr>
            <w:tcW w:w="4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(23,887)</w:t>
            </w:r>
          </w:p>
        </w:tc>
        <w:tc>
          <w:tcPr>
            <w:tcW w:w="5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(4,184)</w:t>
            </w: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Less expenses:</w:t>
            </w: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03"/>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Purchased crude oil and products</w:t>
            </w:r>
          </w:p>
        </w:tc>
        <w:tc>
          <w:tcPr>
            <w:tcW w:w="4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13,019</w:t>
            </w:r>
          </w:p>
        </w:tc>
        <w:tc>
          <w:tcPr>
            <w:tcW w:w="4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7,270</w:t>
            </w:r>
          </w:p>
        </w:tc>
        <w:tc>
          <w:tcPr>
            <w:tcW w:w="4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37,176</w:t>
            </w:r>
          </w:p>
        </w:tc>
        <w:tc>
          <w:tcPr>
            <w:tcW w:w="520" w:type="dxa"/>
            <w:vAlign w:val="bottom"/>
          </w:tcPr>
          <w:p>
            <w:pPr>
              <w:spacing w:after="0"/>
              <w:rPr>
                <w:sz w:val="17"/>
                <w:szCs w:val="17"/>
                <w:color w:val="auto"/>
              </w:rPr>
            </w:pP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61,731</w:t>
            </w: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119,196</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119,196</w:t>
            </w:r>
          </w:p>
        </w:tc>
      </w:tr>
      <w:tr>
        <w:trPr>
          <w:trHeight w:val="203"/>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and SG&amp;A expenses</w:t>
            </w:r>
          </w:p>
        </w:tc>
        <w:tc>
          <w:tcPr>
            <w:tcW w:w="4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6,879</w:t>
            </w:r>
          </w:p>
        </w:tc>
        <w:tc>
          <w:tcPr>
            <w:tcW w:w="4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5,837</w:t>
            </w:r>
          </w:p>
        </w:tc>
        <w:tc>
          <w:tcPr>
            <w:tcW w:w="4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8,432</w:t>
            </w:r>
          </w:p>
        </w:tc>
        <w:tc>
          <w:tcPr>
            <w:tcW w:w="520" w:type="dxa"/>
            <w:vAlign w:val="bottom"/>
          </w:tcPr>
          <w:p>
            <w:pPr>
              <w:spacing w:after="0"/>
              <w:rPr>
                <w:sz w:val="17"/>
                <w:szCs w:val="17"/>
                <w:color w:val="auto"/>
              </w:rPr>
            </w:pP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6,058</w:t>
            </w: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27,206</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2,034</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29,240</w:t>
            </w:r>
          </w:p>
        </w:tc>
      </w:tr>
      <w:tr>
        <w:trPr>
          <w:trHeight w:val="203"/>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depletion and amortization</w:t>
            </w:r>
          </w:p>
        </w:tc>
        <w:tc>
          <w:tcPr>
            <w:tcW w:w="4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7,666</w:t>
            </w:r>
          </w:p>
        </w:tc>
        <w:tc>
          <w:tcPr>
            <w:tcW w:w="4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8,109</w:t>
            </w:r>
          </w:p>
        </w:tc>
        <w:tc>
          <w:tcPr>
            <w:tcW w:w="4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w:t>
            </w:r>
          </w:p>
        </w:tc>
        <w:tc>
          <w:tcPr>
            <w:tcW w:w="520" w:type="dxa"/>
            <w:vAlign w:val="bottom"/>
          </w:tcPr>
          <w:p>
            <w:pPr>
              <w:spacing w:after="0"/>
              <w:rPr>
                <w:sz w:val="17"/>
                <w:szCs w:val="17"/>
                <w:color w:val="auto"/>
              </w:rPr>
            </w:pP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301</w:t>
            </w: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17,007</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17,326</w:t>
            </w:r>
          </w:p>
        </w:tc>
      </w:tr>
      <w:tr>
        <w:trPr>
          <w:trHeight w:val="226"/>
        </w:trPr>
        <w:tc>
          <w:tcPr>
            <w:tcW w:w="41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color w:val="auto"/>
              </w:rPr>
              <w:t>Other costs and deductions</w:t>
            </w:r>
            <w:r>
              <w:rPr>
                <w:rFonts w:ascii="Times New Roman" w:cs="Times New Roman" w:eastAsia="Times New Roman" w:hAnsi="Times New Roman"/>
                <w:sz w:val="18"/>
                <w:szCs w:val="18"/>
                <w:color w:val="auto"/>
                <w:vertAlign w:val="superscript"/>
              </w:rPr>
              <w:t>3</w:t>
            </w:r>
          </w:p>
        </w:tc>
        <w:tc>
          <w:tcPr>
            <w:tcW w:w="420" w:type="dxa"/>
            <w:vAlign w:val="bottom"/>
            <w:tcBorders>
              <w:bottom w:val="single" w:sz="8" w:color="0077C0"/>
            </w:tcBorders>
          </w:tcPr>
          <w:p>
            <w:pPr>
              <w:spacing w:after="0"/>
              <w:rPr>
                <w:sz w:val="19"/>
                <w:szCs w:val="19"/>
                <w:color w:val="auto"/>
              </w:rPr>
            </w:pP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1,676</w:t>
            </w:r>
          </w:p>
        </w:tc>
        <w:tc>
          <w:tcPr>
            <w:tcW w:w="46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440" w:type="dxa"/>
            <w:vAlign w:val="bottom"/>
            <w:tcBorders>
              <w:bottom w:val="single" w:sz="8" w:color="0077C0"/>
            </w:tcBorders>
          </w:tcPr>
          <w:p>
            <w:pPr>
              <w:spacing w:after="0"/>
              <w:rPr>
                <w:sz w:val="19"/>
                <w:szCs w:val="19"/>
                <w:color w:val="auto"/>
              </w:rPr>
            </w:pP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520" w:type="dxa"/>
            <w:vAlign w:val="bottom"/>
            <w:tcBorders>
              <w:bottom w:val="single" w:sz="8" w:color="0077C0"/>
            </w:tcBorders>
          </w:tcPr>
          <w:p>
            <w:pPr>
              <w:spacing w:after="0"/>
              <w:rPr>
                <w:sz w:val="19"/>
                <w:szCs w:val="19"/>
                <w:color w:val="auto"/>
              </w:rPr>
            </w:pPr>
          </w:p>
        </w:tc>
        <w:tc>
          <w:tcPr>
            <w:tcW w:w="58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1,782</w:t>
            </w:r>
          </w:p>
        </w:tc>
        <w:tc>
          <w:tcPr>
            <w:tcW w:w="300" w:type="dxa"/>
            <w:vAlign w:val="bottom"/>
            <w:tcBorders>
              <w:bottom w:val="single" w:sz="8" w:color="0077C0"/>
            </w:tcBorders>
          </w:tcPr>
          <w:p>
            <w:pPr>
              <w:spacing w:after="0"/>
              <w:rPr>
                <w:sz w:val="19"/>
                <w:szCs w:val="19"/>
                <w:color w:val="auto"/>
              </w:rPr>
            </w:pPr>
          </w:p>
        </w:tc>
        <w:tc>
          <w:tcPr>
            <w:tcW w:w="7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4,983</w:t>
            </w:r>
          </w:p>
        </w:tc>
        <w:tc>
          <w:tcPr>
            <w:tcW w:w="140" w:type="dxa"/>
            <w:vAlign w:val="bottom"/>
            <w:tcBorders>
              <w:bottom w:val="single" w:sz="8" w:color="0077C0"/>
            </w:tcBorders>
          </w:tcPr>
          <w:p>
            <w:pPr>
              <w:spacing w:after="0"/>
              <w:rPr>
                <w:sz w:val="19"/>
                <w:szCs w:val="19"/>
                <w:color w:val="auto"/>
              </w:rPr>
            </w:pPr>
          </w:p>
        </w:tc>
        <w:tc>
          <w:tcPr>
            <w:tcW w:w="7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200" w:type="dxa"/>
            <w:vAlign w:val="bottom"/>
            <w:tcBorders>
              <w:bottom w:val="single" w:sz="8" w:color="0077C0"/>
            </w:tcBorders>
          </w:tcPr>
          <w:p>
            <w:pPr>
              <w:spacing w:after="0"/>
              <w:rPr>
                <w:sz w:val="19"/>
                <w:szCs w:val="19"/>
                <w:color w:val="auto"/>
              </w:rPr>
            </w:pPr>
          </w:p>
        </w:tc>
        <w:tc>
          <w:tcPr>
            <w:tcW w:w="7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5,603</w:t>
            </w:r>
          </w:p>
        </w:tc>
      </w:tr>
      <w:tr>
        <w:trPr>
          <w:trHeight w:val="190"/>
        </w:trPr>
        <w:tc>
          <w:tcPr>
            <w:tcW w:w="41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Costs and Other Deductions</w:t>
            </w:r>
          </w:p>
        </w:tc>
        <w:tc>
          <w:tcPr>
            <w:tcW w:w="42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29,240</w:t>
            </w:r>
          </w:p>
        </w:tc>
        <w:tc>
          <w:tcPr>
            <w:tcW w:w="46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22,226</w:t>
            </w:r>
          </w:p>
        </w:tc>
        <w:tc>
          <w:tcPr>
            <w:tcW w:w="44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47,054</w:t>
            </w:r>
          </w:p>
        </w:tc>
        <w:tc>
          <w:tcPr>
            <w:tcW w:w="520" w:type="dxa"/>
            <w:vAlign w:val="bottom"/>
            <w:tcBorders>
              <w:bottom w:val="single" w:sz="8" w:color="0077C0"/>
            </w:tcBorders>
          </w:tcPr>
          <w:p>
            <w:pPr>
              <w:spacing w:after="0"/>
              <w:rPr>
                <w:sz w:val="16"/>
                <w:szCs w:val="16"/>
                <w:color w:val="auto"/>
              </w:rPr>
            </w:pPr>
          </w:p>
        </w:tc>
        <w:tc>
          <w:tcPr>
            <w:tcW w:w="58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69,872</w:t>
            </w:r>
          </w:p>
        </w:tc>
        <w:tc>
          <w:tcPr>
            <w:tcW w:w="300" w:type="dxa"/>
            <w:vAlign w:val="bottom"/>
            <w:tcBorders>
              <w:bottom w:val="single" w:sz="8" w:color="0077C0"/>
            </w:tcBorders>
          </w:tcPr>
          <w:p>
            <w:pPr>
              <w:spacing w:after="0"/>
              <w:rPr>
                <w:sz w:val="16"/>
                <w:szCs w:val="16"/>
                <w:color w:val="auto"/>
              </w:rPr>
            </w:pPr>
          </w:p>
        </w:tc>
        <w:tc>
          <w:tcPr>
            <w:tcW w:w="7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168,392</w:t>
            </w:r>
          </w:p>
        </w:tc>
        <w:tc>
          <w:tcPr>
            <w:tcW w:w="140" w:type="dxa"/>
            <w:vAlign w:val="bottom"/>
            <w:tcBorders>
              <w:bottom w:val="single" w:sz="8" w:color="0077C0"/>
            </w:tcBorders>
          </w:tcPr>
          <w:p>
            <w:pPr>
              <w:spacing w:after="0"/>
              <w:rPr>
                <w:sz w:val="16"/>
                <w:szCs w:val="16"/>
                <w:color w:val="auto"/>
              </w:rPr>
            </w:pPr>
          </w:p>
        </w:tc>
        <w:tc>
          <w:tcPr>
            <w:tcW w:w="7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2,973</w:t>
            </w:r>
          </w:p>
        </w:tc>
        <w:tc>
          <w:tcPr>
            <w:tcW w:w="200" w:type="dxa"/>
            <w:vAlign w:val="bottom"/>
            <w:tcBorders>
              <w:bottom w:val="single" w:sz="8" w:color="0077C0"/>
            </w:tcBorders>
          </w:tcPr>
          <w:p>
            <w:pPr>
              <w:spacing w:after="0"/>
              <w:rPr>
                <w:sz w:val="16"/>
                <w:szCs w:val="16"/>
                <w:color w:val="auto"/>
              </w:rPr>
            </w:pPr>
          </w:p>
        </w:tc>
        <w:tc>
          <w:tcPr>
            <w:tcW w:w="7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171,365</w:t>
            </w:r>
          </w:p>
        </w:tc>
      </w:tr>
      <w:tr>
        <w:trPr>
          <w:trHeight w:val="260"/>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4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w:t>
            </w:r>
          </w:p>
        </w:tc>
        <w:tc>
          <w:tcPr>
            <w:tcW w:w="4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5,733</w:t>
            </w:r>
          </w:p>
        </w:tc>
        <w:tc>
          <w:tcPr>
            <w:tcW w:w="4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1,109</w:t>
            </w:r>
          </w:p>
        </w:tc>
        <w:tc>
          <w:tcPr>
            <w:tcW w:w="52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519</w:t>
            </w:r>
          </w:p>
        </w:tc>
        <w:tc>
          <w:tcPr>
            <w:tcW w:w="3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8,502</w:t>
            </w: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8,173</w:t>
            </w:r>
          </w:p>
        </w:tc>
      </w:tr>
      <w:tr>
        <w:trPr>
          <w:trHeight w:val="23"/>
        </w:trPr>
        <w:tc>
          <w:tcPr>
            <w:tcW w:w="4160" w:type="dxa"/>
            <w:vAlign w:val="bottom"/>
            <w:tcBorders>
              <w:bottom w:val="single" w:sz="8" w:color="0077C0"/>
            </w:tcBorders>
          </w:tcPr>
          <w:p>
            <w:pPr>
              <w:spacing w:after="0"/>
              <w:rPr>
                <w:sz w:val="2"/>
                <w:szCs w:val="2"/>
                <w:color w:val="auto"/>
              </w:rPr>
            </w:pPr>
          </w:p>
        </w:tc>
        <w:tc>
          <w:tcPr>
            <w:tcW w:w="42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46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44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c>
          <w:tcPr>
            <w:tcW w:w="14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r>
      <w:tr>
        <w:trPr>
          <w:trHeight w:val="189"/>
        </w:trPr>
        <w:tc>
          <w:tcPr>
            <w:tcW w:w="4160" w:type="dxa"/>
            <w:vAlign w:val="bottom"/>
            <w:tcBorders>
              <w:bottom w:val="single" w:sz="8" w:color="0077C0"/>
            </w:tcBorders>
          </w:tcPr>
          <w:p>
            <w:pPr>
              <w:ind w:left="360"/>
              <w:spacing w:after="0"/>
              <w:rPr>
                <w:sz w:val="20"/>
                <w:szCs w:val="20"/>
                <w:color w:val="auto"/>
              </w:rPr>
            </w:pPr>
            <w:r>
              <w:rPr>
                <w:rFonts w:ascii="Times New Roman" w:cs="Times New Roman" w:eastAsia="Times New Roman" w:hAnsi="Times New Roman"/>
                <w:sz w:val="14"/>
                <w:szCs w:val="14"/>
                <w:color w:val="auto"/>
              </w:rPr>
              <w:t>Less: Net income (loss) attributable to non-controlling interests</w:t>
            </w:r>
          </w:p>
        </w:tc>
        <w:tc>
          <w:tcPr>
            <w:tcW w:w="42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46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4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0077C0"/>
            </w:tcBorders>
          </w:tcPr>
          <w:p>
            <w:pPr>
              <w:spacing w:after="0"/>
              <w:rPr>
                <w:sz w:val="16"/>
                <w:szCs w:val="16"/>
                <w:color w:val="auto"/>
              </w:rPr>
            </w:pPr>
          </w:p>
        </w:tc>
        <w:tc>
          <w:tcPr>
            <w:tcW w:w="58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300" w:type="dxa"/>
            <w:vAlign w:val="bottom"/>
            <w:tcBorders>
              <w:bottom w:val="single" w:sz="8" w:color="0077C0"/>
            </w:tcBorders>
          </w:tcPr>
          <w:p>
            <w:pPr>
              <w:spacing w:after="0"/>
              <w:rPr>
                <w:sz w:val="16"/>
                <w:szCs w:val="16"/>
                <w:color w:val="auto"/>
              </w:rPr>
            </w:pPr>
          </w:p>
        </w:tc>
        <w:tc>
          <w:tcPr>
            <w:tcW w:w="7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40" w:type="dxa"/>
            <w:vAlign w:val="bottom"/>
            <w:tcBorders>
              <w:bottom w:val="single" w:sz="8" w:color="0077C0"/>
            </w:tcBorders>
          </w:tcPr>
          <w:p>
            <w:pPr>
              <w:spacing w:after="0"/>
              <w:rPr>
                <w:sz w:val="16"/>
                <w:szCs w:val="16"/>
                <w:color w:val="auto"/>
              </w:rPr>
            </w:pPr>
          </w:p>
        </w:tc>
        <w:tc>
          <w:tcPr>
            <w:tcW w:w="7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0077C0"/>
            </w:tcBorders>
          </w:tcPr>
          <w:p>
            <w:pPr>
              <w:spacing w:after="0"/>
              <w:rPr>
                <w:sz w:val="16"/>
                <w:szCs w:val="16"/>
                <w:color w:val="auto"/>
              </w:rPr>
            </w:pPr>
          </w:p>
        </w:tc>
        <w:tc>
          <w:tcPr>
            <w:tcW w:w="7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90"/>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 Attributable to Chevron Corporation</w:t>
            </w:r>
          </w:p>
        </w:tc>
        <w:tc>
          <w:tcPr>
            <w:tcW w:w="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4,148</w:t>
            </w:r>
          </w:p>
        </w:tc>
        <w:tc>
          <w:tcPr>
            <w:tcW w:w="4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13,290</w:t>
            </w:r>
          </w:p>
        </w:tc>
        <w:tc>
          <w:tcPr>
            <w:tcW w:w="4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3,904</w:t>
            </w:r>
          </w:p>
        </w:tc>
        <w:tc>
          <w:tcPr>
            <w:tcW w:w="5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2,233</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23,575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(2,206)</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21,369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1517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Values have been adjusted for eliminations, unless otherwise specified.</w:t>
      </w:r>
    </w:p>
    <w:p>
      <w:pPr>
        <w:spacing w:after="0" w:line="6" w:lineRule="exact"/>
        <w:rPr>
          <w:sz w:val="20"/>
          <w:szCs w:val="20"/>
          <w:color w:val="auto"/>
        </w:rPr>
      </w:pPr>
    </w:p>
    <w:p>
      <w:pPr>
        <w:ind w:left="80" w:hanging="54"/>
        <w:spacing w:after="0"/>
        <w:tabs>
          <w:tab w:leader="none" w:pos="80" w:val="left"/>
        </w:tabs>
        <w:numPr>
          <w:ilvl w:val="0"/>
          <w:numId w:val="3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Includes interest income of $491 in “All Other.”</w:t>
      </w:r>
    </w:p>
    <w:p>
      <w:pPr>
        <w:spacing w:after="0" w:line="5" w:lineRule="exact"/>
        <w:rPr>
          <w:sz w:val="20"/>
          <w:szCs w:val="20"/>
          <w:color w:val="auto"/>
        </w:rPr>
      </w:pPr>
    </w:p>
    <w:p>
      <w:pPr>
        <w:ind w:left="80" w:hanging="54"/>
        <w:spacing w:after="0"/>
        <w:tabs>
          <w:tab w:leader="none" w:pos="80" w:val="left"/>
        </w:tabs>
        <w:numPr>
          <w:ilvl w:val="0"/>
          <w:numId w:val="4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Valuation of product transfers between operating segments.</w:t>
      </w:r>
    </w:p>
    <w:p>
      <w:pPr>
        <w:spacing w:after="0" w:line="127" w:lineRule="exact"/>
        <w:rPr>
          <w:sz w:val="20"/>
          <w:szCs w:val="20"/>
          <w:color w:val="auto"/>
        </w:rPr>
      </w:pPr>
    </w:p>
    <w:p>
      <w:pPr>
        <w:ind w:left="80" w:hanging="54"/>
        <w:spacing w:after="0"/>
        <w:tabs>
          <w:tab w:leader="none" w:pos="80" w:val="left"/>
        </w:tabs>
        <w:numPr>
          <w:ilvl w:val="0"/>
          <w:numId w:val="4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Includes interest expense of $432 in “All Other.”</w:t>
      </w:r>
    </w:p>
    <w:p>
      <w:pPr>
        <w:spacing w:after="0" w:line="221"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3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Upstream</w:t>
            </w: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Downstream</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46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c>
          <w:tcPr>
            <w:tcW w:w="42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46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80" w:type="dxa"/>
            <w:vAlign w:val="bottom"/>
          </w:tcPr>
          <w:p>
            <w:pPr>
              <w:spacing w:after="0"/>
              <w:rPr>
                <w:sz w:val="2"/>
                <w:szCs w:val="2"/>
                <w:color w:val="auto"/>
              </w:rPr>
            </w:pPr>
          </w:p>
        </w:tc>
        <w:tc>
          <w:tcPr>
            <w:tcW w:w="6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980" w:type="dxa"/>
            <w:vAlign w:val="bottom"/>
            <w:tcBorders>
              <w:bottom w:val="single" w:sz="8" w:color="0077C0"/>
            </w:tcBorders>
            <w:vMerge w:val="continue"/>
          </w:tcPr>
          <w:p>
            <w:pPr>
              <w:spacing w:after="0"/>
              <w:rPr>
                <w:sz w:val="16"/>
                <w:szCs w:val="16"/>
                <w:color w:val="auto"/>
              </w:rPr>
            </w:pPr>
          </w:p>
        </w:tc>
        <w:tc>
          <w:tcPr>
            <w:tcW w:w="4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U.S.</w:t>
            </w:r>
          </w:p>
        </w:tc>
        <w:tc>
          <w:tcPr>
            <w:tcW w:w="700" w:type="dxa"/>
            <w:vAlign w:val="bottom"/>
            <w:tcBorders>
              <w:bottom w:val="single" w:sz="8" w:color="0077C0"/>
            </w:tcBorders>
          </w:tcPr>
          <w:p>
            <w:pPr>
              <w:spacing w:after="0"/>
              <w:rPr>
                <w:sz w:val="16"/>
                <w:szCs w:val="16"/>
                <w:color w:val="auto"/>
              </w:rPr>
            </w:pPr>
          </w:p>
        </w:tc>
        <w:tc>
          <w:tcPr>
            <w:tcW w:w="42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Int'l.</w:t>
            </w:r>
          </w:p>
        </w:tc>
        <w:tc>
          <w:tcPr>
            <w:tcW w:w="600" w:type="dxa"/>
            <w:vAlign w:val="bottom"/>
            <w:tcBorders>
              <w:bottom w:val="single" w:sz="8" w:color="0077C0"/>
            </w:tcBorders>
          </w:tcPr>
          <w:p>
            <w:pPr>
              <w:spacing w:after="0"/>
              <w:rPr>
                <w:sz w:val="16"/>
                <w:szCs w:val="16"/>
                <w:color w:val="auto"/>
              </w:rPr>
            </w:pPr>
          </w:p>
        </w:tc>
        <w:tc>
          <w:tcPr>
            <w:tcW w:w="4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U.S.</w:t>
            </w:r>
          </w:p>
        </w:tc>
        <w:tc>
          <w:tcPr>
            <w:tcW w:w="700" w:type="dxa"/>
            <w:vAlign w:val="bottom"/>
            <w:tcBorders>
              <w:bottom w:val="single" w:sz="8" w:color="0077C0"/>
            </w:tcBorders>
          </w:tcPr>
          <w:p>
            <w:pPr>
              <w:spacing w:after="0"/>
              <w:rPr>
                <w:sz w:val="16"/>
                <w:szCs w:val="16"/>
                <w:color w:val="auto"/>
              </w:rPr>
            </w:pPr>
          </w:p>
        </w:tc>
        <w:tc>
          <w:tcPr>
            <w:tcW w:w="5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Int'l.</w:t>
            </w:r>
          </w:p>
        </w:tc>
        <w:tc>
          <w:tcPr>
            <w:tcW w:w="600" w:type="dxa"/>
            <w:vAlign w:val="bottom"/>
            <w:tcBorders>
              <w:bottom w:val="single" w:sz="8" w:color="0077C0"/>
            </w:tcBorders>
          </w:tcPr>
          <w:p>
            <w:pPr>
              <w:spacing w:after="0"/>
              <w:rPr>
                <w:sz w:val="16"/>
                <w:szCs w:val="16"/>
                <w:color w:val="auto"/>
              </w:rPr>
            </w:pPr>
          </w:p>
        </w:tc>
        <w:tc>
          <w:tcPr>
            <w:tcW w:w="140" w:type="dxa"/>
            <w:vAlign w:val="bottom"/>
            <w:tcBorders>
              <w:bottom w:val="single" w:sz="8" w:color="0077C0"/>
            </w:tcBorders>
          </w:tcPr>
          <w:p>
            <w:pPr>
              <w:spacing w:after="0"/>
              <w:rPr>
                <w:sz w:val="16"/>
                <w:szCs w:val="16"/>
                <w:color w:val="auto"/>
              </w:rPr>
            </w:pPr>
          </w:p>
        </w:tc>
        <w:tc>
          <w:tcPr>
            <w:tcW w:w="720" w:type="dxa"/>
            <w:vAlign w:val="bottom"/>
            <w:tcBorders>
              <w:bottom w:val="single" w:sz="8" w:color="0077C0"/>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0077C0"/>
            </w:tcBorders>
          </w:tcPr>
          <w:p>
            <w:pPr>
              <w:spacing w:after="0"/>
              <w:rPr>
                <w:sz w:val="16"/>
                <w:szCs w:val="16"/>
                <w:color w:val="auto"/>
              </w:rPr>
            </w:pPr>
          </w:p>
        </w:tc>
        <w:tc>
          <w:tcPr>
            <w:tcW w:w="700" w:type="dxa"/>
            <w:vAlign w:val="bottom"/>
            <w:tcBorders>
              <w:bottom w:val="single" w:sz="8" w:color="0077C0"/>
            </w:tcBorders>
            <w:vMerge w:val="continue"/>
          </w:tcPr>
          <w:p>
            <w:pPr>
              <w:spacing w:after="0"/>
              <w:rPr>
                <w:sz w:val="16"/>
                <w:szCs w:val="16"/>
                <w:color w:val="auto"/>
              </w:rPr>
            </w:pPr>
          </w:p>
        </w:tc>
        <w:tc>
          <w:tcPr>
            <w:tcW w:w="180" w:type="dxa"/>
            <w:vAlign w:val="bottom"/>
            <w:tcBorders>
              <w:bottom w:val="single" w:sz="8" w:color="0077C0"/>
            </w:tcBorders>
          </w:tcPr>
          <w:p>
            <w:pPr>
              <w:spacing w:after="0"/>
              <w:rPr>
                <w:sz w:val="16"/>
                <w:szCs w:val="16"/>
                <w:color w:val="auto"/>
              </w:rPr>
            </w:pPr>
          </w:p>
        </w:tc>
        <w:tc>
          <w:tcPr>
            <w:tcW w:w="660" w:type="dxa"/>
            <w:vAlign w:val="bottom"/>
            <w:tcBorders>
              <w:bottom w:val="single" w:sz="8" w:color="0077C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other operating revenues before elimination</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50,822</w:t>
            </w:r>
          </w:p>
        </w:tc>
        <w:tc>
          <w:tcPr>
            <w:tcW w:w="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56,156</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91,824</w:t>
            </w:r>
          </w:p>
        </w:tc>
        <w:tc>
          <w:tcPr>
            <w:tcW w:w="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87,741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286,543</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287,061</w:t>
            </w:r>
          </w:p>
        </w:tc>
        <w:tc>
          <w:tcPr>
            <w:tcW w:w="0" w:type="dxa"/>
            <w:vAlign w:val="bottom"/>
          </w:tcPr>
          <w:p>
            <w:pPr>
              <w:spacing w:after="0"/>
              <w:rPr>
                <w:sz w:val="1"/>
                <w:szCs w:val="1"/>
                <w:color w:val="auto"/>
              </w:rPr>
            </w:pPr>
          </w:p>
        </w:tc>
      </w:tr>
      <w:tr>
        <w:trPr>
          <w:trHeight w:val="193"/>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Intersegment revenue elimination</w:t>
            </w:r>
          </w:p>
        </w:tc>
        <w:tc>
          <w:tcPr>
            <w:tcW w:w="4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(29,870)</w:t>
            </w:r>
          </w:p>
        </w:tc>
        <w:tc>
          <w:tcPr>
            <w:tcW w:w="4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(13,815)</w:t>
            </w:r>
          </w:p>
        </w:tc>
        <w:tc>
          <w:tcPr>
            <w:tcW w:w="4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(5,529)</w:t>
            </w:r>
          </w:p>
        </w:tc>
        <w:tc>
          <w:tcPr>
            <w:tcW w:w="5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(1,728)</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(50,942)</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(51,344)</w:t>
            </w:r>
          </w:p>
        </w:tc>
        <w:tc>
          <w:tcPr>
            <w:tcW w:w="0" w:type="dxa"/>
            <w:vAlign w:val="bottom"/>
          </w:tcPr>
          <w:p>
            <w:pPr>
              <w:spacing w:after="0"/>
              <w:rPr>
                <w:sz w:val="1"/>
                <w:szCs w:val="1"/>
                <w:color w:val="auto"/>
              </w:rPr>
            </w:pPr>
          </w:p>
        </w:tc>
      </w:tr>
      <w:tr>
        <w:trPr>
          <w:trHeight w:val="23"/>
        </w:trPr>
        <w:tc>
          <w:tcPr>
            <w:tcW w:w="3980" w:type="dxa"/>
            <w:vAlign w:val="bottom"/>
            <w:tcBorders>
              <w:bottom w:val="single" w:sz="8" w:color="0077C0"/>
            </w:tcBorders>
          </w:tcPr>
          <w:p>
            <w:pPr>
              <w:spacing w:after="0"/>
              <w:rPr>
                <w:sz w:val="2"/>
                <w:szCs w:val="2"/>
                <w:color w:val="auto"/>
              </w:rPr>
            </w:pPr>
          </w:p>
        </w:tc>
        <w:tc>
          <w:tcPr>
            <w:tcW w:w="46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c>
          <w:tcPr>
            <w:tcW w:w="42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46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140" w:type="dxa"/>
            <w:vAlign w:val="bottom"/>
            <w:tcBorders>
              <w:bottom w:val="single" w:sz="8" w:color="0077C0"/>
            </w:tcBorders>
          </w:tcPr>
          <w:p>
            <w:pPr>
              <w:spacing w:after="0"/>
              <w:rPr>
                <w:sz w:val="2"/>
                <w:szCs w:val="2"/>
                <w:color w:val="auto"/>
              </w:rPr>
            </w:pPr>
          </w:p>
        </w:tc>
        <w:tc>
          <w:tcPr>
            <w:tcW w:w="720" w:type="dxa"/>
            <w:vAlign w:val="bottom"/>
            <w:tcBorders>
              <w:bottom w:val="single" w:sz="8" w:color="0077C0"/>
            </w:tcBorders>
          </w:tcPr>
          <w:p>
            <w:pPr>
              <w:spacing w:after="0"/>
              <w:rPr>
                <w:sz w:val="2"/>
                <w:szCs w:val="2"/>
                <w:color w:val="auto"/>
              </w:rPr>
            </w:pPr>
          </w:p>
        </w:tc>
        <w:tc>
          <w:tcPr>
            <w:tcW w:w="10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8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Sales and Other Operating Revenues</w:t>
            </w:r>
          </w:p>
        </w:tc>
        <w:tc>
          <w:tcPr>
            <w:tcW w:w="460" w:type="dxa"/>
            <w:vAlign w:val="bottom"/>
            <w:tcBorders>
              <w:bottom w:val="single" w:sz="8" w:color="0077C0"/>
            </w:tcBorders>
          </w:tcPr>
          <w:p>
            <w:pPr>
              <w:spacing w:after="0"/>
              <w:rPr>
                <w:sz w:val="16"/>
                <w:szCs w:val="16"/>
                <w:color w:val="auto"/>
              </w:rPr>
            </w:pPr>
          </w:p>
        </w:tc>
        <w:tc>
          <w:tcPr>
            <w:tcW w:w="7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20,952</w:t>
            </w:r>
          </w:p>
        </w:tc>
        <w:tc>
          <w:tcPr>
            <w:tcW w:w="420" w:type="dxa"/>
            <w:vAlign w:val="bottom"/>
            <w:tcBorders>
              <w:bottom w:val="single" w:sz="8" w:color="0077C0"/>
            </w:tcBorders>
          </w:tcPr>
          <w:p>
            <w:pPr>
              <w:spacing w:after="0"/>
              <w:rPr>
                <w:sz w:val="16"/>
                <w:szCs w:val="16"/>
                <w:color w:val="auto"/>
              </w:rPr>
            </w:pP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42,341</w:t>
            </w:r>
          </w:p>
        </w:tc>
        <w:tc>
          <w:tcPr>
            <w:tcW w:w="460" w:type="dxa"/>
            <w:vAlign w:val="bottom"/>
            <w:tcBorders>
              <w:bottom w:val="single" w:sz="8" w:color="0077C0"/>
            </w:tcBorders>
          </w:tcPr>
          <w:p>
            <w:pPr>
              <w:spacing w:after="0"/>
              <w:rPr>
                <w:sz w:val="16"/>
                <w:szCs w:val="16"/>
                <w:color w:val="auto"/>
              </w:rPr>
            </w:pPr>
          </w:p>
        </w:tc>
        <w:tc>
          <w:tcPr>
            <w:tcW w:w="7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86,295</w:t>
            </w:r>
          </w:p>
        </w:tc>
        <w:tc>
          <w:tcPr>
            <w:tcW w:w="560" w:type="dxa"/>
            <w:vAlign w:val="bottom"/>
            <w:tcBorders>
              <w:bottom w:val="single" w:sz="8" w:color="0077C0"/>
            </w:tcBorders>
          </w:tcPr>
          <w:p>
            <w:pPr>
              <w:spacing w:after="0"/>
              <w:rPr>
                <w:sz w:val="16"/>
                <w:szCs w:val="16"/>
                <w:color w:val="auto"/>
              </w:rPr>
            </w:pP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86,013</w:t>
            </w:r>
          </w:p>
        </w:tc>
        <w:tc>
          <w:tcPr>
            <w:tcW w:w="140" w:type="dxa"/>
            <w:vAlign w:val="bottom"/>
            <w:tcBorders>
              <w:bottom w:val="single" w:sz="8" w:color="0077C0"/>
            </w:tcBorders>
          </w:tcPr>
          <w:p>
            <w:pPr>
              <w:spacing w:after="0"/>
              <w:rPr>
                <w:sz w:val="16"/>
                <w:szCs w:val="16"/>
                <w:color w:val="auto"/>
              </w:rPr>
            </w:pP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235,601</w:t>
            </w:r>
          </w:p>
        </w:tc>
        <w:tc>
          <w:tcPr>
            <w:tcW w:w="100" w:type="dxa"/>
            <w:vAlign w:val="bottom"/>
            <w:tcBorders>
              <w:bottom w:val="single" w:sz="8" w:color="0077C0"/>
            </w:tcBorders>
          </w:tcPr>
          <w:p>
            <w:pPr>
              <w:spacing w:after="0"/>
              <w:rPr>
                <w:sz w:val="16"/>
                <w:szCs w:val="16"/>
                <w:color w:val="auto"/>
              </w:rPr>
            </w:pPr>
          </w:p>
        </w:tc>
        <w:tc>
          <w:tcPr>
            <w:tcW w:w="7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116</w:t>
            </w:r>
          </w:p>
        </w:tc>
        <w:tc>
          <w:tcPr>
            <w:tcW w:w="180" w:type="dxa"/>
            <w:vAlign w:val="bottom"/>
            <w:tcBorders>
              <w:bottom w:val="single" w:sz="8" w:color="0077C0"/>
            </w:tcBorders>
          </w:tcPr>
          <w:p>
            <w:pPr>
              <w:spacing w:after="0"/>
              <w:rPr>
                <w:sz w:val="16"/>
                <w:szCs w:val="16"/>
                <w:color w:val="auto"/>
              </w:rPr>
            </w:pPr>
          </w:p>
        </w:tc>
        <w:tc>
          <w:tcPr>
            <w:tcW w:w="66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235,717</w:t>
            </w:r>
          </w:p>
        </w:tc>
        <w:tc>
          <w:tcPr>
            <w:tcW w:w="0" w:type="dxa"/>
            <w:vAlign w:val="bottom"/>
          </w:tcPr>
          <w:p>
            <w:pPr>
              <w:spacing w:after="0"/>
              <w:rPr>
                <w:sz w:val="1"/>
                <w:szCs w:val="1"/>
                <w:color w:val="auto"/>
              </w:rPr>
            </w:pPr>
          </w:p>
        </w:tc>
      </w:tr>
      <w:tr>
        <w:trPr>
          <w:trHeight w:val="260"/>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from equity affiliates</w:t>
            </w:r>
          </w:p>
        </w:tc>
        <w:tc>
          <w:tcPr>
            <w:tcW w:w="4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4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6,648</w:t>
            </w:r>
          </w:p>
        </w:tc>
        <w:tc>
          <w:tcPr>
            <w:tcW w:w="4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5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w:t>
            </w: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8,591</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tcPr>
          <w:p>
            <w:pPr>
              <w:spacing w:after="0"/>
              <w:rPr>
                <w:sz w:val="22"/>
                <w:szCs w:val="22"/>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8,585</w:t>
            </w:r>
          </w:p>
        </w:tc>
        <w:tc>
          <w:tcPr>
            <w:tcW w:w="0" w:type="dxa"/>
            <w:vAlign w:val="bottom"/>
          </w:tcPr>
          <w:p>
            <w:pPr>
              <w:spacing w:after="0"/>
              <w:rPr>
                <w:sz w:val="1"/>
                <w:szCs w:val="1"/>
                <w:color w:val="auto"/>
              </w:rPr>
            </w:pPr>
          </w:p>
        </w:tc>
      </w:tr>
      <w:tr>
        <w:trPr>
          <w:trHeight w:val="203"/>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(loss)</w:t>
            </w:r>
            <w:r>
              <w:rPr>
                <w:rFonts w:ascii="Times New Roman" w:cs="Times New Roman" w:eastAsia="Times New Roman" w:hAnsi="Times New Roman"/>
                <w:sz w:val="9"/>
                <w:szCs w:val="9"/>
                <w:color w:val="auto"/>
              </w:rPr>
              <w:t>1</w:t>
            </w:r>
          </w:p>
        </w:tc>
        <w:tc>
          <w:tcPr>
            <w:tcW w:w="4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4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w:t>
            </w:r>
          </w:p>
        </w:tc>
        <w:tc>
          <w:tcPr>
            <w:tcW w:w="4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5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1,894</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8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1,950</w:t>
            </w:r>
          </w:p>
        </w:tc>
        <w:tc>
          <w:tcPr>
            <w:tcW w:w="0" w:type="dxa"/>
            <w:vAlign w:val="bottom"/>
          </w:tcPr>
          <w:p>
            <w:pPr>
              <w:spacing w:after="0"/>
              <w:rPr>
                <w:sz w:val="1"/>
                <w:szCs w:val="1"/>
                <w:color w:val="auto"/>
              </w:rPr>
            </w:pPr>
          </w:p>
        </w:tc>
      </w:tr>
      <w:tr>
        <w:trPr>
          <w:trHeight w:val="23"/>
        </w:trPr>
        <w:tc>
          <w:tcPr>
            <w:tcW w:w="3980" w:type="dxa"/>
            <w:vAlign w:val="bottom"/>
            <w:tcBorders>
              <w:bottom w:val="single" w:sz="8" w:color="0077C0"/>
            </w:tcBorders>
          </w:tcPr>
          <w:p>
            <w:pPr>
              <w:spacing w:after="0"/>
              <w:rPr>
                <w:sz w:val="2"/>
                <w:szCs w:val="2"/>
                <w:color w:val="auto"/>
              </w:rPr>
            </w:pPr>
          </w:p>
        </w:tc>
        <w:tc>
          <w:tcPr>
            <w:tcW w:w="46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c>
          <w:tcPr>
            <w:tcW w:w="42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46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140" w:type="dxa"/>
            <w:vAlign w:val="bottom"/>
            <w:tcBorders>
              <w:bottom w:val="single" w:sz="8" w:color="0077C0"/>
            </w:tcBorders>
          </w:tcPr>
          <w:p>
            <w:pPr>
              <w:spacing w:after="0"/>
              <w:rPr>
                <w:sz w:val="2"/>
                <w:szCs w:val="2"/>
                <w:color w:val="auto"/>
              </w:rPr>
            </w:pPr>
          </w:p>
        </w:tc>
        <w:tc>
          <w:tcPr>
            <w:tcW w:w="720" w:type="dxa"/>
            <w:vAlign w:val="bottom"/>
            <w:tcBorders>
              <w:bottom w:val="single" w:sz="8" w:color="0077C0"/>
            </w:tcBorders>
          </w:tcPr>
          <w:p>
            <w:pPr>
              <w:spacing w:after="0"/>
              <w:rPr>
                <w:sz w:val="2"/>
                <w:szCs w:val="2"/>
                <w:color w:val="auto"/>
              </w:rPr>
            </w:pPr>
          </w:p>
        </w:tc>
        <w:tc>
          <w:tcPr>
            <w:tcW w:w="10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8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Revenues and Other Income</w:t>
            </w:r>
          </w:p>
        </w:tc>
        <w:tc>
          <w:tcPr>
            <w:tcW w:w="460" w:type="dxa"/>
            <w:vAlign w:val="bottom"/>
            <w:tcBorders>
              <w:bottom w:val="single" w:sz="8" w:color="0077C0"/>
            </w:tcBorders>
          </w:tcPr>
          <w:p>
            <w:pPr>
              <w:spacing w:after="0"/>
              <w:rPr>
                <w:sz w:val="16"/>
                <w:szCs w:val="16"/>
                <w:color w:val="auto"/>
              </w:rPr>
            </w:pPr>
          </w:p>
        </w:tc>
        <w:tc>
          <w:tcPr>
            <w:tcW w:w="7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21,033</w:t>
            </w:r>
          </w:p>
        </w:tc>
        <w:tc>
          <w:tcPr>
            <w:tcW w:w="420" w:type="dxa"/>
            <w:vAlign w:val="bottom"/>
            <w:tcBorders>
              <w:bottom w:val="single" w:sz="8" w:color="0077C0"/>
            </w:tcBorders>
          </w:tcPr>
          <w:p>
            <w:pPr>
              <w:spacing w:after="0"/>
              <w:rPr>
                <w:sz w:val="16"/>
                <w:szCs w:val="16"/>
                <w:color w:val="auto"/>
              </w:rPr>
            </w:pP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50,261</w:t>
            </w:r>
          </w:p>
        </w:tc>
        <w:tc>
          <w:tcPr>
            <w:tcW w:w="460" w:type="dxa"/>
            <w:vAlign w:val="bottom"/>
            <w:tcBorders>
              <w:bottom w:val="single" w:sz="8" w:color="0077C0"/>
            </w:tcBorders>
          </w:tcPr>
          <w:p>
            <w:pPr>
              <w:spacing w:after="0"/>
              <w:rPr>
                <w:sz w:val="16"/>
                <w:szCs w:val="16"/>
                <w:color w:val="auto"/>
              </w:rPr>
            </w:pPr>
          </w:p>
        </w:tc>
        <w:tc>
          <w:tcPr>
            <w:tcW w:w="7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87,825</w:t>
            </w:r>
          </w:p>
        </w:tc>
        <w:tc>
          <w:tcPr>
            <w:tcW w:w="560" w:type="dxa"/>
            <w:vAlign w:val="bottom"/>
            <w:tcBorders>
              <w:bottom w:val="single" w:sz="8" w:color="0077C0"/>
            </w:tcBorders>
          </w:tcPr>
          <w:p>
            <w:pPr>
              <w:spacing w:after="0"/>
              <w:rPr>
                <w:sz w:val="16"/>
                <w:szCs w:val="16"/>
                <w:color w:val="auto"/>
              </w:rPr>
            </w:pP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86,967</w:t>
            </w:r>
          </w:p>
        </w:tc>
        <w:tc>
          <w:tcPr>
            <w:tcW w:w="140" w:type="dxa"/>
            <w:vAlign w:val="bottom"/>
            <w:tcBorders>
              <w:bottom w:val="single" w:sz="8" w:color="0077C0"/>
            </w:tcBorders>
          </w:tcPr>
          <w:p>
            <w:pPr>
              <w:spacing w:after="0"/>
              <w:rPr>
                <w:sz w:val="16"/>
                <w:szCs w:val="16"/>
                <w:color w:val="auto"/>
              </w:rPr>
            </w:pP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246,086</w:t>
            </w:r>
          </w:p>
        </w:tc>
        <w:tc>
          <w:tcPr>
            <w:tcW w:w="100" w:type="dxa"/>
            <w:vAlign w:val="bottom"/>
            <w:tcBorders>
              <w:bottom w:val="single" w:sz="8" w:color="0077C0"/>
            </w:tcBorders>
          </w:tcPr>
          <w:p>
            <w:pPr>
              <w:spacing w:after="0"/>
              <w:rPr>
                <w:sz w:val="16"/>
                <w:szCs w:val="16"/>
                <w:color w:val="auto"/>
              </w:rPr>
            </w:pPr>
          </w:p>
        </w:tc>
        <w:tc>
          <w:tcPr>
            <w:tcW w:w="7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166</w:t>
            </w:r>
          </w:p>
        </w:tc>
        <w:tc>
          <w:tcPr>
            <w:tcW w:w="180" w:type="dxa"/>
            <w:vAlign w:val="bottom"/>
            <w:tcBorders>
              <w:bottom w:val="single" w:sz="8" w:color="0077C0"/>
            </w:tcBorders>
          </w:tcPr>
          <w:p>
            <w:pPr>
              <w:spacing w:after="0"/>
              <w:rPr>
                <w:sz w:val="16"/>
                <w:szCs w:val="16"/>
                <w:color w:val="auto"/>
              </w:rPr>
            </w:pPr>
          </w:p>
        </w:tc>
        <w:tc>
          <w:tcPr>
            <w:tcW w:w="66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246,252</w:t>
            </w:r>
          </w:p>
        </w:tc>
        <w:tc>
          <w:tcPr>
            <w:tcW w:w="0" w:type="dxa"/>
            <w:vAlign w:val="bottom"/>
          </w:tcPr>
          <w:p>
            <w:pPr>
              <w:spacing w:after="0"/>
              <w:rPr>
                <w:sz w:val="1"/>
                <w:szCs w:val="1"/>
                <w:color w:val="auto"/>
              </w:rPr>
            </w:pPr>
          </w:p>
        </w:tc>
      </w:tr>
      <w:tr>
        <w:trPr>
          <w:trHeight w:val="260"/>
        </w:trPr>
        <w:tc>
          <w:tcPr>
            <w:tcW w:w="3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Intersegment product transfers</w:t>
            </w:r>
            <w:r>
              <w:rPr>
                <w:rFonts w:ascii="Times New Roman" w:cs="Times New Roman" w:eastAsia="Times New Roman" w:hAnsi="Times New Roman"/>
                <w:sz w:val="9"/>
                <w:szCs w:val="9"/>
                <w:color w:val="auto"/>
              </w:rPr>
              <w:t>2</w:t>
            </w:r>
          </w:p>
        </w:tc>
        <w:tc>
          <w:tcPr>
            <w:tcW w:w="4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29,801</w:t>
            </w:r>
          </w:p>
        </w:tc>
        <w:tc>
          <w:tcPr>
            <w:tcW w:w="4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7,078</w:t>
            </w:r>
          </w:p>
        </w:tc>
        <w:tc>
          <w:tcPr>
            <w:tcW w:w="4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(31,245)</w:t>
            </w:r>
          </w:p>
        </w:tc>
        <w:tc>
          <w:tcPr>
            <w:tcW w:w="5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(5,706)</w:t>
            </w: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80" w:type="dxa"/>
            <w:vAlign w:val="bottom"/>
          </w:tcPr>
          <w:p>
            <w:pPr>
              <w:spacing w:after="0"/>
              <w:rPr>
                <w:sz w:val="22"/>
                <w:szCs w:val="22"/>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Less expenses:</w:t>
            </w: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Purchased crude oil and products</w:t>
            </w:r>
          </w:p>
        </w:tc>
        <w:tc>
          <w:tcPr>
            <w:tcW w:w="4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21,008</w:t>
            </w:r>
          </w:p>
        </w:tc>
        <w:tc>
          <w:tcPr>
            <w:tcW w:w="4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12,717</w:t>
            </w:r>
          </w:p>
        </w:tc>
        <w:tc>
          <w:tcPr>
            <w:tcW w:w="4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40,483</w:t>
            </w:r>
          </w:p>
        </w:tc>
        <w:tc>
          <w:tcPr>
            <w:tcW w:w="5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71,208</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145,416</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145,416</w:t>
            </w:r>
          </w:p>
        </w:tc>
        <w:tc>
          <w:tcPr>
            <w:tcW w:w="0" w:type="dxa"/>
            <w:vAlign w:val="bottom"/>
          </w:tcPr>
          <w:p>
            <w:pPr>
              <w:spacing w:after="0"/>
              <w:rPr>
                <w:sz w:val="1"/>
                <w:szCs w:val="1"/>
                <w:color w:val="auto"/>
              </w:rPr>
            </w:pPr>
          </w:p>
        </w:tc>
      </w:tr>
      <w:tr>
        <w:trPr>
          <w:trHeight w:val="203"/>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and SG&amp;A expenses</w:t>
            </w:r>
          </w:p>
        </w:tc>
        <w:tc>
          <w:tcPr>
            <w:tcW w:w="4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6,799</w:t>
            </w:r>
          </w:p>
        </w:tc>
        <w:tc>
          <w:tcPr>
            <w:tcW w:w="4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6,810</w:t>
            </w:r>
          </w:p>
        </w:tc>
        <w:tc>
          <w:tcPr>
            <w:tcW w:w="4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7,829</w:t>
            </w:r>
          </w:p>
        </w:tc>
        <w:tc>
          <w:tcPr>
            <w:tcW w:w="5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5,094</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26,532</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2,789</w:t>
            </w:r>
          </w:p>
        </w:tc>
        <w:tc>
          <w:tcPr>
            <w:tcW w:w="18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29,321</w:t>
            </w:r>
          </w:p>
        </w:tc>
        <w:tc>
          <w:tcPr>
            <w:tcW w:w="0" w:type="dxa"/>
            <w:vAlign w:val="bottom"/>
          </w:tcPr>
          <w:p>
            <w:pPr>
              <w:spacing w:after="0"/>
              <w:rPr>
                <w:sz w:val="1"/>
                <w:szCs w:val="1"/>
                <w:color w:val="auto"/>
              </w:rPr>
            </w:pPr>
          </w:p>
        </w:tc>
      </w:tr>
      <w:tr>
        <w:trPr>
          <w:trHeight w:val="203"/>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depletion and amortization</w:t>
            </w:r>
          </w:p>
        </w:tc>
        <w:tc>
          <w:tcPr>
            <w:tcW w:w="4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5,012</w:t>
            </w:r>
          </w:p>
        </w:tc>
        <w:tc>
          <w:tcPr>
            <w:tcW w:w="4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9,830</w:t>
            </w:r>
          </w:p>
        </w:tc>
        <w:tc>
          <w:tcPr>
            <w:tcW w:w="4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5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16,066</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8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16,319</w:t>
            </w:r>
          </w:p>
        </w:tc>
        <w:tc>
          <w:tcPr>
            <w:tcW w:w="0" w:type="dxa"/>
            <w:vAlign w:val="bottom"/>
          </w:tcPr>
          <w:p>
            <w:pPr>
              <w:spacing w:after="0"/>
              <w:rPr>
                <w:sz w:val="1"/>
                <w:szCs w:val="1"/>
                <w:color w:val="auto"/>
              </w:rPr>
            </w:pPr>
          </w:p>
        </w:tc>
      </w:tr>
      <w:tr>
        <w:trPr>
          <w:trHeight w:val="203"/>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costs and deductions</w:t>
            </w:r>
            <w:r>
              <w:rPr>
                <w:rFonts w:ascii="Times New Roman" w:cs="Times New Roman" w:eastAsia="Times New Roman" w:hAnsi="Times New Roman"/>
                <w:sz w:val="9"/>
                <w:szCs w:val="9"/>
                <w:color w:val="auto"/>
              </w:rPr>
              <w:t>3</w:t>
            </w:r>
          </w:p>
        </w:tc>
        <w:tc>
          <w:tcPr>
            <w:tcW w:w="4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1,699</w:t>
            </w:r>
          </w:p>
        </w:tc>
        <w:tc>
          <w:tcPr>
            <w:tcW w:w="4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w:t>
            </w:r>
          </w:p>
        </w:tc>
        <w:tc>
          <w:tcPr>
            <w:tcW w:w="4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5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1,515</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4,890</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18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5,522</w:t>
            </w:r>
          </w:p>
        </w:tc>
        <w:tc>
          <w:tcPr>
            <w:tcW w:w="0" w:type="dxa"/>
            <w:vAlign w:val="bottom"/>
          </w:tcPr>
          <w:p>
            <w:pPr>
              <w:spacing w:after="0"/>
              <w:rPr>
                <w:sz w:val="1"/>
                <w:szCs w:val="1"/>
                <w:color w:val="auto"/>
              </w:rPr>
            </w:pPr>
          </w:p>
        </w:tc>
      </w:tr>
      <w:tr>
        <w:trPr>
          <w:trHeight w:val="23"/>
        </w:trPr>
        <w:tc>
          <w:tcPr>
            <w:tcW w:w="3980" w:type="dxa"/>
            <w:vAlign w:val="bottom"/>
            <w:tcBorders>
              <w:bottom w:val="single" w:sz="8" w:color="0077C0"/>
            </w:tcBorders>
          </w:tcPr>
          <w:p>
            <w:pPr>
              <w:spacing w:after="0"/>
              <w:rPr>
                <w:sz w:val="2"/>
                <w:szCs w:val="2"/>
                <w:color w:val="auto"/>
              </w:rPr>
            </w:pPr>
          </w:p>
        </w:tc>
        <w:tc>
          <w:tcPr>
            <w:tcW w:w="46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c>
          <w:tcPr>
            <w:tcW w:w="42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46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140" w:type="dxa"/>
            <w:vAlign w:val="bottom"/>
            <w:tcBorders>
              <w:bottom w:val="single" w:sz="8" w:color="0077C0"/>
            </w:tcBorders>
          </w:tcPr>
          <w:p>
            <w:pPr>
              <w:spacing w:after="0"/>
              <w:rPr>
                <w:sz w:val="2"/>
                <w:szCs w:val="2"/>
                <w:color w:val="auto"/>
              </w:rPr>
            </w:pPr>
          </w:p>
        </w:tc>
        <w:tc>
          <w:tcPr>
            <w:tcW w:w="720" w:type="dxa"/>
            <w:vAlign w:val="bottom"/>
            <w:tcBorders>
              <w:bottom w:val="single" w:sz="8" w:color="0077C0"/>
            </w:tcBorders>
          </w:tcPr>
          <w:p>
            <w:pPr>
              <w:spacing w:after="0"/>
              <w:rPr>
                <w:sz w:val="2"/>
                <w:szCs w:val="2"/>
                <w:color w:val="auto"/>
              </w:rPr>
            </w:pPr>
          </w:p>
        </w:tc>
        <w:tc>
          <w:tcPr>
            <w:tcW w:w="10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8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Costs and Other Deductions</w:t>
            </w:r>
          </w:p>
        </w:tc>
        <w:tc>
          <w:tcPr>
            <w:tcW w:w="460" w:type="dxa"/>
            <w:vAlign w:val="bottom"/>
            <w:tcBorders>
              <w:bottom w:val="single" w:sz="8" w:color="0077C0"/>
            </w:tcBorders>
          </w:tcPr>
          <w:p>
            <w:pPr>
              <w:spacing w:after="0"/>
              <w:rPr>
                <w:sz w:val="16"/>
                <w:szCs w:val="16"/>
                <w:color w:val="auto"/>
              </w:rPr>
            </w:pPr>
          </w:p>
        </w:tc>
        <w:tc>
          <w:tcPr>
            <w:tcW w:w="7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34,518</w:t>
            </w:r>
          </w:p>
        </w:tc>
        <w:tc>
          <w:tcPr>
            <w:tcW w:w="420" w:type="dxa"/>
            <w:vAlign w:val="bottom"/>
            <w:tcBorders>
              <w:bottom w:val="single" w:sz="8" w:color="0077C0"/>
            </w:tcBorders>
          </w:tcPr>
          <w:p>
            <w:pPr>
              <w:spacing w:after="0"/>
              <w:rPr>
                <w:sz w:val="16"/>
                <w:szCs w:val="16"/>
                <w:color w:val="auto"/>
              </w:rPr>
            </w:pP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30,587</w:t>
            </w:r>
          </w:p>
        </w:tc>
        <w:tc>
          <w:tcPr>
            <w:tcW w:w="460" w:type="dxa"/>
            <w:vAlign w:val="bottom"/>
            <w:tcBorders>
              <w:bottom w:val="single" w:sz="8" w:color="0077C0"/>
            </w:tcBorders>
          </w:tcPr>
          <w:p>
            <w:pPr>
              <w:spacing w:after="0"/>
              <w:rPr>
                <w:sz w:val="16"/>
                <w:szCs w:val="16"/>
                <w:color w:val="auto"/>
              </w:rPr>
            </w:pPr>
          </w:p>
        </w:tc>
        <w:tc>
          <w:tcPr>
            <w:tcW w:w="7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49,671</w:t>
            </w:r>
          </w:p>
        </w:tc>
        <w:tc>
          <w:tcPr>
            <w:tcW w:w="560" w:type="dxa"/>
            <w:vAlign w:val="bottom"/>
            <w:tcBorders>
              <w:bottom w:val="single" w:sz="8" w:color="0077C0"/>
            </w:tcBorders>
          </w:tcPr>
          <w:p>
            <w:pPr>
              <w:spacing w:after="0"/>
              <w:rPr>
                <w:sz w:val="16"/>
                <w:szCs w:val="16"/>
                <w:color w:val="auto"/>
              </w:rPr>
            </w:pP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78,128</w:t>
            </w:r>
          </w:p>
        </w:tc>
        <w:tc>
          <w:tcPr>
            <w:tcW w:w="140" w:type="dxa"/>
            <w:vAlign w:val="bottom"/>
            <w:tcBorders>
              <w:bottom w:val="single" w:sz="8" w:color="0077C0"/>
            </w:tcBorders>
          </w:tcPr>
          <w:p>
            <w:pPr>
              <w:spacing w:after="0"/>
              <w:rPr>
                <w:sz w:val="16"/>
                <w:szCs w:val="16"/>
                <w:color w:val="auto"/>
              </w:rPr>
            </w:pP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192,904</w:t>
            </w:r>
          </w:p>
        </w:tc>
        <w:tc>
          <w:tcPr>
            <w:tcW w:w="100" w:type="dxa"/>
            <w:vAlign w:val="bottom"/>
            <w:tcBorders>
              <w:bottom w:val="single" w:sz="8" w:color="0077C0"/>
            </w:tcBorders>
          </w:tcPr>
          <w:p>
            <w:pPr>
              <w:spacing w:after="0"/>
              <w:rPr>
                <w:sz w:val="16"/>
                <w:szCs w:val="16"/>
                <w:color w:val="auto"/>
              </w:rPr>
            </w:pPr>
          </w:p>
        </w:tc>
        <w:tc>
          <w:tcPr>
            <w:tcW w:w="7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3,674</w:t>
            </w:r>
          </w:p>
        </w:tc>
        <w:tc>
          <w:tcPr>
            <w:tcW w:w="180" w:type="dxa"/>
            <w:vAlign w:val="bottom"/>
            <w:tcBorders>
              <w:bottom w:val="single" w:sz="8" w:color="0077C0"/>
            </w:tcBorders>
          </w:tcPr>
          <w:p>
            <w:pPr>
              <w:spacing w:after="0"/>
              <w:rPr>
                <w:sz w:val="16"/>
                <w:szCs w:val="16"/>
                <w:color w:val="auto"/>
              </w:rPr>
            </w:pPr>
          </w:p>
        </w:tc>
        <w:tc>
          <w:tcPr>
            <w:tcW w:w="66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196,578</w:t>
            </w:r>
          </w:p>
        </w:tc>
        <w:tc>
          <w:tcPr>
            <w:tcW w:w="0" w:type="dxa"/>
            <w:vAlign w:val="bottom"/>
          </w:tcPr>
          <w:p>
            <w:pPr>
              <w:spacing w:after="0"/>
              <w:rPr>
                <w:sz w:val="1"/>
                <w:szCs w:val="1"/>
                <w:color w:val="auto"/>
              </w:rPr>
            </w:pPr>
          </w:p>
        </w:tc>
      </w:tr>
      <w:tr>
        <w:trPr>
          <w:trHeight w:val="260"/>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4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3,678</w:t>
            </w:r>
          </w:p>
        </w:tc>
        <w:tc>
          <w:tcPr>
            <w:tcW w:w="4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9,055</w:t>
            </w:r>
          </w:p>
        </w:tc>
        <w:tc>
          <w:tcPr>
            <w:tcW w:w="4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1,515</w:t>
            </w:r>
          </w:p>
        </w:tc>
        <w:tc>
          <w:tcPr>
            <w:tcW w:w="5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14,528</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180" w:type="dxa"/>
            <w:vAlign w:val="bottom"/>
          </w:tcPr>
          <w:p>
            <w:pPr>
              <w:spacing w:after="0"/>
              <w:rPr>
                <w:sz w:val="22"/>
                <w:szCs w:val="22"/>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14,066</w:t>
            </w:r>
          </w:p>
        </w:tc>
        <w:tc>
          <w:tcPr>
            <w:tcW w:w="0" w:type="dxa"/>
            <w:vAlign w:val="bottom"/>
          </w:tcPr>
          <w:p>
            <w:pPr>
              <w:spacing w:after="0"/>
              <w:rPr>
                <w:sz w:val="1"/>
                <w:szCs w:val="1"/>
                <w:color w:val="auto"/>
              </w:rPr>
            </w:pPr>
          </w:p>
        </w:tc>
      </w:tr>
      <w:tr>
        <w:trPr>
          <w:trHeight w:val="23"/>
        </w:trPr>
        <w:tc>
          <w:tcPr>
            <w:tcW w:w="3980" w:type="dxa"/>
            <w:vAlign w:val="bottom"/>
            <w:tcBorders>
              <w:bottom w:val="single" w:sz="8" w:color="0077C0"/>
            </w:tcBorders>
          </w:tcPr>
          <w:p>
            <w:pPr>
              <w:spacing w:after="0"/>
              <w:rPr>
                <w:sz w:val="2"/>
                <w:szCs w:val="2"/>
                <w:color w:val="auto"/>
              </w:rPr>
            </w:pPr>
          </w:p>
        </w:tc>
        <w:tc>
          <w:tcPr>
            <w:tcW w:w="46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c>
          <w:tcPr>
            <w:tcW w:w="42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46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140" w:type="dxa"/>
            <w:vAlign w:val="bottom"/>
            <w:tcBorders>
              <w:bottom w:val="single" w:sz="8" w:color="0077C0"/>
            </w:tcBorders>
          </w:tcPr>
          <w:p>
            <w:pPr>
              <w:spacing w:after="0"/>
              <w:rPr>
                <w:sz w:val="2"/>
                <w:szCs w:val="2"/>
                <w:color w:val="auto"/>
              </w:rPr>
            </w:pPr>
          </w:p>
        </w:tc>
        <w:tc>
          <w:tcPr>
            <w:tcW w:w="720" w:type="dxa"/>
            <w:vAlign w:val="bottom"/>
            <w:tcBorders>
              <w:bottom w:val="single" w:sz="8" w:color="0077C0"/>
            </w:tcBorders>
          </w:tcPr>
          <w:p>
            <w:pPr>
              <w:spacing w:after="0"/>
              <w:rPr>
                <w:sz w:val="2"/>
                <w:szCs w:val="2"/>
                <w:color w:val="auto"/>
              </w:rPr>
            </w:pPr>
          </w:p>
        </w:tc>
        <w:tc>
          <w:tcPr>
            <w:tcW w:w="10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80" w:type="dxa"/>
            <w:vAlign w:val="bottom"/>
            <w:tcBorders>
              <w:bottom w:val="single" w:sz="8" w:color="0077C0"/>
            </w:tcBorders>
          </w:tcPr>
          <w:p>
            <w:pPr>
              <w:ind w:left="240"/>
              <w:spacing w:after="0"/>
              <w:rPr>
                <w:sz w:val="20"/>
                <w:szCs w:val="20"/>
                <w:color w:val="auto"/>
              </w:rPr>
            </w:pPr>
            <w:r>
              <w:rPr>
                <w:rFonts w:ascii="Times New Roman" w:cs="Times New Roman" w:eastAsia="Times New Roman" w:hAnsi="Times New Roman"/>
                <w:sz w:val="14"/>
                <w:szCs w:val="14"/>
                <w:color w:val="auto"/>
              </w:rPr>
              <w:t>Less: Net income (loss) attributable to non-controlling interests</w:t>
            </w:r>
          </w:p>
        </w:tc>
        <w:tc>
          <w:tcPr>
            <w:tcW w:w="460" w:type="dxa"/>
            <w:vAlign w:val="bottom"/>
            <w:tcBorders>
              <w:bottom w:val="single" w:sz="8" w:color="0077C0"/>
            </w:tcBorders>
          </w:tcPr>
          <w:p>
            <w:pPr>
              <w:spacing w:after="0"/>
              <w:rPr>
                <w:sz w:val="16"/>
                <w:szCs w:val="16"/>
                <w:color w:val="auto"/>
              </w:rPr>
            </w:pPr>
          </w:p>
        </w:tc>
        <w:tc>
          <w:tcPr>
            <w:tcW w:w="7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420" w:type="dxa"/>
            <w:vAlign w:val="bottom"/>
            <w:tcBorders>
              <w:bottom w:val="single" w:sz="8" w:color="0077C0"/>
            </w:tcBorders>
          </w:tcPr>
          <w:p>
            <w:pPr>
              <w:spacing w:after="0"/>
              <w:rPr>
                <w:sz w:val="16"/>
                <w:szCs w:val="16"/>
                <w:color w:val="auto"/>
              </w:rPr>
            </w:pP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460" w:type="dxa"/>
            <w:vAlign w:val="bottom"/>
            <w:tcBorders>
              <w:bottom w:val="single" w:sz="8" w:color="0077C0"/>
            </w:tcBorders>
          </w:tcPr>
          <w:p>
            <w:pPr>
              <w:spacing w:after="0"/>
              <w:rPr>
                <w:sz w:val="16"/>
                <w:szCs w:val="16"/>
                <w:color w:val="auto"/>
              </w:rPr>
            </w:pPr>
          </w:p>
        </w:tc>
        <w:tc>
          <w:tcPr>
            <w:tcW w:w="7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0077C0"/>
            </w:tcBorders>
          </w:tcPr>
          <w:p>
            <w:pPr>
              <w:spacing w:after="0"/>
              <w:rPr>
                <w:sz w:val="16"/>
                <w:szCs w:val="16"/>
                <w:color w:val="auto"/>
              </w:rPr>
            </w:pP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40" w:type="dxa"/>
            <w:vAlign w:val="bottom"/>
            <w:tcBorders>
              <w:bottom w:val="single" w:sz="8" w:color="0077C0"/>
            </w:tcBorders>
          </w:tcPr>
          <w:p>
            <w:pPr>
              <w:spacing w:after="0"/>
              <w:rPr>
                <w:sz w:val="16"/>
                <w:szCs w:val="16"/>
                <w:color w:val="auto"/>
              </w:rPr>
            </w:pP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Borders>
              <w:bottom w:val="single" w:sz="8" w:color="0077C0"/>
            </w:tcBorders>
          </w:tcPr>
          <w:p>
            <w:pPr>
              <w:spacing w:after="0"/>
              <w:rPr>
                <w:sz w:val="16"/>
                <w:szCs w:val="16"/>
                <w:color w:val="auto"/>
              </w:rPr>
            </w:pPr>
          </w:p>
        </w:tc>
        <w:tc>
          <w:tcPr>
            <w:tcW w:w="7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0077C0"/>
            </w:tcBorders>
          </w:tcPr>
          <w:p>
            <w:pPr>
              <w:spacing w:after="0"/>
              <w:rPr>
                <w:sz w:val="16"/>
                <w:szCs w:val="16"/>
                <w:color w:val="auto"/>
              </w:rPr>
            </w:pPr>
          </w:p>
        </w:tc>
        <w:tc>
          <w:tcPr>
            <w:tcW w:w="66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190"/>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 Attributable to Chevron Corporation</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12,621</w:t>
            </w:r>
          </w:p>
        </w:tc>
        <w:tc>
          <w:tcPr>
            <w:tcW w:w="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17,663</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5,394</w:t>
            </w:r>
          </w:p>
        </w:tc>
        <w:tc>
          <w:tcPr>
            <w:tcW w:w="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2,761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38,439</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(2,974)</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35,465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7620</wp:posOffset>
            </wp:positionV>
            <wp:extent cx="69608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60870" cy="8890"/>
                    </a:xfrm>
                    <a:prstGeom prst="rect">
                      <a:avLst/>
                    </a:prstGeom>
                    <a:noFill/>
                  </pic:spPr>
                </pic:pic>
              </a:graphicData>
            </a:graphic>
          </wp:anchor>
        </w:drawing>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Values have been adjusted for eliminations, unless otherwise specified.</w:t>
      </w:r>
    </w:p>
    <w:p>
      <w:pPr>
        <w:spacing w:after="0" w:line="18" w:lineRule="exact"/>
        <w:rPr>
          <w:sz w:val="20"/>
          <w:szCs w:val="20"/>
          <w:color w:val="auto"/>
        </w:rPr>
      </w:pPr>
    </w:p>
    <w:p>
      <w:pPr>
        <w:ind w:left="160" w:hanging="53"/>
        <w:spacing w:after="0"/>
        <w:tabs>
          <w:tab w:leader="none" w:pos="160" w:val="left"/>
        </w:tabs>
        <w:numPr>
          <w:ilvl w:val="0"/>
          <w:numId w:val="42"/>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Includes interest income of $261 in “All Other.”</w:t>
      </w:r>
    </w:p>
    <w:p>
      <w:pPr>
        <w:spacing w:after="0" w:line="17" w:lineRule="exact"/>
        <w:rPr>
          <w:sz w:val="20"/>
          <w:szCs w:val="20"/>
          <w:color w:val="auto"/>
        </w:rPr>
      </w:pPr>
    </w:p>
    <w:p>
      <w:pPr>
        <w:ind w:left="160" w:hanging="53"/>
        <w:spacing w:after="0"/>
        <w:tabs>
          <w:tab w:leader="none" w:pos="160" w:val="left"/>
        </w:tabs>
        <w:numPr>
          <w:ilvl w:val="0"/>
          <w:numId w:val="4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Valuation of product transfers between operating segments.</w:t>
      </w:r>
    </w:p>
    <w:p>
      <w:pPr>
        <w:spacing w:after="0" w:line="138" w:lineRule="exact"/>
        <w:rPr>
          <w:sz w:val="20"/>
          <w:szCs w:val="20"/>
          <w:color w:val="auto"/>
        </w:rPr>
      </w:pPr>
    </w:p>
    <w:p>
      <w:pPr>
        <w:ind w:left="160" w:hanging="53"/>
        <w:spacing w:after="0"/>
        <w:tabs>
          <w:tab w:leader="none" w:pos="160" w:val="left"/>
        </w:tabs>
        <w:numPr>
          <w:ilvl w:val="0"/>
          <w:numId w:val="44"/>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Includes interest expense of $476 in “All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83" w:name="page84"/>
    <w:bookmarkEnd w:id="83"/>
    <w:p>
      <w:pPr>
        <w:ind w:left="20"/>
        <w:spacing w:after="0"/>
        <w:tabs>
          <w:tab w:leader="none" w:pos="9460" w:val="left"/>
        </w:tabs>
        <w:rPr>
          <w:sz w:val="20"/>
          <w:szCs w:val="20"/>
          <w:color w:val="auto"/>
        </w:rPr>
      </w:pPr>
      <w:r>
        <w:rPr>
          <w:rFonts w:ascii="Arial" w:cs="Arial" w:eastAsia="Arial" w:hAnsi="Arial"/>
          <w:sz w:val="14"/>
          <w:szCs w:val="14"/>
          <w:color w:val="0077C0"/>
        </w:rPr>
        <w:t>Notes to the Consolidated Financial Statements</w:t>
      </w:r>
      <w:r>
        <w:rPr>
          <w:sz w:val="20"/>
          <w:szCs w:val="20"/>
          <w:color w:val="auto"/>
        </w:rPr>
        <w:tab/>
      </w:r>
      <w:r>
        <w:rPr>
          <w:rFonts w:ascii="Arial" w:cs="Arial" w:eastAsia="Arial" w:hAnsi="Arial"/>
          <w:sz w:val="14"/>
          <w:szCs w:val="14"/>
          <w:color w:val="0077C0"/>
        </w:rPr>
        <w:t>Financial Table of Contents</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11"/>
          <w:szCs w:val="11"/>
          <w:color w:val="0077C0"/>
        </w:rPr>
        <w:t>Millions of dollars, except per-share amounts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FF0000"/>
        </w:rPr>
        <w:t xml:space="preserve">Segment Assets </w:t>
      </w:r>
      <w:r>
        <w:rPr>
          <w:rFonts w:ascii="Times New Roman" w:cs="Times New Roman" w:eastAsia="Times New Roman" w:hAnsi="Times New Roman"/>
          <w:sz w:val="18"/>
          <w:szCs w:val="18"/>
          <w:color w:val="000000"/>
        </w:rPr>
        <w:t>Segment assets do not include intercompany investments or receivables. Assets at year-end 2024 and 2023 are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At December 31</w:t>
            </w:r>
          </w:p>
        </w:tc>
      </w:tr>
      <w:tr>
        <w:trPr>
          <w:trHeight w:val="23"/>
        </w:trPr>
        <w:tc>
          <w:tcPr>
            <w:tcW w:w="8200" w:type="dxa"/>
            <w:vAlign w:val="bottom"/>
          </w:tcPr>
          <w:p>
            <w:pPr>
              <w:spacing w:after="0"/>
              <w:rPr>
                <w:sz w:val="2"/>
                <w:szCs w:val="2"/>
                <w:color w:val="auto"/>
              </w:rPr>
            </w:pPr>
          </w:p>
        </w:tc>
        <w:tc>
          <w:tcPr>
            <w:tcW w:w="460" w:type="dxa"/>
            <w:vAlign w:val="bottom"/>
            <w:tcBorders>
              <w:bottom w:val="single" w:sz="8" w:color="0077C0"/>
            </w:tcBorders>
          </w:tcPr>
          <w:p>
            <w:pPr>
              <w:spacing w:after="0"/>
              <w:rPr>
                <w:sz w:val="2"/>
                <w:szCs w:val="2"/>
                <w:color w:val="auto"/>
              </w:rPr>
            </w:pPr>
          </w:p>
        </w:tc>
        <w:tc>
          <w:tcPr>
            <w:tcW w:w="1040" w:type="dxa"/>
            <w:vAlign w:val="bottom"/>
            <w:tcBorders>
              <w:bottom w:val="single" w:sz="8" w:color="0077C0"/>
            </w:tcBorders>
          </w:tcPr>
          <w:p>
            <w:pPr>
              <w:spacing w:after="0"/>
              <w:rPr>
                <w:sz w:val="2"/>
                <w:szCs w:val="2"/>
                <w:color w:val="auto"/>
              </w:rPr>
            </w:pPr>
          </w:p>
        </w:tc>
        <w:tc>
          <w:tcPr>
            <w:tcW w:w="380" w:type="dxa"/>
            <w:vAlign w:val="bottom"/>
            <w:tcBorders>
              <w:bottom w:val="single" w:sz="8" w:color="0077C0"/>
            </w:tcBorders>
          </w:tcPr>
          <w:p>
            <w:pPr>
              <w:spacing w:after="0"/>
              <w:rPr>
                <w:sz w:val="2"/>
                <w:szCs w:val="2"/>
                <w:color w:val="auto"/>
              </w:rPr>
            </w:pPr>
          </w:p>
        </w:tc>
        <w:tc>
          <w:tcPr>
            <w:tcW w:w="1160" w:type="dxa"/>
            <w:vAlign w:val="bottom"/>
            <w:tcBorders>
              <w:bottom w:val="single" w:sz="8" w:color="0077C0"/>
            </w:tcBorders>
          </w:tcPr>
          <w:p>
            <w:pPr>
              <w:spacing w:after="0"/>
              <w:rPr>
                <w:sz w:val="2"/>
                <w:szCs w:val="2"/>
                <w:color w:val="auto"/>
              </w:rPr>
            </w:pPr>
          </w:p>
        </w:tc>
      </w:tr>
      <w:tr>
        <w:trPr>
          <w:trHeight w:val="190"/>
        </w:trPr>
        <w:tc>
          <w:tcPr>
            <w:tcW w:w="8200" w:type="dxa"/>
            <w:vAlign w:val="bottom"/>
            <w:tcBorders>
              <w:bottom w:val="single" w:sz="8" w:color="0077C0"/>
            </w:tcBorders>
          </w:tcPr>
          <w:p>
            <w:pPr>
              <w:spacing w:after="0"/>
              <w:rPr>
                <w:sz w:val="16"/>
                <w:szCs w:val="16"/>
                <w:color w:val="auto"/>
              </w:rPr>
            </w:pPr>
          </w:p>
        </w:tc>
        <w:tc>
          <w:tcPr>
            <w:tcW w:w="460" w:type="dxa"/>
            <w:vAlign w:val="bottom"/>
            <w:tcBorders>
              <w:bottom w:val="single" w:sz="8" w:color="0077C0"/>
            </w:tcBorders>
          </w:tcPr>
          <w:p>
            <w:pPr>
              <w:spacing w:after="0"/>
              <w:rPr>
                <w:sz w:val="16"/>
                <w:szCs w:val="16"/>
                <w:color w:val="auto"/>
              </w:rPr>
            </w:pPr>
          </w:p>
        </w:tc>
        <w:tc>
          <w:tcPr>
            <w:tcW w:w="1040" w:type="dxa"/>
            <w:vAlign w:val="bottom"/>
            <w:tcBorders>
              <w:bottom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0077C0"/>
            </w:tcBorders>
          </w:tcPr>
          <w:p>
            <w:pPr>
              <w:spacing w:after="0"/>
              <w:rPr>
                <w:sz w:val="16"/>
                <w:szCs w:val="16"/>
                <w:color w:val="auto"/>
              </w:rPr>
            </w:pPr>
          </w:p>
        </w:tc>
        <w:tc>
          <w:tcPr>
            <w:tcW w:w="11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188"/>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Upstream</w:t>
            </w:r>
          </w:p>
        </w:tc>
        <w:tc>
          <w:tcPr>
            <w:tcW w:w="460" w:type="dxa"/>
            <w:vAlign w:val="bottom"/>
          </w:tcPr>
          <w:p>
            <w:pPr>
              <w:spacing w:after="0"/>
              <w:rPr>
                <w:sz w:val="16"/>
                <w:szCs w:val="16"/>
                <w:color w:val="auto"/>
              </w:rPr>
            </w:pPr>
          </w:p>
        </w:tc>
        <w:tc>
          <w:tcPr>
            <w:tcW w:w="1040" w:type="dxa"/>
            <w:vAlign w:val="bottom"/>
            <w:tcBorders>
              <w:right w:val="single" w:sz="8" w:color="0077C0"/>
            </w:tcBorders>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3"/>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60,914</w:t>
            </w:r>
          </w:p>
        </w:tc>
        <w:tc>
          <w:tcPr>
            <w:tcW w:w="3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58,750</w:t>
            </w:r>
          </w:p>
        </w:tc>
      </w:tr>
      <w:tr>
        <w:trPr>
          <w:trHeight w:val="203"/>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International</w:t>
            </w:r>
          </w:p>
        </w:tc>
        <w:tc>
          <w:tcPr>
            <w:tcW w:w="460" w:type="dxa"/>
            <w:vAlign w:val="bottom"/>
          </w:tcPr>
          <w:p>
            <w:pPr>
              <w:spacing w:after="0"/>
              <w:rPr>
                <w:sz w:val="17"/>
                <w:szCs w:val="17"/>
                <w:color w:val="auto"/>
              </w:rPr>
            </w:pPr>
          </w:p>
        </w:tc>
        <w:tc>
          <w:tcPr>
            <w:tcW w:w="104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123,343</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131,685</w:t>
            </w:r>
          </w:p>
        </w:tc>
      </w:tr>
      <w:tr>
        <w:trPr>
          <w:trHeight w:val="203"/>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Goodwill</w:t>
            </w:r>
          </w:p>
        </w:tc>
        <w:tc>
          <w:tcPr>
            <w:tcW w:w="460" w:type="dxa"/>
            <w:vAlign w:val="bottom"/>
          </w:tcPr>
          <w:p>
            <w:pPr>
              <w:spacing w:after="0"/>
              <w:rPr>
                <w:sz w:val="17"/>
                <w:szCs w:val="17"/>
                <w:color w:val="auto"/>
              </w:rPr>
            </w:pPr>
          </w:p>
        </w:tc>
        <w:tc>
          <w:tcPr>
            <w:tcW w:w="104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4,226</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4,370</w:t>
            </w:r>
          </w:p>
        </w:tc>
      </w:tr>
      <w:tr>
        <w:trPr>
          <w:trHeight w:val="23"/>
        </w:trPr>
        <w:tc>
          <w:tcPr>
            <w:tcW w:w="8200" w:type="dxa"/>
            <w:vAlign w:val="bottom"/>
            <w:tcBorders>
              <w:bottom w:val="single" w:sz="8" w:color="0077C0"/>
            </w:tcBorders>
          </w:tcPr>
          <w:p>
            <w:pPr>
              <w:spacing w:after="0"/>
              <w:rPr>
                <w:sz w:val="2"/>
                <w:szCs w:val="2"/>
                <w:color w:val="auto"/>
              </w:rPr>
            </w:pPr>
          </w:p>
        </w:tc>
        <w:tc>
          <w:tcPr>
            <w:tcW w:w="460" w:type="dxa"/>
            <w:vAlign w:val="bottom"/>
            <w:tcBorders>
              <w:bottom w:val="single" w:sz="8" w:color="0077C0"/>
            </w:tcBorders>
          </w:tcPr>
          <w:p>
            <w:pPr>
              <w:spacing w:after="0"/>
              <w:rPr>
                <w:sz w:val="2"/>
                <w:szCs w:val="2"/>
                <w:color w:val="auto"/>
              </w:rPr>
            </w:pPr>
          </w:p>
        </w:tc>
        <w:tc>
          <w:tcPr>
            <w:tcW w:w="1040" w:type="dxa"/>
            <w:vAlign w:val="bottom"/>
            <w:tcBorders>
              <w:bottom w:val="single" w:sz="8" w:color="0077C0"/>
              <w:right w:val="single" w:sz="8" w:color="0077C0"/>
            </w:tcBorders>
          </w:tcPr>
          <w:p>
            <w:pPr>
              <w:spacing w:after="0"/>
              <w:rPr>
                <w:sz w:val="2"/>
                <w:szCs w:val="2"/>
                <w:color w:val="auto"/>
              </w:rPr>
            </w:pPr>
          </w:p>
        </w:tc>
        <w:tc>
          <w:tcPr>
            <w:tcW w:w="380" w:type="dxa"/>
            <w:vAlign w:val="bottom"/>
            <w:tcBorders>
              <w:bottom w:val="single" w:sz="8" w:color="0077C0"/>
            </w:tcBorders>
          </w:tcPr>
          <w:p>
            <w:pPr>
              <w:spacing w:after="0"/>
              <w:rPr>
                <w:sz w:val="2"/>
                <w:szCs w:val="2"/>
                <w:color w:val="auto"/>
              </w:rPr>
            </w:pPr>
          </w:p>
        </w:tc>
        <w:tc>
          <w:tcPr>
            <w:tcW w:w="1160" w:type="dxa"/>
            <w:vAlign w:val="bottom"/>
            <w:tcBorders>
              <w:bottom w:val="single" w:sz="8" w:color="0077C0"/>
            </w:tcBorders>
          </w:tcPr>
          <w:p>
            <w:pPr>
              <w:spacing w:after="0"/>
              <w:rPr>
                <w:sz w:val="2"/>
                <w:szCs w:val="2"/>
                <w:color w:val="auto"/>
              </w:rPr>
            </w:pPr>
          </w:p>
        </w:tc>
      </w:tr>
      <w:tr>
        <w:trPr>
          <w:trHeight w:val="190"/>
        </w:trPr>
        <w:tc>
          <w:tcPr>
            <w:tcW w:w="820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Upstream</w:t>
            </w:r>
          </w:p>
        </w:tc>
        <w:tc>
          <w:tcPr>
            <w:tcW w:w="460" w:type="dxa"/>
            <w:vAlign w:val="bottom"/>
            <w:tcBorders>
              <w:bottom w:val="single" w:sz="8" w:color="0077C0"/>
            </w:tcBorders>
          </w:tcPr>
          <w:p>
            <w:pPr>
              <w:spacing w:after="0"/>
              <w:rPr>
                <w:sz w:val="16"/>
                <w:szCs w:val="16"/>
                <w:color w:val="auto"/>
              </w:rPr>
            </w:pPr>
          </w:p>
        </w:tc>
        <w:tc>
          <w:tcPr>
            <w:tcW w:w="1040" w:type="dxa"/>
            <w:vAlign w:val="bottom"/>
            <w:tcBorders>
              <w:bottom w:val="single" w:sz="8" w:color="0077C0"/>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188,483</w:t>
            </w:r>
          </w:p>
        </w:tc>
        <w:tc>
          <w:tcPr>
            <w:tcW w:w="380" w:type="dxa"/>
            <w:vAlign w:val="bottom"/>
            <w:tcBorders>
              <w:bottom w:val="single" w:sz="8" w:color="0077C0"/>
            </w:tcBorders>
          </w:tcPr>
          <w:p>
            <w:pPr>
              <w:spacing w:after="0"/>
              <w:rPr>
                <w:sz w:val="16"/>
                <w:szCs w:val="16"/>
                <w:color w:val="auto"/>
              </w:rPr>
            </w:pPr>
          </w:p>
        </w:tc>
        <w:tc>
          <w:tcPr>
            <w:tcW w:w="11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194,805</w:t>
            </w:r>
          </w:p>
        </w:tc>
      </w:tr>
      <w:tr>
        <w:trPr>
          <w:trHeight w:val="188"/>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Downstream</w:t>
            </w:r>
          </w:p>
        </w:tc>
        <w:tc>
          <w:tcPr>
            <w:tcW w:w="460" w:type="dxa"/>
            <w:vAlign w:val="bottom"/>
          </w:tcPr>
          <w:p>
            <w:pPr>
              <w:spacing w:after="0"/>
              <w:rPr>
                <w:sz w:val="16"/>
                <w:szCs w:val="16"/>
                <w:color w:val="auto"/>
              </w:rPr>
            </w:pPr>
          </w:p>
        </w:tc>
        <w:tc>
          <w:tcPr>
            <w:tcW w:w="1040" w:type="dxa"/>
            <w:vAlign w:val="bottom"/>
            <w:tcBorders>
              <w:right w:val="single" w:sz="8" w:color="0077C0"/>
            </w:tcBorders>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3"/>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460" w:type="dxa"/>
            <w:vAlign w:val="bottom"/>
          </w:tcPr>
          <w:p>
            <w:pPr>
              <w:spacing w:after="0"/>
              <w:rPr>
                <w:sz w:val="16"/>
                <w:szCs w:val="16"/>
                <w:color w:val="auto"/>
              </w:rPr>
            </w:pPr>
          </w:p>
        </w:tc>
        <w:tc>
          <w:tcPr>
            <w:tcW w:w="104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34,253</w:t>
            </w:r>
          </w:p>
        </w:tc>
        <w:tc>
          <w:tcPr>
            <w:tcW w:w="3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33,066</w:t>
            </w:r>
          </w:p>
        </w:tc>
      </w:tr>
      <w:tr>
        <w:trPr>
          <w:trHeight w:val="203"/>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International</w:t>
            </w:r>
          </w:p>
        </w:tc>
        <w:tc>
          <w:tcPr>
            <w:tcW w:w="460" w:type="dxa"/>
            <w:vAlign w:val="bottom"/>
          </w:tcPr>
          <w:p>
            <w:pPr>
              <w:spacing w:after="0"/>
              <w:rPr>
                <w:sz w:val="17"/>
                <w:szCs w:val="17"/>
                <w:color w:val="auto"/>
              </w:rPr>
            </w:pPr>
          </w:p>
        </w:tc>
        <w:tc>
          <w:tcPr>
            <w:tcW w:w="104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22,165</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21,070</w:t>
            </w:r>
          </w:p>
        </w:tc>
      </w:tr>
      <w:tr>
        <w:trPr>
          <w:trHeight w:val="203"/>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Goodwill</w:t>
            </w:r>
          </w:p>
        </w:tc>
        <w:tc>
          <w:tcPr>
            <w:tcW w:w="460" w:type="dxa"/>
            <w:vAlign w:val="bottom"/>
          </w:tcPr>
          <w:p>
            <w:pPr>
              <w:spacing w:after="0"/>
              <w:rPr>
                <w:sz w:val="17"/>
                <w:szCs w:val="17"/>
                <w:color w:val="auto"/>
              </w:rPr>
            </w:pPr>
          </w:p>
        </w:tc>
        <w:tc>
          <w:tcPr>
            <w:tcW w:w="104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352</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r>
      <w:tr>
        <w:trPr>
          <w:trHeight w:val="23"/>
        </w:trPr>
        <w:tc>
          <w:tcPr>
            <w:tcW w:w="8200" w:type="dxa"/>
            <w:vAlign w:val="bottom"/>
            <w:tcBorders>
              <w:bottom w:val="single" w:sz="8" w:color="0077C0"/>
            </w:tcBorders>
          </w:tcPr>
          <w:p>
            <w:pPr>
              <w:spacing w:after="0"/>
              <w:rPr>
                <w:sz w:val="2"/>
                <w:szCs w:val="2"/>
                <w:color w:val="auto"/>
              </w:rPr>
            </w:pPr>
          </w:p>
        </w:tc>
        <w:tc>
          <w:tcPr>
            <w:tcW w:w="460" w:type="dxa"/>
            <w:vAlign w:val="bottom"/>
            <w:tcBorders>
              <w:bottom w:val="single" w:sz="8" w:color="0077C0"/>
            </w:tcBorders>
          </w:tcPr>
          <w:p>
            <w:pPr>
              <w:spacing w:after="0"/>
              <w:rPr>
                <w:sz w:val="2"/>
                <w:szCs w:val="2"/>
                <w:color w:val="auto"/>
              </w:rPr>
            </w:pPr>
          </w:p>
        </w:tc>
        <w:tc>
          <w:tcPr>
            <w:tcW w:w="1040" w:type="dxa"/>
            <w:vAlign w:val="bottom"/>
            <w:tcBorders>
              <w:bottom w:val="single" w:sz="8" w:color="0077C0"/>
              <w:right w:val="single" w:sz="8" w:color="0077C0"/>
            </w:tcBorders>
          </w:tcPr>
          <w:p>
            <w:pPr>
              <w:spacing w:after="0"/>
              <w:rPr>
                <w:sz w:val="2"/>
                <w:szCs w:val="2"/>
                <w:color w:val="auto"/>
              </w:rPr>
            </w:pPr>
          </w:p>
        </w:tc>
        <w:tc>
          <w:tcPr>
            <w:tcW w:w="380" w:type="dxa"/>
            <w:vAlign w:val="bottom"/>
            <w:tcBorders>
              <w:bottom w:val="single" w:sz="8" w:color="0077C0"/>
            </w:tcBorders>
          </w:tcPr>
          <w:p>
            <w:pPr>
              <w:spacing w:after="0"/>
              <w:rPr>
                <w:sz w:val="2"/>
                <w:szCs w:val="2"/>
                <w:color w:val="auto"/>
              </w:rPr>
            </w:pPr>
          </w:p>
        </w:tc>
        <w:tc>
          <w:tcPr>
            <w:tcW w:w="1160" w:type="dxa"/>
            <w:vAlign w:val="bottom"/>
            <w:tcBorders>
              <w:bottom w:val="single" w:sz="8" w:color="0077C0"/>
            </w:tcBorders>
          </w:tcPr>
          <w:p>
            <w:pPr>
              <w:spacing w:after="0"/>
              <w:rPr>
                <w:sz w:val="2"/>
                <w:szCs w:val="2"/>
                <w:color w:val="auto"/>
              </w:rPr>
            </w:pPr>
          </w:p>
        </w:tc>
      </w:tr>
      <w:tr>
        <w:trPr>
          <w:trHeight w:val="190"/>
        </w:trPr>
        <w:tc>
          <w:tcPr>
            <w:tcW w:w="820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Downstream</w:t>
            </w:r>
          </w:p>
        </w:tc>
        <w:tc>
          <w:tcPr>
            <w:tcW w:w="460" w:type="dxa"/>
            <w:vAlign w:val="bottom"/>
            <w:tcBorders>
              <w:bottom w:val="single" w:sz="8" w:color="0077C0"/>
            </w:tcBorders>
          </w:tcPr>
          <w:p>
            <w:pPr>
              <w:spacing w:after="0"/>
              <w:rPr>
                <w:sz w:val="16"/>
                <w:szCs w:val="16"/>
                <w:color w:val="auto"/>
              </w:rPr>
            </w:pPr>
          </w:p>
        </w:tc>
        <w:tc>
          <w:tcPr>
            <w:tcW w:w="1040" w:type="dxa"/>
            <w:vAlign w:val="bottom"/>
            <w:tcBorders>
              <w:bottom w:val="single" w:sz="8" w:color="0077C0"/>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56,770</w:t>
            </w:r>
          </w:p>
        </w:tc>
        <w:tc>
          <w:tcPr>
            <w:tcW w:w="380" w:type="dxa"/>
            <w:vAlign w:val="bottom"/>
            <w:tcBorders>
              <w:bottom w:val="single" w:sz="8" w:color="0077C0"/>
            </w:tcBorders>
          </w:tcPr>
          <w:p>
            <w:pPr>
              <w:spacing w:after="0"/>
              <w:rPr>
                <w:sz w:val="16"/>
                <w:szCs w:val="16"/>
                <w:color w:val="auto"/>
              </w:rPr>
            </w:pPr>
          </w:p>
        </w:tc>
        <w:tc>
          <w:tcPr>
            <w:tcW w:w="11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54,488</w:t>
            </w:r>
          </w:p>
        </w:tc>
      </w:tr>
      <w:tr>
        <w:trPr>
          <w:trHeight w:val="190"/>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Segment Assets</w:t>
            </w:r>
          </w:p>
        </w:tc>
        <w:tc>
          <w:tcPr>
            <w:tcW w:w="460" w:type="dxa"/>
            <w:vAlign w:val="bottom"/>
          </w:tcPr>
          <w:p>
            <w:pPr>
              <w:spacing w:after="0"/>
              <w:rPr>
                <w:sz w:val="16"/>
                <w:szCs w:val="16"/>
                <w:color w:val="auto"/>
              </w:rPr>
            </w:pPr>
          </w:p>
        </w:tc>
        <w:tc>
          <w:tcPr>
            <w:tcW w:w="104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245,253</w:t>
            </w:r>
          </w:p>
        </w:tc>
        <w:tc>
          <w:tcPr>
            <w:tcW w:w="3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249,293</w:t>
            </w:r>
          </w:p>
        </w:tc>
      </w:tr>
      <w:tr>
        <w:trPr>
          <w:trHeight w:val="191"/>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 Other</w:t>
            </w:r>
          </w:p>
        </w:tc>
        <w:tc>
          <w:tcPr>
            <w:tcW w:w="460" w:type="dxa"/>
            <w:vAlign w:val="bottom"/>
          </w:tcPr>
          <w:p>
            <w:pPr>
              <w:spacing w:after="0"/>
              <w:rPr>
                <w:sz w:val="16"/>
                <w:szCs w:val="16"/>
                <w:color w:val="auto"/>
              </w:rPr>
            </w:pPr>
          </w:p>
        </w:tc>
        <w:tc>
          <w:tcPr>
            <w:tcW w:w="1040" w:type="dxa"/>
            <w:vAlign w:val="bottom"/>
            <w:tcBorders>
              <w:right w:val="single" w:sz="8" w:color="0077C0"/>
            </w:tcBorders>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3"/>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460" w:type="dxa"/>
            <w:vAlign w:val="bottom"/>
          </w:tcPr>
          <w:p>
            <w:pPr>
              <w:spacing w:after="0"/>
              <w:rPr>
                <w:sz w:val="17"/>
                <w:szCs w:val="17"/>
                <w:color w:val="auto"/>
              </w:rPr>
            </w:pPr>
          </w:p>
        </w:tc>
        <w:tc>
          <w:tcPr>
            <w:tcW w:w="104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8,382</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10,292</w:t>
            </w:r>
          </w:p>
        </w:tc>
      </w:tr>
      <w:tr>
        <w:trPr>
          <w:trHeight w:val="203"/>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International</w:t>
            </w:r>
          </w:p>
        </w:tc>
        <w:tc>
          <w:tcPr>
            <w:tcW w:w="460" w:type="dxa"/>
            <w:vAlign w:val="bottom"/>
          </w:tcPr>
          <w:p>
            <w:pPr>
              <w:spacing w:after="0"/>
              <w:rPr>
                <w:sz w:val="17"/>
                <w:szCs w:val="17"/>
                <w:color w:val="auto"/>
              </w:rPr>
            </w:pPr>
          </w:p>
        </w:tc>
        <w:tc>
          <w:tcPr>
            <w:tcW w:w="104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3,303</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2,047</w:t>
            </w:r>
          </w:p>
        </w:tc>
      </w:tr>
      <w:tr>
        <w:trPr>
          <w:trHeight w:val="23"/>
        </w:trPr>
        <w:tc>
          <w:tcPr>
            <w:tcW w:w="8200" w:type="dxa"/>
            <w:vAlign w:val="bottom"/>
            <w:tcBorders>
              <w:bottom w:val="single" w:sz="8" w:color="0077C0"/>
            </w:tcBorders>
          </w:tcPr>
          <w:p>
            <w:pPr>
              <w:spacing w:after="0"/>
              <w:rPr>
                <w:sz w:val="2"/>
                <w:szCs w:val="2"/>
                <w:color w:val="auto"/>
              </w:rPr>
            </w:pPr>
          </w:p>
        </w:tc>
        <w:tc>
          <w:tcPr>
            <w:tcW w:w="460" w:type="dxa"/>
            <w:vAlign w:val="bottom"/>
            <w:tcBorders>
              <w:bottom w:val="single" w:sz="8" w:color="0077C0"/>
            </w:tcBorders>
          </w:tcPr>
          <w:p>
            <w:pPr>
              <w:spacing w:after="0"/>
              <w:rPr>
                <w:sz w:val="2"/>
                <w:szCs w:val="2"/>
                <w:color w:val="auto"/>
              </w:rPr>
            </w:pPr>
          </w:p>
        </w:tc>
        <w:tc>
          <w:tcPr>
            <w:tcW w:w="1040" w:type="dxa"/>
            <w:vAlign w:val="bottom"/>
            <w:tcBorders>
              <w:bottom w:val="single" w:sz="8" w:color="0077C0"/>
              <w:right w:val="single" w:sz="8" w:color="0077C0"/>
            </w:tcBorders>
          </w:tcPr>
          <w:p>
            <w:pPr>
              <w:spacing w:after="0"/>
              <w:rPr>
                <w:sz w:val="2"/>
                <w:szCs w:val="2"/>
                <w:color w:val="auto"/>
              </w:rPr>
            </w:pPr>
          </w:p>
        </w:tc>
        <w:tc>
          <w:tcPr>
            <w:tcW w:w="380" w:type="dxa"/>
            <w:vAlign w:val="bottom"/>
            <w:tcBorders>
              <w:bottom w:val="single" w:sz="8" w:color="0077C0"/>
            </w:tcBorders>
          </w:tcPr>
          <w:p>
            <w:pPr>
              <w:spacing w:after="0"/>
              <w:rPr>
                <w:sz w:val="2"/>
                <w:szCs w:val="2"/>
                <w:color w:val="auto"/>
              </w:rPr>
            </w:pPr>
          </w:p>
        </w:tc>
        <w:tc>
          <w:tcPr>
            <w:tcW w:w="1160" w:type="dxa"/>
            <w:vAlign w:val="bottom"/>
            <w:tcBorders>
              <w:bottom w:val="single" w:sz="8" w:color="0077C0"/>
            </w:tcBorders>
          </w:tcPr>
          <w:p>
            <w:pPr>
              <w:spacing w:after="0"/>
              <w:rPr>
                <w:sz w:val="2"/>
                <w:szCs w:val="2"/>
                <w:color w:val="auto"/>
              </w:rPr>
            </w:pPr>
          </w:p>
        </w:tc>
      </w:tr>
      <w:tr>
        <w:trPr>
          <w:trHeight w:val="190"/>
        </w:trPr>
        <w:tc>
          <w:tcPr>
            <w:tcW w:w="820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All Other</w:t>
            </w:r>
          </w:p>
        </w:tc>
        <w:tc>
          <w:tcPr>
            <w:tcW w:w="460" w:type="dxa"/>
            <w:vAlign w:val="bottom"/>
            <w:tcBorders>
              <w:bottom w:val="single" w:sz="8" w:color="0077C0"/>
            </w:tcBorders>
          </w:tcPr>
          <w:p>
            <w:pPr>
              <w:spacing w:after="0"/>
              <w:rPr>
                <w:sz w:val="16"/>
                <w:szCs w:val="16"/>
                <w:color w:val="auto"/>
              </w:rPr>
            </w:pPr>
          </w:p>
        </w:tc>
        <w:tc>
          <w:tcPr>
            <w:tcW w:w="1040" w:type="dxa"/>
            <w:vAlign w:val="bottom"/>
            <w:tcBorders>
              <w:bottom w:val="single" w:sz="8" w:color="0077C0"/>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11,685</w:t>
            </w:r>
          </w:p>
        </w:tc>
        <w:tc>
          <w:tcPr>
            <w:tcW w:w="380" w:type="dxa"/>
            <w:vAlign w:val="bottom"/>
            <w:tcBorders>
              <w:bottom w:val="single" w:sz="8" w:color="0077C0"/>
            </w:tcBorders>
          </w:tcPr>
          <w:p>
            <w:pPr>
              <w:spacing w:after="0"/>
              <w:rPr>
                <w:sz w:val="16"/>
                <w:szCs w:val="16"/>
                <w:color w:val="auto"/>
              </w:rPr>
            </w:pPr>
          </w:p>
        </w:tc>
        <w:tc>
          <w:tcPr>
            <w:tcW w:w="11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12,339</w:t>
            </w:r>
          </w:p>
        </w:tc>
      </w:tr>
      <w:tr>
        <w:trPr>
          <w:trHeight w:val="190"/>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 – United States</w:t>
            </w:r>
          </w:p>
        </w:tc>
        <w:tc>
          <w:tcPr>
            <w:tcW w:w="460" w:type="dxa"/>
            <w:vAlign w:val="bottom"/>
          </w:tcPr>
          <w:p>
            <w:pPr>
              <w:spacing w:after="0"/>
              <w:rPr>
                <w:sz w:val="16"/>
                <w:szCs w:val="16"/>
                <w:color w:val="auto"/>
              </w:rPr>
            </w:pPr>
          </w:p>
        </w:tc>
        <w:tc>
          <w:tcPr>
            <w:tcW w:w="104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103,549</w:t>
            </w:r>
          </w:p>
        </w:tc>
        <w:tc>
          <w:tcPr>
            <w:tcW w:w="3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102,108</w:t>
            </w:r>
          </w:p>
        </w:tc>
      </w:tr>
      <w:tr>
        <w:trPr>
          <w:trHeight w:val="191"/>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 – International</w:t>
            </w:r>
          </w:p>
        </w:tc>
        <w:tc>
          <w:tcPr>
            <w:tcW w:w="460" w:type="dxa"/>
            <w:vAlign w:val="bottom"/>
          </w:tcPr>
          <w:p>
            <w:pPr>
              <w:spacing w:after="0"/>
              <w:rPr>
                <w:sz w:val="16"/>
                <w:szCs w:val="16"/>
                <w:color w:val="auto"/>
              </w:rPr>
            </w:pPr>
          </w:p>
        </w:tc>
        <w:tc>
          <w:tcPr>
            <w:tcW w:w="104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148,811</w:t>
            </w:r>
          </w:p>
        </w:tc>
        <w:tc>
          <w:tcPr>
            <w:tcW w:w="3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154,802</w:t>
            </w:r>
          </w:p>
        </w:tc>
      </w:tr>
      <w:tr>
        <w:trPr>
          <w:trHeight w:val="203"/>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460" w:type="dxa"/>
            <w:vAlign w:val="bottom"/>
          </w:tcPr>
          <w:p>
            <w:pPr>
              <w:spacing w:after="0"/>
              <w:rPr>
                <w:sz w:val="17"/>
                <w:szCs w:val="17"/>
                <w:color w:val="auto"/>
              </w:rPr>
            </w:pPr>
          </w:p>
        </w:tc>
        <w:tc>
          <w:tcPr>
            <w:tcW w:w="104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4,578</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4,722</w:t>
            </w:r>
          </w:p>
        </w:tc>
      </w:tr>
      <w:tr>
        <w:trPr>
          <w:trHeight w:val="23"/>
        </w:trPr>
        <w:tc>
          <w:tcPr>
            <w:tcW w:w="8200" w:type="dxa"/>
            <w:vAlign w:val="bottom"/>
            <w:tcBorders>
              <w:bottom w:val="single" w:sz="8" w:color="0077C0"/>
            </w:tcBorders>
          </w:tcPr>
          <w:p>
            <w:pPr>
              <w:spacing w:after="0"/>
              <w:rPr>
                <w:sz w:val="2"/>
                <w:szCs w:val="2"/>
                <w:color w:val="auto"/>
              </w:rPr>
            </w:pPr>
          </w:p>
        </w:tc>
        <w:tc>
          <w:tcPr>
            <w:tcW w:w="460" w:type="dxa"/>
            <w:vAlign w:val="bottom"/>
            <w:tcBorders>
              <w:bottom w:val="single" w:sz="8" w:color="0077C0"/>
            </w:tcBorders>
          </w:tcPr>
          <w:p>
            <w:pPr>
              <w:spacing w:after="0"/>
              <w:rPr>
                <w:sz w:val="2"/>
                <w:szCs w:val="2"/>
                <w:color w:val="auto"/>
              </w:rPr>
            </w:pPr>
          </w:p>
        </w:tc>
        <w:tc>
          <w:tcPr>
            <w:tcW w:w="1040" w:type="dxa"/>
            <w:vAlign w:val="bottom"/>
            <w:tcBorders>
              <w:bottom w:val="single" w:sz="8" w:color="0077C0"/>
              <w:right w:val="single" w:sz="8" w:color="0077C0"/>
            </w:tcBorders>
          </w:tcPr>
          <w:p>
            <w:pPr>
              <w:spacing w:after="0"/>
              <w:rPr>
                <w:sz w:val="2"/>
                <w:szCs w:val="2"/>
                <w:color w:val="auto"/>
              </w:rPr>
            </w:pPr>
          </w:p>
        </w:tc>
        <w:tc>
          <w:tcPr>
            <w:tcW w:w="380" w:type="dxa"/>
            <w:vAlign w:val="bottom"/>
            <w:tcBorders>
              <w:bottom w:val="single" w:sz="8" w:color="0077C0"/>
            </w:tcBorders>
          </w:tcPr>
          <w:p>
            <w:pPr>
              <w:spacing w:after="0"/>
              <w:rPr>
                <w:sz w:val="2"/>
                <w:szCs w:val="2"/>
                <w:color w:val="auto"/>
              </w:rPr>
            </w:pPr>
          </w:p>
        </w:tc>
        <w:tc>
          <w:tcPr>
            <w:tcW w:w="1160" w:type="dxa"/>
            <w:vAlign w:val="bottom"/>
            <w:tcBorders>
              <w:bottom w:val="single" w:sz="8" w:color="0077C0"/>
            </w:tcBorders>
          </w:tcPr>
          <w:p>
            <w:pPr>
              <w:spacing w:after="0"/>
              <w:rPr>
                <w:sz w:val="2"/>
                <w:szCs w:val="2"/>
                <w:color w:val="auto"/>
              </w:rPr>
            </w:pPr>
          </w:p>
        </w:tc>
      </w:tr>
      <w:tr>
        <w:trPr>
          <w:trHeight w:val="190"/>
        </w:trPr>
        <w:tc>
          <w:tcPr>
            <w:tcW w:w="820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460" w:type="dxa"/>
            <w:vAlign w:val="bottom"/>
            <w:tcBorders>
              <w:bottom w:val="single" w:sz="8" w:color="0077C0"/>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0077C0"/>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256,938</w:t>
            </w:r>
          </w:p>
        </w:tc>
        <w:tc>
          <w:tcPr>
            <w:tcW w:w="380" w:type="dxa"/>
            <w:vAlign w:val="bottom"/>
            <w:tcBorders>
              <w:bottom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261,632</w:t>
            </w:r>
          </w:p>
        </w:tc>
      </w:tr>
    </w:tbl>
    <w:p>
      <w:pPr>
        <w:spacing w:after="0" w:line="16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Other Segment Information </w:t>
      </w:r>
      <w:r>
        <w:rPr>
          <w:rFonts w:ascii="Times New Roman" w:cs="Times New Roman" w:eastAsia="Times New Roman" w:hAnsi="Times New Roman"/>
          <w:sz w:val="18"/>
          <w:szCs w:val="18"/>
          <w:color w:val="000000"/>
        </w:rPr>
        <w:t>Additional information for the segmentation of major equity affiliates is contained in</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u w:val="single" w:color="auto"/>
          <w:color w:val="0000FF"/>
        </w:rPr>
        <w:t>Note 15 Investments and Advances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 xml:space="preserve">Information related to properties, plant and equipment by segment is contained in </w:t>
      </w:r>
      <w:r>
        <w:rPr>
          <w:rFonts w:ascii="Times New Roman" w:cs="Times New Roman" w:eastAsia="Times New Roman" w:hAnsi="Times New Roman"/>
          <w:sz w:val="18"/>
          <w:szCs w:val="18"/>
          <w:u w:val="single" w:color="auto"/>
          <w:color w:val="0000FF"/>
        </w:rPr>
        <w:t>Note 18 Properties, Plant and Equipment</w:t>
      </w:r>
      <w:r>
        <w:rPr>
          <w:rFonts w:ascii="Times New Roman" w:cs="Times New Roman" w:eastAsia="Times New Roman" w:hAnsi="Times New Roman"/>
          <w:sz w:val="18"/>
          <w:szCs w:val="18"/>
          <w:color w:val="000000"/>
        </w:rPr>
        <w:t xml:space="preserve">. Information related to unusual items is contained in </w:t>
      </w:r>
      <w:r>
        <w:rPr>
          <w:rFonts w:ascii="Times New Roman" w:cs="Times New Roman" w:eastAsia="Times New Roman" w:hAnsi="Times New Roman"/>
          <w:sz w:val="18"/>
          <w:szCs w:val="18"/>
          <w:u w:val="single" w:color="auto"/>
          <w:color w:val="0000FF"/>
        </w:rPr>
        <w:t>Note 27 Other Financial Information</w:t>
      </w:r>
      <w:r>
        <w:rPr>
          <w:rFonts w:ascii="Times New Roman" w:cs="Times New Roman" w:eastAsia="Times New Roman" w:hAnsi="Times New Roman"/>
          <w:sz w:val="18"/>
          <w:szCs w:val="18"/>
          <w:color w:val="000000"/>
        </w:rPr>
        <w:t>.</w:t>
      </w: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15</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0077C0"/>
        </w:rPr>
        <w:t>Investments and Advances</w:t>
      </w:r>
    </w:p>
    <w:p>
      <w:pPr>
        <w:spacing w:after="0" w:line="1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Equity in earnings, together with investments in and advances to companies accounted for using the equity method and other investments accounted for at or below cost, is shown in the following table. For certain equity affiliates, Chevron pays its share of some income taxes directly. For such affiliates, the equity in earnings does not include these taxes, which are reported on the Consolidated Statement of Income as “Income tax expense.”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Investments and Advances</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Equity in Earnings</w:t>
            </w:r>
          </w:p>
        </w:tc>
      </w:tr>
      <w:tr>
        <w:trPr>
          <w:trHeight w:val="203"/>
        </w:trPr>
        <w:tc>
          <w:tcPr>
            <w:tcW w:w="3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At December 31</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Year ended December 31</w:t>
            </w:r>
          </w:p>
        </w:tc>
      </w:tr>
      <w:tr>
        <w:trPr>
          <w:trHeight w:val="23"/>
        </w:trPr>
        <w:tc>
          <w:tcPr>
            <w:tcW w:w="3620" w:type="dxa"/>
            <w:vAlign w:val="bottom"/>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1260" w:type="dxa"/>
            <w:vAlign w:val="bottom"/>
            <w:tcBorders>
              <w:bottom w:val="single" w:sz="8" w:color="0077C0"/>
            </w:tcBorders>
            <w:gridSpan w:val="2"/>
          </w:tcPr>
          <w:p>
            <w:pPr>
              <w:spacing w:after="0"/>
              <w:rPr>
                <w:sz w:val="2"/>
                <w:szCs w:val="2"/>
                <w:color w:val="auto"/>
              </w:rPr>
            </w:pPr>
          </w:p>
        </w:tc>
        <w:tc>
          <w:tcPr>
            <w:tcW w:w="1160" w:type="dxa"/>
            <w:vAlign w:val="bottom"/>
            <w:tcBorders>
              <w:bottom w:val="single" w:sz="8" w:color="0077C0"/>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86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1200" w:type="dxa"/>
            <w:vAlign w:val="bottom"/>
            <w:tcBorders>
              <w:bottom w:val="single" w:sz="8" w:color="0077C0"/>
            </w:tcBorders>
          </w:tcPr>
          <w:p>
            <w:pPr>
              <w:spacing w:after="0"/>
              <w:rPr>
                <w:sz w:val="2"/>
                <w:szCs w:val="2"/>
                <w:color w:val="auto"/>
              </w:rPr>
            </w:pPr>
          </w:p>
        </w:tc>
      </w:tr>
      <w:tr>
        <w:trPr>
          <w:trHeight w:val="190"/>
        </w:trPr>
        <w:tc>
          <w:tcPr>
            <w:tcW w:w="3620" w:type="dxa"/>
            <w:vAlign w:val="bottom"/>
            <w:tcBorders>
              <w:bottom w:val="single" w:sz="8" w:color="0077C0"/>
            </w:tcBorders>
          </w:tcPr>
          <w:p>
            <w:pPr>
              <w:spacing w:after="0"/>
              <w:rPr>
                <w:sz w:val="16"/>
                <w:szCs w:val="16"/>
                <w:color w:val="auto"/>
              </w:rPr>
            </w:pPr>
          </w:p>
        </w:tc>
        <w:tc>
          <w:tcPr>
            <w:tcW w:w="520" w:type="dxa"/>
            <w:vAlign w:val="bottom"/>
            <w:tcBorders>
              <w:bottom w:val="single" w:sz="8" w:color="0077C0"/>
            </w:tcBorders>
          </w:tcPr>
          <w:p>
            <w:pPr>
              <w:spacing w:after="0"/>
              <w:rPr>
                <w:sz w:val="16"/>
                <w:szCs w:val="16"/>
                <w:color w:val="auto"/>
              </w:rPr>
            </w:pPr>
          </w:p>
        </w:tc>
        <w:tc>
          <w:tcPr>
            <w:tcW w:w="1260" w:type="dxa"/>
            <w:vAlign w:val="bottom"/>
            <w:tcBorders>
              <w:bottom w:val="single" w:sz="8" w:color="0077C0"/>
            </w:tcBorders>
            <w:gridSpan w:val="2"/>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bottom w:val="single" w:sz="8" w:color="0077C0"/>
            </w:tcBorders>
          </w:tcPr>
          <w:p>
            <w:pPr>
              <w:spacing w:after="0"/>
              <w:rPr>
                <w:sz w:val="16"/>
                <w:szCs w:val="16"/>
                <w:color w:val="auto"/>
              </w:rPr>
            </w:pPr>
          </w:p>
        </w:tc>
        <w:tc>
          <w:tcPr>
            <w:tcW w:w="560" w:type="dxa"/>
            <w:vAlign w:val="bottom"/>
            <w:tcBorders>
              <w:bottom w:val="single" w:sz="8" w:color="0077C0"/>
            </w:tcBorders>
          </w:tcPr>
          <w:p>
            <w:pPr>
              <w:spacing w:after="0"/>
              <w:rPr>
                <w:sz w:val="16"/>
                <w:szCs w:val="16"/>
                <w:color w:val="auto"/>
              </w:rPr>
            </w:pPr>
          </w:p>
        </w:tc>
        <w:tc>
          <w:tcPr>
            <w:tcW w:w="9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0077C0"/>
            </w:tcBorders>
          </w:tcPr>
          <w:p>
            <w:pPr>
              <w:spacing w:after="0"/>
              <w:rPr>
                <w:sz w:val="16"/>
                <w:szCs w:val="16"/>
                <w:color w:val="auto"/>
              </w:rPr>
            </w:pPr>
          </w:p>
        </w:tc>
        <w:tc>
          <w:tcPr>
            <w:tcW w:w="8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300" w:type="dxa"/>
            <w:vAlign w:val="bottom"/>
            <w:tcBorders>
              <w:bottom w:val="single" w:sz="8" w:color="0077C0"/>
            </w:tcBorders>
          </w:tcPr>
          <w:p>
            <w:pPr>
              <w:spacing w:after="0"/>
              <w:rPr>
                <w:sz w:val="16"/>
                <w:szCs w:val="16"/>
                <w:color w:val="auto"/>
              </w:rPr>
            </w:pPr>
          </w:p>
        </w:tc>
        <w:tc>
          <w:tcPr>
            <w:tcW w:w="12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r>
      <w:tr>
        <w:trPr>
          <w:trHeight w:val="188"/>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Upstream</w:t>
            </w: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tcBorders>
              <w:right w:val="single" w:sz="8" w:color="0077C0"/>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3"/>
        </w:trPr>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Tengizchevroil</w:t>
            </w:r>
          </w:p>
        </w:tc>
        <w:tc>
          <w:tcPr>
            <w:tcW w:w="5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27,368</w:t>
            </w:r>
          </w:p>
        </w:tc>
        <w:tc>
          <w:tcPr>
            <w:tcW w:w="4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26,954</w:t>
            </w:r>
          </w:p>
        </w:tc>
        <w:tc>
          <w:tcPr>
            <w:tcW w:w="6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3,033</w:t>
            </w:r>
          </w:p>
        </w:tc>
        <w:tc>
          <w:tcPr>
            <w:tcW w:w="6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3,375</w:t>
            </w:r>
          </w:p>
        </w:tc>
        <w:tc>
          <w:tcPr>
            <w:tcW w:w="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4,386</w:t>
            </w:r>
          </w:p>
        </w:tc>
      </w:tr>
      <w:tr>
        <w:trPr>
          <w:trHeight w:val="203"/>
        </w:trPr>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Caspian Pipeline Consortium</w:t>
            </w:r>
          </w:p>
        </w:tc>
        <w:tc>
          <w:tcPr>
            <w:tcW w:w="5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719</w:t>
            </w:r>
          </w:p>
        </w:tc>
        <w:tc>
          <w:tcPr>
            <w:tcW w:w="420" w:type="dxa"/>
            <w:vAlign w:val="bottom"/>
          </w:tcPr>
          <w:p>
            <w:pPr>
              <w:spacing w:after="0"/>
              <w:rPr>
                <w:sz w:val="17"/>
                <w:szCs w:val="17"/>
                <w:color w:val="auto"/>
              </w:rPr>
            </w:pPr>
          </w:p>
        </w:tc>
        <w:tc>
          <w:tcPr>
            <w:tcW w:w="116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797</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180</w:t>
            </w:r>
          </w:p>
        </w:tc>
        <w:tc>
          <w:tcPr>
            <w:tcW w:w="62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158</w:t>
            </w: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r>
      <w:tr>
        <w:trPr>
          <w:trHeight w:val="203"/>
        </w:trPr>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Angola LNG Limited</w:t>
            </w:r>
          </w:p>
        </w:tc>
        <w:tc>
          <w:tcPr>
            <w:tcW w:w="5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1,665</w:t>
            </w:r>
          </w:p>
        </w:tc>
        <w:tc>
          <w:tcPr>
            <w:tcW w:w="420" w:type="dxa"/>
            <w:vAlign w:val="bottom"/>
          </w:tcPr>
          <w:p>
            <w:pPr>
              <w:spacing w:after="0"/>
              <w:rPr>
                <w:sz w:val="17"/>
                <w:szCs w:val="17"/>
                <w:color w:val="auto"/>
              </w:rPr>
            </w:pPr>
          </w:p>
        </w:tc>
        <w:tc>
          <w:tcPr>
            <w:tcW w:w="116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1,762</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405</w:t>
            </w:r>
          </w:p>
        </w:tc>
        <w:tc>
          <w:tcPr>
            <w:tcW w:w="62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513</w:t>
            </w: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1,857</w:t>
            </w:r>
          </w:p>
        </w:tc>
      </w:tr>
      <w:tr>
        <w:trPr>
          <w:trHeight w:val="203"/>
        </w:trPr>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5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1,716</w:t>
            </w:r>
          </w:p>
        </w:tc>
        <w:tc>
          <w:tcPr>
            <w:tcW w:w="420" w:type="dxa"/>
            <w:vAlign w:val="bottom"/>
          </w:tcPr>
          <w:p>
            <w:pPr>
              <w:spacing w:after="0"/>
              <w:rPr>
                <w:sz w:val="17"/>
                <w:szCs w:val="17"/>
                <w:color w:val="auto"/>
              </w:rPr>
            </w:pPr>
          </w:p>
        </w:tc>
        <w:tc>
          <w:tcPr>
            <w:tcW w:w="116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2,106</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(38)</w:t>
            </w:r>
          </w:p>
        </w:tc>
        <w:tc>
          <w:tcPr>
            <w:tcW w:w="6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r>
      <w:tr>
        <w:trPr>
          <w:trHeight w:val="23"/>
        </w:trPr>
        <w:tc>
          <w:tcPr>
            <w:tcW w:w="362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840" w:type="dxa"/>
            <w:vAlign w:val="bottom"/>
            <w:tcBorders>
              <w:bottom w:val="single" w:sz="8" w:color="0077C0"/>
            </w:tcBorders>
          </w:tcPr>
          <w:p>
            <w:pPr>
              <w:spacing w:after="0"/>
              <w:rPr>
                <w:sz w:val="2"/>
                <w:szCs w:val="2"/>
                <w:color w:val="auto"/>
              </w:rPr>
            </w:pPr>
          </w:p>
        </w:tc>
        <w:tc>
          <w:tcPr>
            <w:tcW w:w="420" w:type="dxa"/>
            <w:vAlign w:val="bottom"/>
            <w:tcBorders>
              <w:bottom w:val="single" w:sz="8" w:color="0077C0"/>
            </w:tcBorders>
          </w:tcPr>
          <w:p>
            <w:pPr>
              <w:spacing w:after="0"/>
              <w:rPr>
                <w:sz w:val="2"/>
                <w:szCs w:val="2"/>
                <w:color w:val="auto"/>
              </w:rPr>
            </w:pPr>
          </w:p>
        </w:tc>
        <w:tc>
          <w:tcPr>
            <w:tcW w:w="1160" w:type="dxa"/>
            <w:vAlign w:val="bottom"/>
            <w:tcBorders>
              <w:bottom w:val="single" w:sz="8" w:color="0077C0"/>
              <w:right w:val="single" w:sz="8" w:color="0077C0"/>
            </w:tcBorders>
          </w:tcPr>
          <w:p>
            <w:pPr>
              <w:spacing w:after="0"/>
              <w:rPr>
                <w:sz w:val="2"/>
                <w:szCs w:val="2"/>
                <w:color w:val="auto"/>
              </w:rPr>
            </w:pPr>
          </w:p>
        </w:tc>
        <w:tc>
          <w:tcPr>
            <w:tcW w:w="80" w:type="dxa"/>
            <w:vAlign w:val="bottom"/>
            <w:tcBorders>
              <w:bottom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86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1200" w:type="dxa"/>
            <w:vAlign w:val="bottom"/>
            <w:tcBorders>
              <w:bottom w:val="single" w:sz="8" w:color="0077C0"/>
            </w:tcBorders>
          </w:tcPr>
          <w:p>
            <w:pPr>
              <w:spacing w:after="0"/>
              <w:rPr>
                <w:sz w:val="2"/>
                <w:szCs w:val="2"/>
                <w:color w:val="auto"/>
              </w:rPr>
            </w:pPr>
          </w:p>
        </w:tc>
      </w:tr>
      <w:tr>
        <w:trPr>
          <w:trHeight w:val="190"/>
        </w:trPr>
        <w:tc>
          <w:tcPr>
            <w:tcW w:w="3620" w:type="dxa"/>
            <w:vAlign w:val="bottom"/>
            <w:tcBorders>
              <w:bottom w:val="single" w:sz="8" w:color="0077C0"/>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Total Upstream</w:t>
            </w:r>
          </w:p>
        </w:tc>
        <w:tc>
          <w:tcPr>
            <w:tcW w:w="520" w:type="dxa"/>
            <w:vAlign w:val="bottom"/>
            <w:tcBorders>
              <w:bottom w:val="single" w:sz="8" w:color="0077C0"/>
            </w:tcBorders>
          </w:tcPr>
          <w:p>
            <w:pPr>
              <w:spacing w:after="0"/>
              <w:rPr>
                <w:sz w:val="16"/>
                <w:szCs w:val="16"/>
                <w:color w:val="auto"/>
              </w:rPr>
            </w:pPr>
          </w:p>
        </w:tc>
        <w:tc>
          <w:tcPr>
            <w:tcW w:w="8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31,468</w:t>
            </w:r>
          </w:p>
        </w:tc>
        <w:tc>
          <w:tcPr>
            <w:tcW w:w="420" w:type="dxa"/>
            <w:vAlign w:val="bottom"/>
            <w:tcBorders>
              <w:bottom w:val="single" w:sz="8" w:color="0077C0"/>
            </w:tcBorders>
          </w:tcPr>
          <w:p>
            <w:pPr>
              <w:spacing w:after="0"/>
              <w:rPr>
                <w:sz w:val="16"/>
                <w:szCs w:val="16"/>
                <w:color w:val="auto"/>
              </w:rPr>
            </w:pPr>
          </w:p>
        </w:tc>
        <w:tc>
          <w:tcPr>
            <w:tcW w:w="116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31,619</w:t>
            </w:r>
          </w:p>
        </w:tc>
        <w:tc>
          <w:tcPr>
            <w:tcW w:w="80" w:type="dxa"/>
            <w:vAlign w:val="bottom"/>
            <w:tcBorders>
              <w:bottom w:val="single" w:sz="8" w:color="0077C0"/>
            </w:tcBorders>
          </w:tcPr>
          <w:p>
            <w:pPr>
              <w:spacing w:after="0"/>
              <w:rPr>
                <w:sz w:val="16"/>
                <w:szCs w:val="16"/>
                <w:color w:val="auto"/>
              </w:rPr>
            </w:pPr>
          </w:p>
        </w:tc>
        <w:tc>
          <w:tcPr>
            <w:tcW w:w="560" w:type="dxa"/>
            <w:vAlign w:val="bottom"/>
            <w:tcBorders>
              <w:bottom w:val="single" w:sz="8" w:color="0077C0"/>
            </w:tcBorders>
          </w:tcPr>
          <w:p>
            <w:pPr>
              <w:spacing w:after="0"/>
              <w:rPr>
                <w:sz w:val="16"/>
                <w:szCs w:val="16"/>
                <w:color w:val="auto"/>
              </w:rPr>
            </w:pPr>
          </w:p>
        </w:tc>
        <w:tc>
          <w:tcPr>
            <w:tcW w:w="90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3,580</w:t>
            </w:r>
          </w:p>
        </w:tc>
        <w:tc>
          <w:tcPr>
            <w:tcW w:w="620" w:type="dxa"/>
            <w:vAlign w:val="bottom"/>
            <w:tcBorders>
              <w:bottom w:val="single" w:sz="8" w:color="0077C0"/>
            </w:tcBorders>
          </w:tcPr>
          <w:p>
            <w:pPr>
              <w:spacing w:after="0"/>
              <w:rPr>
                <w:sz w:val="16"/>
                <w:szCs w:val="16"/>
                <w:color w:val="auto"/>
              </w:rPr>
            </w:pPr>
          </w:p>
        </w:tc>
        <w:tc>
          <w:tcPr>
            <w:tcW w:w="86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3,885</w:t>
            </w:r>
          </w:p>
        </w:tc>
        <w:tc>
          <w:tcPr>
            <w:tcW w:w="300" w:type="dxa"/>
            <w:vAlign w:val="bottom"/>
            <w:tcBorders>
              <w:bottom w:val="single" w:sz="8" w:color="0077C0"/>
            </w:tcBorders>
          </w:tcPr>
          <w:p>
            <w:pPr>
              <w:spacing w:after="0"/>
              <w:rPr>
                <w:sz w:val="16"/>
                <w:szCs w:val="16"/>
                <w:color w:val="auto"/>
              </w:rPr>
            </w:pPr>
          </w:p>
        </w:tc>
        <w:tc>
          <w:tcPr>
            <w:tcW w:w="12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6,626</w:t>
            </w:r>
          </w:p>
        </w:tc>
      </w:tr>
      <w:tr>
        <w:trPr>
          <w:trHeight w:val="188"/>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Downstream</w:t>
            </w: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tcBorders>
              <w:right w:val="single" w:sz="8" w:color="0077C0"/>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3"/>
        </w:trPr>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Chevron Phillips Chemical Company LLC</w:t>
            </w: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8,571</w:t>
            </w:r>
          </w:p>
        </w:tc>
        <w:tc>
          <w:tcPr>
            <w:tcW w:w="420" w:type="dxa"/>
            <w:vAlign w:val="bottom"/>
          </w:tcPr>
          <w:p>
            <w:pPr>
              <w:spacing w:after="0"/>
              <w:rPr>
                <w:sz w:val="16"/>
                <w:szCs w:val="16"/>
                <w:color w:val="auto"/>
              </w:rPr>
            </w:pPr>
          </w:p>
        </w:tc>
        <w:tc>
          <w:tcPr>
            <w:tcW w:w="116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7,765</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903</w:t>
            </w:r>
          </w:p>
        </w:tc>
        <w:tc>
          <w:tcPr>
            <w:tcW w:w="6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608</w:t>
            </w: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w:t>
            </w:r>
          </w:p>
        </w:tc>
      </w:tr>
      <w:tr>
        <w:trPr>
          <w:trHeight w:val="202"/>
        </w:trPr>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GS Caltex Corporation</w:t>
            </w:r>
          </w:p>
        </w:tc>
        <w:tc>
          <w:tcPr>
            <w:tcW w:w="5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4,144</w:t>
            </w:r>
          </w:p>
        </w:tc>
        <w:tc>
          <w:tcPr>
            <w:tcW w:w="420" w:type="dxa"/>
            <w:vAlign w:val="bottom"/>
          </w:tcPr>
          <w:p>
            <w:pPr>
              <w:spacing w:after="0"/>
              <w:rPr>
                <w:sz w:val="17"/>
                <w:szCs w:val="17"/>
                <w:color w:val="auto"/>
              </w:rPr>
            </w:pPr>
          </w:p>
        </w:tc>
        <w:tc>
          <w:tcPr>
            <w:tcW w:w="116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4,309</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58</w:t>
            </w:r>
          </w:p>
        </w:tc>
        <w:tc>
          <w:tcPr>
            <w:tcW w:w="62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437</w:t>
            </w: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w:t>
            </w:r>
          </w:p>
        </w:tc>
      </w:tr>
      <w:tr>
        <w:trPr>
          <w:trHeight w:val="203"/>
        </w:trPr>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5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2,432</w:t>
            </w:r>
          </w:p>
        </w:tc>
        <w:tc>
          <w:tcPr>
            <w:tcW w:w="420" w:type="dxa"/>
            <w:vAlign w:val="bottom"/>
          </w:tcPr>
          <w:p>
            <w:pPr>
              <w:spacing w:after="0"/>
              <w:rPr>
                <w:sz w:val="17"/>
                <w:szCs w:val="17"/>
                <w:color w:val="auto"/>
              </w:rPr>
            </w:pPr>
          </w:p>
        </w:tc>
        <w:tc>
          <w:tcPr>
            <w:tcW w:w="116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2,426</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60</w:t>
            </w:r>
          </w:p>
        </w:tc>
        <w:tc>
          <w:tcPr>
            <w:tcW w:w="62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210</w:t>
            </w: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r>
      <w:tr>
        <w:trPr>
          <w:trHeight w:val="23"/>
        </w:trPr>
        <w:tc>
          <w:tcPr>
            <w:tcW w:w="362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840" w:type="dxa"/>
            <w:vAlign w:val="bottom"/>
            <w:tcBorders>
              <w:bottom w:val="single" w:sz="8" w:color="0077C0"/>
            </w:tcBorders>
          </w:tcPr>
          <w:p>
            <w:pPr>
              <w:spacing w:after="0"/>
              <w:rPr>
                <w:sz w:val="2"/>
                <w:szCs w:val="2"/>
                <w:color w:val="auto"/>
              </w:rPr>
            </w:pPr>
          </w:p>
        </w:tc>
        <w:tc>
          <w:tcPr>
            <w:tcW w:w="420" w:type="dxa"/>
            <w:vAlign w:val="bottom"/>
            <w:tcBorders>
              <w:bottom w:val="single" w:sz="8" w:color="0077C0"/>
            </w:tcBorders>
          </w:tcPr>
          <w:p>
            <w:pPr>
              <w:spacing w:after="0"/>
              <w:rPr>
                <w:sz w:val="2"/>
                <w:szCs w:val="2"/>
                <w:color w:val="auto"/>
              </w:rPr>
            </w:pPr>
          </w:p>
        </w:tc>
        <w:tc>
          <w:tcPr>
            <w:tcW w:w="1160" w:type="dxa"/>
            <w:vAlign w:val="bottom"/>
            <w:tcBorders>
              <w:bottom w:val="single" w:sz="8" w:color="0077C0"/>
              <w:right w:val="single" w:sz="8" w:color="0077C0"/>
            </w:tcBorders>
          </w:tcPr>
          <w:p>
            <w:pPr>
              <w:spacing w:after="0"/>
              <w:rPr>
                <w:sz w:val="2"/>
                <w:szCs w:val="2"/>
                <w:color w:val="auto"/>
              </w:rPr>
            </w:pPr>
          </w:p>
        </w:tc>
        <w:tc>
          <w:tcPr>
            <w:tcW w:w="80" w:type="dxa"/>
            <w:vAlign w:val="bottom"/>
            <w:tcBorders>
              <w:bottom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86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1200" w:type="dxa"/>
            <w:vAlign w:val="bottom"/>
            <w:tcBorders>
              <w:bottom w:val="single" w:sz="8" w:color="0077C0"/>
            </w:tcBorders>
          </w:tcPr>
          <w:p>
            <w:pPr>
              <w:spacing w:after="0"/>
              <w:rPr>
                <w:sz w:val="2"/>
                <w:szCs w:val="2"/>
                <w:color w:val="auto"/>
              </w:rPr>
            </w:pPr>
          </w:p>
        </w:tc>
      </w:tr>
      <w:tr>
        <w:trPr>
          <w:trHeight w:val="190"/>
        </w:trPr>
        <w:tc>
          <w:tcPr>
            <w:tcW w:w="3620" w:type="dxa"/>
            <w:vAlign w:val="bottom"/>
            <w:tcBorders>
              <w:bottom w:val="single" w:sz="8" w:color="0077C0"/>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Total Downstream</w:t>
            </w:r>
          </w:p>
        </w:tc>
        <w:tc>
          <w:tcPr>
            <w:tcW w:w="520" w:type="dxa"/>
            <w:vAlign w:val="bottom"/>
            <w:tcBorders>
              <w:bottom w:val="single" w:sz="8" w:color="0077C0"/>
            </w:tcBorders>
          </w:tcPr>
          <w:p>
            <w:pPr>
              <w:spacing w:after="0"/>
              <w:rPr>
                <w:sz w:val="16"/>
                <w:szCs w:val="16"/>
                <w:color w:val="auto"/>
              </w:rPr>
            </w:pPr>
          </w:p>
        </w:tc>
        <w:tc>
          <w:tcPr>
            <w:tcW w:w="8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15,147</w:t>
            </w:r>
          </w:p>
        </w:tc>
        <w:tc>
          <w:tcPr>
            <w:tcW w:w="420" w:type="dxa"/>
            <w:vAlign w:val="bottom"/>
            <w:tcBorders>
              <w:bottom w:val="single" w:sz="8" w:color="0077C0"/>
            </w:tcBorders>
          </w:tcPr>
          <w:p>
            <w:pPr>
              <w:spacing w:after="0"/>
              <w:rPr>
                <w:sz w:val="16"/>
                <w:szCs w:val="16"/>
                <w:color w:val="auto"/>
              </w:rPr>
            </w:pPr>
          </w:p>
        </w:tc>
        <w:tc>
          <w:tcPr>
            <w:tcW w:w="116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14,500</w:t>
            </w:r>
          </w:p>
        </w:tc>
        <w:tc>
          <w:tcPr>
            <w:tcW w:w="80" w:type="dxa"/>
            <w:vAlign w:val="bottom"/>
            <w:tcBorders>
              <w:bottom w:val="single" w:sz="8" w:color="0077C0"/>
            </w:tcBorders>
          </w:tcPr>
          <w:p>
            <w:pPr>
              <w:spacing w:after="0"/>
              <w:rPr>
                <w:sz w:val="16"/>
                <w:szCs w:val="16"/>
                <w:color w:val="auto"/>
              </w:rPr>
            </w:pPr>
          </w:p>
        </w:tc>
        <w:tc>
          <w:tcPr>
            <w:tcW w:w="560" w:type="dxa"/>
            <w:vAlign w:val="bottom"/>
            <w:tcBorders>
              <w:bottom w:val="single" w:sz="8" w:color="0077C0"/>
            </w:tcBorders>
          </w:tcPr>
          <w:p>
            <w:pPr>
              <w:spacing w:after="0"/>
              <w:rPr>
                <w:sz w:val="16"/>
                <w:szCs w:val="16"/>
                <w:color w:val="auto"/>
              </w:rPr>
            </w:pPr>
          </w:p>
        </w:tc>
        <w:tc>
          <w:tcPr>
            <w:tcW w:w="90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1,021</w:t>
            </w:r>
          </w:p>
        </w:tc>
        <w:tc>
          <w:tcPr>
            <w:tcW w:w="620" w:type="dxa"/>
            <w:vAlign w:val="bottom"/>
            <w:tcBorders>
              <w:bottom w:val="single" w:sz="8" w:color="0077C0"/>
            </w:tcBorders>
          </w:tcPr>
          <w:p>
            <w:pPr>
              <w:spacing w:after="0"/>
              <w:rPr>
                <w:sz w:val="16"/>
                <w:szCs w:val="16"/>
                <w:color w:val="auto"/>
              </w:rPr>
            </w:pPr>
          </w:p>
        </w:tc>
        <w:tc>
          <w:tcPr>
            <w:tcW w:w="86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1,255</w:t>
            </w:r>
          </w:p>
        </w:tc>
        <w:tc>
          <w:tcPr>
            <w:tcW w:w="300" w:type="dxa"/>
            <w:vAlign w:val="bottom"/>
            <w:tcBorders>
              <w:bottom w:val="single" w:sz="8" w:color="0077C0"/>
            </w:tcBorders>
          </w:tcPr>
          <w:p>
            <w:pPr>
              <w:spacing w:after="0"/>
              <w:rPr>
                <w:sz w:val="16"/>
                <w:szCs w:val="16"/>
                <w:color w:val="auto"/>
              </w:rPr>
            </w:pPr>
          </w:p>
        </w:tc>
        <w:tc>
          <w:tcPr>
            <w:tcW w:w="12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1,965</w:t>
            </w:r>
          </w:p>
        </w:tc>
      </w:tr>
      <w:tr>
        <w:trPr>
          <w:trHeight w:val="188"/>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 Other</w:t>
            </w: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tcBorders>
              <w:right w:val="single" w:sz="8" w:color="0077C0"/>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3"/>
        </w:trPr>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420" w:type="dxa"/>
            <w:vAlign w:val="bottom"/>
          </w:tcPr>
          <w:p>
            <w:pPr>
              <w:spacing w:after="0"/>
              <w:rPr>
                <w:sz w:val="16"/>
                <w:szCs w:val="16"/>
                <w:color w:val="auto"/>
              </w:rPr>
            </w:pPr>
          </w:p>
        </w:tc>
        <w:tc>
          <w:tcPr>
            <w:tcW w:w="116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w:t>
            </w:r>
          </w:p>
        </w:tc>
        <w:tc>
          <w:tcPr>
            <w:tcW w:w="6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4"/>
        </w:trPr>
        <w:tc>
          <w:tcPr>
            <w:tcW w:w="362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840" w:type="dxa"/>
            <w:vAlign w:val="bottom"/>
            <w:tcBorders>
              <w:bottom w:val="single" w:sz="8" w:color="0077C0"/>
            </w:tcBorders>
          </w:tcPr>
          <w:p>
            <w:pPr>
              <w:spacing w:after="0"/>
              <w:rPr>
                <w:sz w:val="2"/>
                <w:szCs w:val="2"/>
                <w:color w:val="auto"/>
              </w:rPr>
            </w:pPr>
          </w:p>
        </w:tc>
        <w:tc>
          <w:tcPr>
            <w:tcW w:w="420" w:type="dxa"/>
            <w:vAlign w:val="bottom"/>
            <w:tcBorders>
              <w:bottom w:val="single" w:sz="8" w:color="0077C0"/>
            </w:tcBorders>
          </w:tcPr>
          <w:p>
            <w:pPr>
              <w:spacing w:after="0"/>
              <w:rPr>
                <w:sz w:val="2"/>
                <w:szCs w:val="2"/>
                <w:color w:val="auto"/>
              </w:rPr>
            </w:pPr>
          </w:p>
        </w:tc>
        <w:tc>
          <w:tcPr>
            <w:tcW w:w="1160" w:type="dxa"/>
            <w:vAlign w:val="bottom"/>
            <w:tcBorders>
              <w:bottom w:val="single" w:sz="8" w:color="0077C0"/>
              <w:right w:val="single" w:sz="8" w:color="0077C0"/>
            </w:tcBorders>
          </w:tcPr>
          <w:p>
            <w:pPr>
              <w:spacing w:after="0"/>
              <w:rPr>
                <w:sz w:val="2"/>
                <w:szCs w:val="2"/>
                <w:color w:val="auto"/>
              </w:rPr>
            </w:pPr>
          </w:p>
        </w:tc>
        <w:tc>
          <w:tcPr>
            <w:tcW w:w="80" w:type="dxa"/>
            <w:vAlign w:val="bottom"/>
            <w:tcBorders>
              <w:bottom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86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1200" w:type="dxa"/>
            <w:vAlign w:val="bottom"/>
            <w:tcBorders>
              <w:bottom w:val="single" w:sz="8" w:color="0077C0"/>
            </w:tcBorders>
          </w:tcPr>
          <w:p>
            <w:pPr>
              <w:spacing w:after="0"/>
              <w:rPr>
                <w:sz w:val="2"/>
                <w:szCs w:val="2"/>
                <w:color w:val="auto"/>
              </w:rPr>
            </w:pPr>
          </w:p>
        </w:tc>
      </w:tr>
      <w:tr>
        <w:trPr>
          <w:trHeight w:val="184"/>
        </w:trPr>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equity method</w:t>
            </w:r>
          </w:p>
        </w:tc>
        <w:tc>
          <w:tcPr>
            <w:tcW w:w="5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46,618</w:t>
            </w:r>
          </w:p>
        </w:tc>
        <w:tc>
          <w:tcPr>
            <w:tcW w:w="4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46,113</w:t>
            </w:r>
          </w:p>
        </w:tc>
        <w:tc>
          <w:tcPr>
            <w:tcW w:w="6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4,596</w:t>
            </w:r>
          </w:p>
        </w:tc>
        <w:tc>
          <w:tcPr>
            <w:tcW w:w="6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5,131</w:t>
            </w:r>
          </w:p>
        </w:tc>
        <w:tc>
          <w:tcPr>
            <w:tcW w:w="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8,585</w:t>
            </w:r>
          </w:p>
        </w:tc>
      </w:tr>
      <w:tr>
        <w:trPr>
          <w:trHeight w:val="191"/>
        </w:trPr>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non-equity method investments</w:t>
            </w: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820</w:t>
            </w:r>
          </w:p>
        </w:tc>
        <w:tc>
          <w:tcPr>
            <w:tcW w:w="420" w:type="dxa"/>
            <w:vAlign w:val="bottom"/>
          </w:tcPr>
          <w:p>
            <w:pPr>
              <w:spacing w:after="0"/>
              <w:rPr>
                <w:sz w:val="16"/>
                <w:szCs w:val="16"/>
                <w:color w:val="auto"/>
              </w:rPr>
            </w:pPr>
          </w:p>
        </w:tc>
        <w:tc>
          <w:tcPr>
            <w:tcW w:w="116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699</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4"/>
        </w:trPr>
        <w:tc>
          <w:tcPr>
            <w:tcW w:w="362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840" w:type="dxa"/>
            <w:vAlign w:val="bottom"/>
            <w:tcBorders>
              <w:bottom w:val="single" w:sz="8" w:color="0077C0"/>
            </w:tcBorders>
          </w:tcPr>
          <w:p>
            <w:pPr>
              <w:spacing w:after="0"/>
              <w:rPr>
                <w:sz w:val="2"/>
                <w:szCs w:val="2"/>
                <w:color w:val="auto"/>
              </w:rPr>
            </w:pPr>
          </w:p>
        </w:tc>
        <w:tc>
          <w:tcPr>
            <w:tcW w:w="420" w:type="dxa"/>
            <w:vAlign w:val="bottom"/>
            <w:tcBorders>
              <w:bottom w:val="single" w:sz="8" w:color="0077C0"/>
            </w:tcBorders>
          </w:tcPr>
          <w:p>
            <w:pPr>
              <w:spacing w:after="0"/>
              <w:rPr>
                <w:sz w:val="2"/>
                <w:szCs w:val="2"/>
                <w:color w:val="auto"/>
              </w:rPr>
            </w:pPr>
          </w:p>
        </w:tc>
        <w:tc>
          <w:tcPr>
            <w:tcW w:w="1160" w:type="dxa"/>
            <w:vAlign w:val="bottom"/>
            <w:tcBorders>
              <w:bottom w:val="single" w:sz="8" w:color="0077C0"/>
              <w:right w:val="single" w:sz="8" w:color="0077C0"/>
            </w:tcBorders>
          </w:tcPr>
          <w:p>
            <w:pPr>
              <w:spacing w:after="0"/>
              <w:rPr>
                <w:sz w:val="2"/>
                <w:szCs w:val="2"/>
                <w:color w:val="auto"/>
              </w:rPr>
            </w:pPr>
          </w:p>
        </w:tc>
        <w:tc>
          <w:tcPr>
            <w:tcW w:w="80" w:type="dxa"/>
            <w:vAlign w:val="bottom"/>
            <w:tcBorders>
              <w:bottom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86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1200" w:type="dxa"/>
            <w:vAlign w:val="bottom"/>
            <w:tcBorders>
              <w:bottom w:val="single" w:sz="8" w:color="0077C0"/>
            </w:tcBorders>
          </w:tcPr>
          <w:p>
            <w:pPr>
              <w:spacing w:after="0"/>
              <w:rPr>
                <w:sz w:val="2"/>
                <w:szCs w:val="2"/>
                <w:color w:val="auto"/>
              </w:rPr>
            </w:pPr>
          </w:p>
        </w:tc>
      </w:tr>
      <w:tr>
        <w:trPr>
          <w:trHeight w:val="190"/>
        </w:trPr>
        <w:tc>
          <w:tcPr>
            <w:tcW w:w="3620" w:type="dxa"/>
            <w:vAlign w:val="bottom"/>
            <w:tcBorders>
              <w:bottom w:val="single" w:sz="8" w:color="0077C0"/>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Total investments and advances</w:t>
            </w:r>
          </w:p>
        </w:tc>
        <w:tc>
          <w:tcPr>
            <w:tcW w:w="520" w:type="dxa"/>
            <w:vAlign w:val="bottom"/>
            <w:tcBorders>
              <w:bottom w:val="single" w:sz="8" w:color="0077C0"/>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47,438</w:t>
            </w:r>
          </w:p>
        </w:tc>
        <w:tc>
          <w:tcPr>
            <w:tcW w:w="42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46,812</w:t>
            </w:r>
          </w:p>
        </w:tc>
        <w:tc>
          <w:tcPr>
            <w:tcW w:w="80" w:type="dxa"/>
            <w:vAlign w:val="bottom"/>
            <w:tcBorders>
              <w:bottom w:val="single" w:sz="8" w:color="0077C0"/>
            </w:tcBorders>
          </w:tcPr>
          <w:p>
            <w:pPr>
              <w:spacing w:after="0"/>
              <w:rPr>
                <w:sz w:val="16"/>
                <w:szCs w:val="16"/>
                <w:color w:val="auto"/>
              </w:rPr>
            </w:pPr>
          </w:p>
        </w:tc>
        <w:tc>
          <w:tcPr>
            <w:tcW w:w="560" w:type="dxa"/>
            <w:vAlign w:val="bottom"/>
            <w:tcBorders>
              <w:bottom w:val="single" w:sz="8" w:color="0077C0"/>
            </w:tcBorders>
          </w:tcPr>
          <w:p>
            <w:pPr>
              <w:spacing w:after="0"/>
              <w:rPr>
                <w:sz w:val="16"/>
                <w:szCs w:val="16"/>
                <w:color w:val="auto"/>
              </w:rPr>
            </w:pPr>
          </w:p>
        </w:tc>
        <w:tc>
          <w:tcPr>
            <w:tcW w:w="90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spacing w:after="0"/>
              <w:rPr>
                <w:sz w:val="16"/>
                <w:szCs w:val="16"/>
                <w:color w:val="auto"/>
              </w:rPr>
            </w:pPr>
          </w:p>
        </w:tc>
        <w:tc>
          <w:tcPr>
            <w:tcW w:w="860" w:type="dxa"/>
            <w:vAlign w:val="bottom"/>
            <w:tcBorders>
              <w:bottom w:val="single" w:sz="8" w:color="0077C0"/>
            </w:tcBorders>
          </w:tcPr>
          <w:p>
            <w:pPr>
              <w:spacing w:after="0"/>
              <w:rPr>
                <w:sz w:val="16"/>
                <w:szCs w:val="16"/>
                <w:color w:val="auto"/>
              </w:rPr>
            </w:pPr>
          </w:p>
        </w:tc>
        <w:tc>
          <w:tcPr>
            <w:tcW w:w="300" w:type="dxa"/>
            <w:vAlign w:val="bottom"/>
            <w:tcBorders>
              <w:bottom w:val="single" w:sz="8" w:color="0077C0"/>
            </w:tcBorders>
          </w:tcPr>
          <w:p>
            <w:pPr>
              <w:spacing w:after="0"/>
              <w:rPr>
                <w:sz w:val="16"/>
                <w:szCs w:val="16"/>
                <w:color w:val="auto"/>
              </w:rPr>
            </w:pPr>
          </w:p>
        </w:tc>
        <w:tc>
          <w:tcPr>
            <w:tcW w:w="1200" w:type="dxa"/>
            <w:vAlign w:val="bottom"/>
            <w:tcBorders>
              <w:bottom w:val="single" w:sz="8" w:color="0077C0"/>
            </w:tcBorders>
          </w:tcPr>
          <w:p>
            <w:pPr>
              <w:spacing w:after="0"/>
              <w:rPr>
                <w:sz w:val="16"/>
                <w:szCs w:val="16"/>
                <w:color w:val="auto"/>
              </w:rPr>
            </w:pPr>
          </w:p>
        </w:tc>
      </w:tr>
      <w:tr>
        <w:trPr>
          <w:trHeight w:val="190"/>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United States</w:t>
            </w:r>
          </w:p>
        </w:tc>
        <w:tc>
          <w:tcPr>
            <w:tcW w:w="5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11,960</w:t>
            </w:r>
          </w:p>
        </w:tc>
        <w:tc>
          <w:tcPr>
            <w:tcW w:w="4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10,985</w:t>
            </w:r>
          </w:p>
        </w:tc>
        <w:tc>
          <w:tcPr>
            <w:tcW w:w="6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944</w:t>
            </w:r>
          </w:p>
        </w:tc>
        <w:tc>
          <w:tcPr>
            <w:tcW w:w="6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340</w:t>
            </w:r>
          </w:p>
        </w:tc>
        <w:tc>
          <w:tcPr>
            <w:tcW w:w="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w:t>
            </w:r>
          </w:p>
        </w:tc>
      </w:tr>
      <w:tr>
        <w:trPr>
          <w:trHeight w:val="19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International</w:t>
            </w:r>
          </w:p>
        </w:tc>
        <w:tc>
          <w:tcPr>
            <w:tcW w:w="5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35,478</w:t>
            </w:r>
          </w:p>
        </w:tc>
        <w:tc>
          <w:tcPr>
            <w:tcW w:w="4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35,827</w:t>
            </w:r>
          </w:p>
        </w:tc>
        <w:tc>
          <w:tcPr>
            <w:tcW w:w="6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3,652</w:t>
            </w:r>
          </w:p>
        </w:tc>
        <w:tc>
          <w:tcPr>
            <w:tcW w:w="6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4,791</w:t>
            </w:r>
          </w:p>
        </w:tc>
        <w:tc>
          <w:tcPr>
            <w:tcW w:w="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7,610</w:t>
            </w:r>
          </w:p>
        </w:tc>
      </w:tr>
      <w:tr>
        <w:trPr>
          <w:trHeight w:val="24"/>
        </w:trPr>
        <w:tc>
          <w:tcPr>
            <w:tcW w:w="362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840" w:type="dxa"/>
            <w:vAlign w:val="bottom"/>
            <w:tcBorders>
              <w:bottom w:val="single" w:sz="8" w:color="0077C0"/>
            </w:tcBorders>
          </w:tcPr>
          <w:p>
            <w:pPr>
              <w:spacing w:after="0"/>
              <w:rPr>
                <w:sz w:val="2"/>
                <w:szCs w:val="2"/>
                <w:color w:val="auto"/>
              </w:rPr>
            </w:pPr>
          </w:p>
        </w:tc>
        <w:tc>
          <w:tcPr>
            <w:tcW w:w="420" w:type="dxa"/>
            <w:vAlign w:val="bottom"/>
            <w:tcBorders>
              <w:bottom w:val="single" w:sz="8" w:color="0077C0"/>
            </w:tcBorders>
          </w:tcPr>
          <w:p>
            <w:pPr>
              <w:spacing w:after="0"/>
              <w:rPr>
                <w:sz w:val="2"/>
                <w:szCs w:val="2"/>
                <w:color w:val="auto"/>
              </w:rPr>
            </w:pPr>
          </w:p>
        </w:tc>
        <w:tc>
          <w:tcPr>
            <w:tcW w:w="1160" w:type="dxa"/>
            <w:vAlign w:val="bottom"/>
            <w:tcBorders>
              <w:bottom w:val="single" w:sz="8" w:color="0077C0"/>
              <w:right w:val="single" w:sz="8" w:color="0077C0"/>
            </w:tcBorders>
          </w:tcPr>
          <w:p>
            <w:pPr>
              <w:spacing w:after="0"/>
              <w:rPr>
                <w:sz w:val="2"/>
                <w:szCs w:val="2"/>
                <w:color w:val="auto"/>
              </w:rPr>
            </w:pPr>
          </w:p>
        </w:tc>
        <w:tc>
          <w:tcPr>
            <w:tcW w:w="80" w:type="dxa"/>
            <w:vAlign w:val="bottom"/>
            <w:tcBorders>
              <w:bottom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86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1200" w:type="dxa"/>
            <w:vAlign w:val="bottom"/>
            <w:tcBorders>
              <w:bottom w:val="single" w:sz="8" w:color="0077C0"/>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84" w:right="339" w:bottom="1440" w:gutter="0" w:footer="0" w:header="0"/>
        </w:sect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84" w:name="page85"/>
    <w:bookmarkEnd w:id="84"/>
    <w:p>
      <w:pPr>
        <w:ind w:left="20"/>
        <w:spacing w:after="0"/>
        <w:tabs>
          <w:tab w:leader="none" w:pos="9460" w:val="left"/>
        </w:tabs>
        <w:rPr>
          <w:sz w:val="20"/>
          <w:szCs w:val="20"/>
          <w:color w:val="auto"/>
        </w:rPr>
      </w:pPr>
      <w:r>
        <w:rPr>
          <w:rFonts w:ascii="Arial" w:cs="Arial" w:eastAsia="Arial" w:hAnsi="Arial"/>
          <w:sz w:val="14"/>
          <w:szCs w:val="14"/>
          <w:color w:val="0077C0"/>
        </w:rPr>
        <w:t>Notes to the Consolidated Financial Statements</w:t>
      </w:r>
      <w:r>
        <w:rPr>
          <w:sz w:val="20"/>
          <w:szCs w:val="20"/>
          <w:color w:val="auto"/>
        </w:rPr>
        <w:tab/>
      </w:r>
      <w:r>
        <w:rPr>
          <w:rFonts w:ascii="Arial" w:cs="Arial" w:eastAsia="Arial" w:hAnsi="Arial"/>
          <w:sz w:val="14"/>
          <w:szCs w:val="14"/>
          <w:color w:val="0077C0"/>
        </w:rPr>
        <w:t>Financial Table of Contents</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11"/>
          <w:szCs w:val="11"/>
          <w:color w:val="0077C0"/>
        </w:rPr>
        <w:t>Millions of dollars, except per-share amounts</w:t>
      </w:r>
    </w:p>
    <w:p>
      <w:pPr>
        <w:spacing w:after="0" w:line="200" w:lineRule="exact"/>
        <w:rPr>
          <w:sz w:val="20"/>
          <w:szCs w:val="20"/>
          <w:color w:val="auto"/>
        </w:rPr>
      </w:pPr>
    </w:p>
    <w:p>
      <w:pPr>
        <w:spacing w:after="0" w:line="37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Descriptions of major equity affiliates and non-equity investments, including significant differences between the company’s carrying value of its investments and its underlying equity in the net assets of the affiliates, are as follows:</w:t>
      </w:r>
    </w:p>
    <w:p>
      <w:pPr>
        <w:spacing w:after="0" w:line="2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Tengizchevroil </w:t>
      </w:r>
      <w:r>
        <w:rPr>
          <w:rFonts w:ascii="Times New Roman" w:cs="Times New Roman" w:eastAsia="Times New Roman" w:hAnsi="Times New Roman"/>
          <w:sz w:val="18"/>
          <w:szCs w:val="18"/>
          <w:color w:val="000000"/>
        </w:rPr>
        <w:t>Chevron has a 50 percent equity ownership interest in TCO, which operates the Tengiz and Korolev crude oil fields in Kazakhstan. At</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December 31, 2024, the company’s carrying value of its investment in TCO was about $73 higher than the amount of underlying equity in TCO’s net assets. This difference results from Chevron acquiring a portion of its interest in TCO at a value greater than the underlying book value for that portion of TCO’s net assets. Included in the investment is a loan to TCO to fund the development of the Wellhead Pressure Management Project (WPMP) and Future Growth Project (FGP) with a principal balance of $4,500.</w:t>
      </w:r>
    </w:p>
    <w:p>
      <w:pPr>
        <w:spacing w:after="0" w:line="46"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Caspian Pipeline Consortium </w:t>
      </w:r>
      <w:r>
        <w:rPr>
          <w:rFonts w:ascii="Times New Roman" w:cs="Times New Roman" w:eastAsia="Times New Roman" w:hAnsi="Times New Roman"/>
          <w:sz w:val="18"/>
          <w:szCs w:val="18"/>
          <w:color w:val="000000"/>
        </w:rPr>
        <w:t>Chevron has a 15 percent interest in the Caspian Pipeline Consortium, which provides the critical export route for crude oil</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from both TCO and Karachaganak.</w:t>
      </w:r>
    </w:p>
    <w:p>
      <w:pPr>
        <w:spacing w:after="0" w:line="19"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Angola LNG Limited </w:t>
      </w:r>
      <w:r>
        <w:rPr>
          <w:rFonts w:ascii="Times New Roman" w:cs="Times New Roman" w:eastAsia="Times New Roman" w:hAnsi="Times New Roman"/>
          <w:sz w:val="18"/>
          <w:szCs w:val="18"/>
          <w:color w:val="000000"/>
        </w:rPr>
        <w:t>Chevron has a 36.4 percent interest in Angola LNG Limited, which processes and liquefies natural gas produced in Angola for</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delivery to international markets.</w:t>
      </w:r>
    </w:p>
    <w:p>
      <w:pPr>
        <w:spacing w:after="0" w:line="1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Chevron Phillips Chemical Company LLC </w:t>
      </w:r>
      <w:r>
        <w:rPr>
          <w:rFonts w:ascii="Times New Roman" w:cs="Times New Roman" w:eastAsia="Times New Roman" w:hAnsi="Times New Roman"/>
          <w:sz w:val="18"/>
          <w:szCs w:val="18"/>
          <w:color w:val="000000"/>
        </w:rPr>
        <w:t>Chevron owns 50 percent of Chevron Phillips Chemical Company LLC. Included in the investment balance is</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a loan with a principal balance of $669 to fund a portion of the Golden Triangle Polymers Project in Orange, Texas, in which Chevron Phillips Chemical Company LLC owns 51 percent.</w:t>
      </w:r>
    </w:p>
    <w:p>
      <w:pPr>
        <w:spacing w:after="0" w:line="42"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GS Caltex Corporation </w:t>
      </w:r>
      <w:r>
        <w:rPr>
          <w:rFonts w:ascii="Times New Roman" w:cs="Times New Roman" w:eastAsia="Times New Roman" w:hAnsi="Times New Roman"/>
          <w:sz w:val="18"/>
          <w:szCs w:val="18"/>
          <w:color w:val="000000"/>
        </w:rPr>
        <w:t>Chevron owns 50 percent of GS Caltex Corporation, a joint venture with GS Energy in South Korea. The joint venture imports,</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produces and markets petroleum products, petrochemicals and lubricants.</w:t>
      </w:r>
    </w:p>
    <w:p>
      <w:pPr>
        <w:spacing w:after="0" w:line="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Other Information </w:t>
      </w:r>
      <w:r>
        <w:rPr>
          <w:rFonts w:ascii="Times New Roman" w:cs="Times New Roman" w:eastAsia="Times New Roman" w:hAnsi="Times New Roman"/>
          <w:sz w:val="18"/>
          <w:szCs w:val="18"/>
          <w:color w:val="000000"/>
        </w:rPr>
        <w:t>“Sales and other operating revenues” on the Consolidated Statement of Income includes $13,850, $13,623 and $16,286 with affiliated</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companies for 2024, 2023 and 2022, respectively. “Purchased crude oil and products” includes $6,547, $7,404 and $10,171 with affiliated companies for 2024, 2023 and 2022, respectively.</w:t>
      </w:r>
    </w:p>
    <w:p>
      <w:pPr>
        <w:spacing w:after="0" w:line="3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“Accounts and notes receivable” on the Consolidated Balance Sheet includes $1,258 and $1,480 due from affiliated companies at December 31, 2024 and 2023, respectively. “Accounts payable” includes $556 and $591 due to affiliated companies at December 31, 2024 and 2023, respectively.</w:t>
      </w:r>
    </w:p>
    <w:p>
      <w:pPr>
        <w:spacing w:after="0" w:line="2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following table provides summarized financial information on a 100 percent basis for all equity affiliates as well as Chevron’s total share, which includes Chevron’s net loans to affiliates of $4,731, $4,494 and $4,278 at December 31, 2024, 2023 and 2022, respectively.</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Affiliates</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Chevron Share</w:t>
            </w:r>
          </w:p>
        </w:tc>
        <w:tc>
          <w:tcPr>
            <w:tcW w:w="0" w:type="dxa"/>
            <w:vAlign w:val="bottom"/>
          </w:tcPr>
          <w:p>
            <w:pPr>
              <w:spacing w:after="0"/>
              <w:rPr>
                <w:sz w:val="1"/>
                <w:szCs w:val="1"/>
                <w:color w:val="auto"/>
              </w:rPr>
            </w:pPr>
          </w:p>
        </w:tc>
      </w:tr>
      <w:tr>
        <w:trPr>
          <w:trHeight w:val="23"/>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Year ended December 31</w:t>
            </w:r>
          </w:p>
        </w:tc>
        <w:tc>
          <w:tcPr>
            <w:tcW w:w="380" w:type="dxa"/>
            <w:vAlign w:val="bottom"/>
            <w:tcBorders>
              <w:bottom w:val="single" w:sz="8" w:color="0077C0"/>
            </w:tcBorders>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c>
          <w:tcPr>
            <w:tcW w:w="44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c>
          <w:tcPr>
            <w:tcW w:w="440" w:type="dxa"/>
            <w:vAlign w:val="bottom"/>
            <w:tcBorders>
              <w:bottom w:val="single" w:sz="8" w:color="0077C0"/>
            </w:tcBorders>
          </w:tcPr>
          <w:p>
            <w:pPr>
              <w:spacing w:after="0"/>
              <w:rPr>
                <w:sz w:val="2"/>
                <w:szCs w:val="2"/>
                <w:color w:val="auto"/>
              </w:rPr>
            </w:pPr>
          </w:p>
        </w:tc>
        <w:tc>
          <w:tcPr>
            <w:tcW w:w="840" w:type="dxa"/>
            <w:vAlign w:val="bottom"/>
            <w:tcBorders>
              <w:bottom w:val="single" w:sz="8" w:color="0077C0"/>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77C0"/>
            </w:tcBorders>
          </w:tcPr>
          <w:p>
            <w:pPr>
              <w:spacing w:after="0"/>
              <w:rPr>
                <w:sz w:val="2"/>
                <w:szCs w:val="2"/>
                <w:color w:val="auto"/>
              </w:rPr>
            </w:pPr>
          </w:p>
        </w:tc>
        <w:tc>
          <w:tcPr>
            <w:tcW w:w="860" w:type="dxa"/>
            <w:vAlign w:val="bottom"/>
            <w:tcBorders>
              <w:bottom w:val="single" w:sz="8" w:color="0077C0"/>
            </w:tcBorders>
          </w:tcPr>
          <w:p>
            <w:pPr>
              <w:spacing w:after="0"/>
              <w:rPr>
                <w:sz w:val="2"/>
                <w:szCs w:val="2"/>
                <w:color w:val="auto"/>
              </w:rPr>
            </w:pPr>
          </w:p>
        </w:tc>
        <w:tc>
          <w:tcPr>
            <w:tcW w:w="480" w:type="dxa"/>
            <w:vAlign w:val="bottom"/>
            <w:tcBorders>
              <w:bottom w:val="single" w:sz="8" w:color="0077C0"/>
            </w:tcBorders>
          </w:tcPr>
          <w:p>
            <w:pPr>
              <w:spacing w:after="0"/>
              <w:rPr>
                <w:sz w:val="2"/>
                <w:szCs w:val="2"/>
                <w:color w:val="auto"/>
              </w:rPr>
            </w:pPr>
          </w:p>
        </w:tc>
        <w:tc>
          <w:tcPr>
            <w:tcW w:w="86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240" w:type="dxa"/>
            <w:vAlign w:val="bottom"/>
            <w:tcBorders>
              <w:bottom w:val="single" w:sz="8" w:color="0077C0"/>
            </w:tcBorders>
            <w:vMerge w:val="continue"/>
          </w:tcPr>
          <w:p>
            <w:pPr>
              <w:spacing w:after="0"/>
              <w:rPr>
                <w:sz w:val="16"/>
                <w:szCs w:val="16"/>
                <w:color w:val="auto"/>
              </w:rPr>
            </w:pPr>
          </w:p>
        </w:tc>
        <w:tc>
          <w:tcPr>
            <w:tcW w:w="380" w:type="dxa"/>
            <w:vAlign w:val="bottom"/>
            <w:tcBorders>
              <w:bottom w:val="single" w:sz="8" w:color="0077C0"/>
            </w:tcBorders>
          </w:tcPr>
          <w:p>
            <w:pPr>
              <w:spacing w:after="0"/>
              <w:rPr>
                <w:sz w:val="16"/>
                <w:szCs w:val="16"/>
                <w:color w:val="auto"/>
              </w:rPr>
            </w:pPr>
          </w:p>
        </w:tc>
        <w:tc>
          <w:tcPr>
            <w:tcW w:w="90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0077C0"/>
            </w:tcBorders>
          </w:tcPr>
          <w:p>
            <w:pPr>
              <w:spacing w:after="0"/>
              <w:rPr>
                <w:sz w:val="16"/>
                <w:szCs w:val="16"/>
                <w:color w:val="auto"/>
              </w:rPr>
            </w:pPr>
          </w:p>
        </w:tc>
        <w:tc>
          <w:tcPr>
            <w:tcW w:w="88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2023</w:t>
            </w:r>
          </w:p>
        </w:tc>
        <w:tc>
          <w:tcPr>
            <w:tcW w:w="440" w:type="dxa"/>
            <w:vAlign w:val="bottom"/>
            <w:tcBorders>
              <w:bottom w:val="single" w:sz="8" w:color="0077C0"/>
            </w:tcBorders>
          </w:tcPr>
          <w:p>
            <w:pPr>
              <w:spacing w:after="0"/>
              <w:rPr>
                <w:sz w:val="16"/>
                <w:szCs w:val="16"/>
                <w:color w:val="auto"/>
              </w:rPr>
            </w:pPr>
          </w:p>
        </w:tc>
        <w:tc>
          <w:tcPr>
            <w:tcW w:w="8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40" w:type="dxa"/>
            <w:vAlign w:val="bottom"/>
            <w:tcBorders>
              <w:bottom w:val="single" w:sz="8" w:color="0077C0"/>
            </w:tcBorders>
          </w:tcPr>
          <w:p>
            <w:pPr>
              <w:spacing w:after="0"/>
              <w:rPr>
                <w:sz w:val="16"/>
                <w:szCs w:val="16"/>
                <w:color w:val="auto"/>
              </w:rPr>
            </w:pPr>
          </w:p>
        </w:tc>
        <w:tc>
          <w:tcPr>
            <w:tcW w:w="80" w:type="dxa"/>
            <w:vAlign w:val="bottom"/>
            <w:tcBorders>
              <w:bottom w:val="single" w:sz="8" w:color="0077C0"/>
            </w:tcBorders>
          </w:tcPr>
          <w:p>
            <w:pPr>
              <w:spacing w:after="0"/>
              <w:rPr>
                <w:sz w:val="16"/>
                <w:szCs w:val="16"/>
                <w:color w:val="auto"/>
              </w:rPr>
            </w:pPr>
          </w:p>
        </w:tc>
        <w:tc>
          <w:tcPr>
            <w:tcW w:w="420" w:type="dxa"/>
            <w:vAlign w:val="bottom"/>
            <w:tcBorders>
              <w:bottom w:val="single" w:sz="8" w:color="0077C0"/>
            </w:tcBorders>
          </w:tcPr>
          <w:p>
            <w:pPr>
              <w:spacing w:after="0"/>
              <w:rPr>
                <w:sz w:val="16"/>
                <w:szCs w:val="16"/>
                <w:color w:val="auto"/>
              </w:rPr>
            </w:pPr>
          </w:p>
        </w:tc>
        <w:tc>
          <w:tcPr>
            <w:tcW w:w="86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0077C0"/>
            </w:tcBorders>
          </w:tcPr>
          <w:p>
            <w:pPr>
              <w:spacing w:after="0"/>
              <w:rPr>
                <w:sz w:val="16"/>
                <w:szCs w:val="16"/>
                <w:color w:val="auto"/>
              </w:rPr>
            </w:pPr>
          </w:p>
        </w:tc>
        <w:tc>
          <w:tcPr>
            <w:tcW w:w="86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2023</w:t>
            </w:r>
          </w:p>
        </w:tc>
        <w:tc>
          <w:tcPr>
            <w:tcW w:w="280" w:type="dxa"/>
            <w:vAlign w:val="bottom"/>
            <w:tcBorders>
              <w:bottom w:val="single" w:sz="8" w:color="0077C0"/>
            </w:tcBorders>
          </w:tcPr>
          <w:p>
            <w:pPr>
              <w:spacing w:after="0"/>
              <w:rPr>
                <w:sz w:val="16"/>
                <w:szCs w:val="16"/>
                <w:color w:val="auto"/>
              </w:rPr>
            </w:pPr>
          </w:p>
        </w:tc>
        <w:tc>
          <w:tcPr>
            <w:tcW w:w="10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190"/>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46,081</w:t>
            </w:r>
          </w:p>
        </w:tc>
        <w:tc>
          <w:tcPr>
            <w:tcW w:w="4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49,306</w:t>
            </w:r>
          </w:p>
        </w:tc>
        <w:tc>
          <w:tcPr>
            <w:tcW w:w="4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100,184</w:t>
            </w:r>
          </w:p>
        </w:tc>
        <w:tc>
          <w:tcPr>
            <w:tcW w:w="140" w:type="dxa"/>
            <w:vAlign w:val="bottom"/>
            <w:tcBorders>
              <w:right w:val="single" w:sz="8" w:color="0077C0"/>
            </w:tcBorders>
          </w:tcPr>
          <w:p>
            <w:pPr>
              <w:spacing w:after="0"/>
              <w:rPr>
                <w:sz w:val="16"/>
                <w:szCs w:val="16"/>
                <w:color w:val="auto"/>
              </w:rPr>
            </w:pP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21,765</w:t>
            </w:r>
          </w:p>
        </w:tc>
        <w:tc>
          <w:tcPr>
            <w:tcW w:w="4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23,217</w:t>
            </w: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48,323</w:t>
            </w:r>
          </w:p>
        </w:tc>
        <w:tc>
          <w:tcPr>
            <w:tcW w:w="0" w:type="dxa"/>
            <w:vAlign w:val="bottom"/>
          </w:tcPr>
          <w:p>
            <w:pPr>
              <w:spacing w:after="0"/>
              <w:rPr>
                <w:sz w:val="1"/>
                <w:szCs w:val="1"/>
                <w:color w:val="auto"/>
              </w:rPr>
            </w:pPr>
          </w:p>
        </w:tc>
      </w:tr>
      <w:tr>
        <w:trPr>
          <w:trHeight w:val="191"/>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income tax expense*</w:t>
            </w:r>
          </w:p>
        </w:tc>
        <w:tc>
          <w:tcPr>
            <w:tcW w:w="38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13,127</w:t>
            </w:r>
          </w:p>
        </w:tc>
        <w:tc>
          <w:tcPr>
            <w:tcW w:w="44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15,304</w:t>
            </w:r>
          </w:p>
        </w:tc>
        <w:tc>
          <w:tcPr>
            <w:tcW w:w="4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23,811</w:t>
            </w:r>
          </w:p>
        </w:tc>
        <w:tc>
          <w:tcPr>
            <w:tcW w:w="140" w:type="dxa"/>
            <w:vAlign w:val="bottom"/>
            <w:tcBorders>
              <w:right w:val="single" w:sz="8" w:color="0077C0"/>
            </w:tcBorders>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6,088</w:t>
            </w:r>
          </w:p>
        </w:tc>
        <w:tc>
          <w:tcPr>
            <w:tcW w:w="48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7,209</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10,876</w:t>
            </w:r>
          </w:p>
        </w:tc>
        <w:tc>
          <w:tcPr>
            <w:tcW w:w="0" w:type="dxa"/>
            <w:vAlign w:val="bottom"/>
          </w:tcPr>
          <w:p>
            <w:pPr>
              <w:spacing w:after="0"/>
              <w:rPr>
                <w:sz w:val="1"/>
                <w:szCs w:val="1"/>
                <w:color w:val="auto"/>
              </w:rPr>
            </w:pPr>
          </w:p>
        </w:tc>
      </w:tr>
      <w:tr>
        <w:trPr>
          <w:trHeight w:val="202"/>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attributable to affiliates</w:t>
            </w:r>
          </w:p>
        </w:tc>
        <w:tc>
          <w:tcPr>
            <w:tcW w:w="380" w:type="dxa"/>
            <w:vAlign w:val="bottom"/>
          </w:tcPr>
          <w:p>
            <w:pPr>
              <w:spacing w:after="0"/>
              <w:rPr>
                <w:sz w:val="17"/>
                <w:szCs w:val="17"/>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10,253</w:t>
            </w:r>
          </w:p>
        </w:tc>
        <w:tc>
          <w:tcPr>
            <w:tcW w:w="44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11,618</w:t>
            </w:r>
          </w:p>
        </w:tc>
        <w:tc>
          <w:tcPr>
            <w:tcW w:w="4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19,077</w:t>
            </w:r>
          </w:p>
        </w:tc>
        <w:tc>
          <w:tcPr>
            <w:tcW w:w="140" w:type="dxa"/>
            <w:vAlign w:val="bottom"/>
            <w:tcBorders>
              <w:right w:val="single" w:sz="8" w:color="0077C0"/>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4,802</w:t>
            </w:r>
          </w:p>
        </w:tc>
        <w:tc>
          <w:tcPr>
            <w:tcW w:w="480" w:type="dxa"/>
            <w:vAlign w:val="bottom"/>
          </w:tcPr>
          <w:p>
            <w:pPr>
              <w:spacing w:after="0"/>
              <w:rPr>
                <w:sz w:val="17"/>
                <w:szCs w:val="17"/>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5,485</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8,595</w:t>
            </w:r>
          </w:p>
        </w:tc>
        <w:tc>
          <w:tcPr>
            <w:tcW w:w="0" w:type="dxa"/>
            <w:vAlign w:val="bottom"/>
          </w:tcPr>
          <w:p>
            <w:pPr>
              <w:spacing w:after="0"/>
              <w:rPr>
                <w:sz w:val="1"/>
                <w:szCs w:val="1"/>
                <w:color w:val="auto"/>
              </w:rPr>
            </w:pPr>
          </w:p>
        </w:tc>
      </w:tr>
      <w:tr>
        <w:trPr>
          <w:trHeight w:val="23"/>
        </w:trPr>
        <w:tc>
          <w:tcPr>
            <w:tcW w:w="3240" w:type="dxa"/>
            <w:vAlign w:val="bottom"/>
            <w:tcBorders>
              <w:bottom w:val="single" w:sz="8" w:color="0077C0"/>
            </w:tcBorders>
          </w:tcPr>
          <w:p>
            <w:pPr>
              <w:spacing w:after="0"/>
              <w:rPr>
                <w:sz w:val="2"/>
                <w:szCs w:val="2"/>
                <w:color w:val="auto"/>
              </w:rPr>
            </w:pPr>
          </w:p>
        </w:tc>
        <w:tc>
          <w:tcPr>
            <w:tcW w:w="380" w:type="dxa"/>
            <w:vAlign w:val="bottom"/>
            <w:tcBorders>
              <w:bottom w:val="single" w:sz="8" w:color="0077C0"/>
            </w:tcBorders>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c>
          <w:tcPr>
            <w:tcW w:w="44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c>
          <w:tcPr>
            <w:tcW w:w="440" w:type="dxa"/>
            <w:vAlign w:val="bottom"/>
            <w:tcBorders>
              <w:bottom w:val="single" w:sz="8" w:color="0077C0"/>
            </w:tcBorders>
          </w:tcPr>
          <w:p>
            <w:pPr>
              <w:spacing w:after="0"/>
              <w:rPr>
                <w:sz w:val="2"/>
                <w:szCs w:val="2"/>
                <w:color w:val="auto"/>
              </w:rPr>
            </w:pPr>
          </w:p>
        </w:tc>
        <w:tc>
          <w:tcPr>
            <w:tcW w:w="840" w:type="dxa"/>
            <w:vAlign w:val="bottom"/>
            <w:tcBorders>
              <w:bottom w:val="single" w:sz="8" w:color="0077C0"/>
            </w:tcBorders>
          </w:tcPr>
          <w:p>
            <w:pPr>
              <w:spacing w:after="0"/>
              <w:rPr>
                <w:sz w:val="2"/>
                <w:szCs w:val="2"/>
                <w:color w:val="auto"/>
              </w:rPr>
            </w:pPr>
          </w:p>
        </w:tc>
        <w:tc>
          <w:tcPr>
            <w:tcW w:w="140" w:type="dxa"/>
            <w:vAlign w:val="bottom"/>
            <w:tcBorders>
              <w:bottom w:val="single" w:sz="8" w:color="0077C0"/>
              <w:right w:val="single" w:sz="8" w:color="0077C0"/>
            </w:tcBorders>
          </w:tcPr>
          <w:p>
            <w:pPr>
              <w:spacing w:after="0"/>
              <w:rPr>
                <w:sz w:val="2"/>
                <w:szCs w:val="2"/>
                <w:color w:val="auto"/>
              </w:rPr>
            </w:pPr>
          </w:p>
        </w:tc>
        <w:tc>
          <w:tcPr>
            <w:tcW w:w="80" w:type="dxa"/>
            <w:vAlign w:val="bottom"/>
            <w:tcBorders>
              <w:bottom w:val="single" w:sz="8" w:color="0077C0"/>
            </w:tcBorders>
          </w:tcPr>
          <w:p>
            <w:pPr>
              <w:spacing w:after="0"/>
              <w:rPr>
                <w:sz w:val="2"/>
                <w:szCs w:val="2"/>
                <w:color w:val="auto"/>
              </w:rPr>
            </w:pPr>
          </w:p>
        </w:tc>
        <w:tc>
          <w:tcPr>
            <w:tcW w:w="420" w:type="dxa"/>
            <w:vAlign w:val="bottom"/>
            <w:tcBorders>
              <w:bottom w:val="single" w:sz="8" w:color="0077C0"/>
            </w:tcBorders>
          </w:tcPr>
          <w:p>
            <w:pPr>
              <w:spacing w:after="0"/>
              <w:rPr>
                <w:sz w:val="2"/>
                <w:szCs w:val="2"/>
                <w:color w:val="auto"/>
              </w:rPr>
            </w:pPr>
          </w:p>
        </w:tc>
        <w:tc>
          <w:tcPr>
            <w:tcW w:w="860" w:type="dxa"/>
            <w:vAlign w:val="bottom"/>
            <w:tcBorders>
              <w:bottom w:val="single" w:sz="8" w:color="0077C0"/>
            </w:tcBorders>
          </w:tcPr>
          <w:p>
            <w:pPr>
              <w:spacing w:after="0"/>
              <w:rPr>
                <w:sz w:val="2"/>
                <w:szCs w:val="2"/>
                <w:color w:val="auto"/>
              </w:rPr>
            </w:pPr>
          </w:p>
        </w:tc>
        <w:tc>
          <w:tcPr>
            <w:tcW w:w="480" w:type="dxa"/>
            <w:vAlign w:val="bottom"/>
            <w:tcBorders>
              <w:bottom w:val="single" w:sz="8" w:color="0077C0"/>
            </w:tcBorders>
          </w:tcPr>
          <w:p>
            <w:pPr>
              <w:spacing w:after="0"/>
              <w:rPr>
                <w:sz w:val="2"/>
                <w:szCs w:val="2"/>
                <w:color w:val="auto"/>
              </w:rPr>
            </w:pPr>
          </w:p>
        </w:tc>
        <w:tc>
          <w:tcPr>
            <w:tcW w:w="86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24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color w:val="auto"/>
              </w:rPr>
              <w:t>At December 31</w:t>
            </w:r>
          </w:p>
        </w:tc>
        <w:tc>
          <w:tcPr>
            <w:tcW w:w="380" w:type="dxa"/>
            <w:vAlign w:val="bottom"/>
            <w:tcBorders>
              <w:bottom w:val="single" w:sz="8" w:color="0077C0"/>
            </w:tcBorders>
          </w:tcPr>
          <w:p>
            <w:pPr>
              <w:spacing w:after="0"/>
              <w:rPr>
                <w:sz w:val="16"/>
                <w:szCs w:val="16"/>
                <w:color w:val="auto"/>
              </w:rPr>
            </w:pPr>
          </w:p>
        </w:tc>
        <w:tc>
          <w:tcPr>
            <w:tcW w:w="900" w:type="dxa"/>
            <w:vAlign w:val="bottom"/>
            <w:tcBorders>
              <w:bottom w:val="single" w:sz="8" w:color="0077C0"/>
            </w:tcBorders>
          </w:tcPr>
          <w:p>
            <w:pPr>
              <w:spacing w:after="0"/>
              <w:rPr>
                <w:sz w:val="16"/>
                <w:szCs w:val="16"/>
                <w:color w:val="auto"/>
              </w:rPr>
            </w:pPr>
          </w:p>
        </w:tc>
        <w:tc>
          <w:tcPr>
            <w:tcW w:w="440" w:type="dxa"/>
            <w:vAlign w:val="bottom"/>
            <w:tcBorders>
              <w:bottom w:val="single" w:sz="8" w:color="0077C0"/>
            </w:tcBorders>
          </w:tcPr>
          <w:p>
            <w:pPr>
              <w:spacing w:after="0"/>
              <w:rPr>
                <w:sz w:val="16"/>
                <w:szCs w:val="16"/>
                <w:color w:val="auto"/>
              </w:rPr>
            </w:pPr>
          </w:p>
        </w:tc>
        <w:tc>
          <w:tcPr>
            <w:tcW w:w="880" w:type="dxa"/>
            <w:vAlign w:val="bottom"/>
            <w:tcBorders>
              <w:bottom w:val="single" w:sz="8" w:color="0077C0"/>
            </w:tcBorders>
          </w:tcPr>
          <w:p>
            <w:pPr>
              <w:spacing w:after="0"/>
              <w:rPr>
                <w:sz w:val="16"/>
                <w:szCs w:val="16"/>
                <w:color w:val="auto"/>
              </w:rPr>
            </w:pPr>
          </w:p>
        </w:tc>
        <w:tc>
          <w:tcPr>
            <w:tcW w:w="440" w:type="dxa"/>
            <w:vAlign w:val="bottom"/>
            <w:tcBorders>
              <w:bottom w:val="single" w:sz="8" w:color="0077C0"/>
            </w:tcBorders>
          </w:tcPr>
          <w:p>
            <w:pPr>
              <w:spacing w:after="0"/>
              <w:rPr>
                <w:sz w:val="16"/>
                <w:szCs w:val="16"/>
                <w:color w:val="auto"/>
              </w:rPr>
            </w:pPr>
          </w:p>
        </w:tc>
        <w:tc>
          <w:tcPr>
            <w:tcW w:w="840" w:type="dxa"/>
            <w:vAlign w:val="bottom"/>
            <w:tcBorders>
              <w:bottom w:val="single" w:sz="8" w:color="0077C0"/>
            </w:tcBorders>
          </w:tcPr>
          <w:p>
            <w:pPr>
              <w:spacing w:after="0"/>
              <w:rPr>
                <w:sz w:val="16"/>
                <w:szCs w:val="16"/>
                <w:color w:val="auto"/>
              </w:rPr>
            </w:pPr>
          </w:p>
        </w:tc>
        <w:tc>
          <w:tcPr>
            <w:tcW w:w="140" w:type="dxa"/>
            <w:vAlign w:val="bottom"/>
            <w:tcBorders>
              <w:bottom w:val="single" w:sz="8" w:color="0077C0"/>
            </w:tcBorders>
          </w:tcPr>
          <w:p>
            <w:pPr>
              <w:spacing w:after="0"/>
              <w:rPr>
                <w:sz w:val="16"/>
                <w:szCs w:val="16"/>
                <w:color w:val="auto"/>
              </w:rPr>
            </w:pPr>
          </w:p>
        </w:tc>
        <w:tc>
          <w:tcPr>
            <w:tcW w:w="80" w:type="dxa"/>
            <w:vAlign w:val="bottom"/>
            <w:tcBorders>
              <w:bottom w:val="single" w:sz="8" w:color="0077C0"/>
            </w:tcBorders>
          </w:tcPr>
          <w:p>
            <w:pPr>
              <w:spacing w:after="0"/>
              <w:rPr>
                <w:sz w:val="16"/>
                <w:szCs w:val="16"/>
                <w:color w:val="auto"/>
              </w:rPr>
            </w:pPr>
          </w:p>
        </w:tc>
        <w:tc>
          <w:tcPr>
            <w:tcW w:w="420" w:type="dxa"/>
            <w:vAlign w:val="bottom"/>
            <w:tcBorders>
              <w:bottom w:val="single" w:sz="8" w:color="0077C0"/>
            </w:tcBorders>
          </w:tcPr>
          <w:p>
            <w:pPr>
              <w:spacing w:after="0"/>
              <w:rPr>
                <w:sz w:val="16"/>
                <w:szCs w:val="16"/>
                <w:color w:val="auto"/>
              </w:rPr>
            </w:pPr>
          </w:p>
        </w:tc>
        <w:tc>
          <w:tcPr>
            <w:tcW w:w="860" w:type="dxa"/>
            <w:vAlign w:val="bottom"/>
            <w:tcBorders>
              <w:bottom w:val="single" w:sz="8" w:color="0077C0"/>
            </w:tcBorders>
          </w:tcPr>
          <w:p>
            <w:pPr>
              <w:spacing w:after="0"/>
              <w:rPr>
                <w:sz w:val="16"/>
                <w:szCs w:val="16"/>
                <w:color w:val="auto"/>
              </w:rPr>
            </w:pPr>
          </w:p>
        </w:tc>
        <w:tc>
          <w:tcPr>
            <w:tcW w:w="480" w:type="dxa"/>
            <w:vAlign w:val="bottom"/>
            <w:tcBorders>
              <w:bottom w:val="single" w:sz="8" w:color="0077C0"/>
            </w:tcBorders>
          </w:tcPr>
          <w:p>
            <w:pPr>
              <w:spacing w:after="0"/>
              <w:rPr>
                <w:sz w:val="16"/>
                <w:szCs w:val="16"/>
                <w:color w:val="auto"/>
              </w:rPr>
            </w:pPr>
          </w:p>
        </w:tc>
        <w:tc>
          <w:tcPr>
            <w:tcW w:w="860" w:type="dxa"/>
            <w:vAlign w:val="bottom"/>
            <w:tcBorders>
              <w:bottom w:val="single" w:sz="8" w:color="0077C0"/>
            </w:tcBorders>
          </w:tcPr>
          <w:p>
            <w:pPr>
              <w:spacing w:after="0"/>
              <w:rPr>
                <w:sz w:val="16"/>
                <w:szCs w:val="16"/>
                <w:color w:val="auto"/>
              </w:rPr>
            </w:pPr>
          </w:p>
        </w:tc>
        <w:tc>
          <w:tcPr>
            <w:tcW w:w="280" w:type="dxa"/>
            <w:vAlign w:val="bottom"/>
            <w:tcBorders>
              <w:bottom w:val="single" w:sz="8" w:color="0077C0"/>
            </w:tcBorders>
          </w:tcPr>
          <w:p>
            <w:pPr>
              <w:spacing w:after="0"/>
              <w:rPr>
                <w:sz w:val="16"/>
                <w:szCs w:val="16"/>
                <w:color w:val="auto"/>
              </w:rPr>
            </w:pPr>
          </w:p>
        </w:tc>
        <w:tc>
          <w:tcPr>
            <w:tcW w:w="1000" w:type="dxa"/>
            <w:vAlign w:val="bottom"/>
            <w:tcBorders>
              <w:bottom w:val="single" w:sz="8" w:color="0077C0"/>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21,697</w:t>
            </w:r>
          </w:p>
        </w:tc>
        <w:tc>
          <w:tcPr>
            <w:tcW w:w="4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22,772</w:t>
            </w:r>
          </w:p>
        </w:tc>
        <w:tc>
          <w:tcPr>
            <w:tcW w:w="4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26,632</w:t>
            </w:r>
          </w:p>
        </w:tc>
        <w:tc>
          <w:tcPr>
            <w:tcW w:w="140" w:type="dxa"/>
            <w:vAlign w:val="bottom"/>
            <w:tcBorders>
              <w:right w:val="single" w:sz="8" w:color="0077C0"/>
            </w:tcBorders>
          </w:tcPr>
          <w:p>
            <w:pPr>
              <w:spacing w:after="0"/>
              <w:rPr>
                <w:sz w:val="16"/>
                <w:szCs w:val="16"/>
                <w:color w:val="auto"/>
              </w:rPr>
            </w:pP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9,323</w:t>
            </w:r>
          </w:p>
        </w:tc>
        <w:tc>
          <w:tcPr>
            <w:tcW w:w="4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10,110</w:t>
            </w: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11,671</w:t>
            </w:r>
          </w:p>
        </w:tc>
        <w:tc>
          <w:tcPr>
            <w:tcW w:w="0" w:type="dxa"/>
            <w:vAlign w:val="bottom"/>
          </w:tcPr>
          <w:p>
            <w:pPr>
              <w:spacing w:after="0"/>
              <w:rPr>
                <w:sz w:val="1"/>
                <w:szCs w:val="1"/>
                <w:color w:val="auto"/>
              </w:rPr>
            </w:pPr>
          </w:p>
        </w:tc>
      </w:tr>
      <w:tr>
        <w:trPr>
          <w:trHeight w:val="191"/>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assets</w:t>
            </w:r>
          </w:p>
        </w:tc>
        <w:tc>
          <w:tcPr>
            <w:tcW w:w="38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104,396</w:t>
            </w:r>
          </w:p>
        </w:tc>
        <w:tc>
          <w:tcPr>
            <w:tcW w:w="44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105,965</w:t>
            </w:r>
          </w:p>
        </w:tc>
        <w:tc>
          <w:tcPr>
            <w:tcW w:w="4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101,557</w:t>
            </w:r>
          </w:p>
        </w:tc>
        <w:tc>
          <w:tcPr>
            <w:tcW w:w="140" w:type="dxa"/>
            <w:vAlign w:val="bottom"/>
            <w:tcBorders>
              <w:right w:val="single" w:sz="8" w:color="0077C0"/>
            </w:tcBorders>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49,435</w:t>
            </w:r>
          </w:p>
        </w:tc>
        <w:tc>
          <w:tcPr>
            <w:tcW w:w="48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48,753</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46,428</w:t>
            </w:r>
          </w:p>
        </w:tc>
        <w:tc>
          <w:tcPr>
            <w:tcW w:w="0" w:type="dxa"/>
            <w:vAlign w:val="bottom"/>
          </w:tcPr>
          <w:p>
            <w:pPr>
              <w:spacing w:after="0"/>
              <w:rPr>
                <w:sz w:val="1"/>
                <w:szCs w:val="1"/>
                <w:color w:val="auto"/>
              </w:rPr>
            </w:pPr>
          </w:p>
        </w:tc>
      </w:tr>
      <w:tr>
        <w:trPr>
          <w:trHeight w:val="203"/>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380" w:type="dxa"/>
            <w:vAlign w:val="bottom"/>
          </w:tcPr>
          <w:p>
            <w:pPr>
              <w:spacing w:after="0"/>
              <w:rPr>
                <w:sz w:val="17"/>
                <w:szCs w:val="17"/>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12,906</w:t>
            </w:r>
          </w:p>
        </w:tc>
        <w:tc>
          <w:tcPr>
            <w:tcW w:w="44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14,085</w:t>
            </w:r>
          </w:p>
        </w:tc>
        <w:tc>
          <w:tcPr>
            <w:tcW w:w="4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16,319</w:t>
            </w:r>
          </w:p>
        </w:tc>
        <w:tc>
          <w:tcPr>
            <w:tcW w:w="140" w:type="dxa"/>
            <w:vAlign w:val="bottom"/>
            <w:tcBorders>
              <w:right w:val="single" w:sz="8" w:color="0077C0"/>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5,084</w:t>
            </w:r>
          </w:p>
        </w:tc>
        <w:tc>
          <w:tcPr>
            <w:tcW w:w="480" w:type="dxa"/>
            <w:vAlign w:val="bottom"/>
          </w:tcPr>
          <w:p>
            <w:pPr>
              <w:spacing w:after="0"/>
              <w:rPr>
                <w:sz w:val="17"/>
                <w:szCs w:val="17"/>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6,698</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7,708</w:t>
            </w:r>
          </w:p>
        </w:tc>
        <w:tc>
          <w:tcPr>
            <w:tcW w:w="0" w:type="dxa"/>
            <w:vAlign w:val="bottom"/>
          </w:tcPr>
          <w:p>
            <w:pPr>
              <w:spacing w:after="0"/>
              <w:rPr>
                <w:sz w:val="1"/>
                <w:szCs w:val="1"/>
                <w:color w:val="auto"/>
              </w:rPr>
            </w:pPr>
          </w:p>
        </w:tc>
      </w:tr>
      <w:tr>
        <w:trPr>
          <w:trHeight w:val="203"/>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380" w:type="dxa"/>
            <w:vAlign w:val="bottom"/>
          </w:tcPr>
          <w:p>
            <w:pPr>
              <w:spacing w:after="0"/>
              <w:rPr>
                <w:sz w:val="17"/>
                <w:szCs w:val="17"/>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22,651</w:t>
            </w:r>
          </w:p>
        </w:tc>
        <w:tc>
          <w:tcPr>
            <w:tcW w:w="44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23,797</w:t>
            </w:r>
          </w:p>
        </w:tc>
        <w:tc>
          <w:tcPr>
            <w:tcW w:w="4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22,943</w:t>
            </w:r>
          </w:p>
        </w:tc>
        <w:tc>
          <w:tcPr>
            <w:tcW w:w="140" w:type="dxa"/>
            <w:vAlign w:val="bottom"/>
            <w:tcBorders>
              <w:right w:val="single" w:sz="8" w:color="0077C0"/>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7,278</w:t>
            </w:r>
          </w:p>
        </w:tc>
        <w:tc>
          <w:tcPr>
            <w:tcW w:w="480" w:type="dxa"/>
            <w:vAlign w:val="bottom"/>
          </w:tcPr>
          <w:p>
            <w:pPr>
              <w:spacing w:after="0"/>
              <w:rPr>
                <w:sz w:val="17"/>
                <w:szCs w:val="17"/>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6,342</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5,980</w:t>
            </w:r>
          </w:p>
        </w:tc>
        <w:tc>
          <w:tcPr>
            <w:tcW w:w="0" w:type="dxa"/>
            <w:vAlign w:val="bottom"/>
          </w:tcPr>
          <w:p>
            <w:pPr>
              <w:spacing w:after="0"/>
              <w:rPr>
                <w:sz w:val="1"/>
                <w:szCs w:val="1"/>
                <w:color w:val="auto"/>
              </w:rPr>
            </w:pPr>
          </w:p>
        </w:tc>
      </w:tr>
      <w:tr>
        <w:trPr>
          <w:trHeight w:val="23"/>
        </w:trPr>
        <w:tc>
          <w:tcPr>
            <w:tcW w:w="3240" w:type="dxa"/>
            <w:vAlign w:val="bottom"/>
            <w:tcBorders>
              <w:bottom w:val="single" w:sz="8" w:color="0077C0"/>
            </w:tcBorders>
          </w:tcPr>
          <w:p>
            <w:pPr>
              <w:spacing w:after="0"/>
              <w:rPr>
                <w:sz w:val="2"/>
                <w:szCs w:val="2"/>
                <w:color w:val="auto"/>
              </w:rPr>
            </w:pPr>
          </w:p>
        </w:tc>
        <w:tc>
          <w:tcPr>
            <w:tcW w:w="380" w:type="dxa"/>
            <w:vAlign w:val="bottom"/>
            <w:tcBorders>
              <w:bottom w:val="single" w:sz="8" w:color="0077C0"/>
            </w:tcBorders>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c>
          <w:tcPr>
            <w:tcW w:w="44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c>
          <w:tcPr>
            <w:tcW w:w="440" w:type="dxa"/>
            <w:vAlign w:val="bottom"/>
            <w:tcBorders>
              <w:bottom w:val="single" w:sz="8" w:color="0077C0"/>
            </w:tcBorders>
          </w:tcPr>
          <w:p>
            <w:pPr>
              <w:spacing w:after="0"/>
              <w:rPr>
                <w:sz w:val="2"/>
                <w:szCs w:val="2"/>
                <w:color w:val="auto"/>
              </w:rPr>
            </w:pPr>
          </w:p>
        </w:tc>
        <w:tc>
          <w:tcPr>
            <w:tcW w:w="840" w:type="dxa"/>
            <w:vAlign w:val="bottom"/>
            <w:tcBorders>
              <w:bottom w:val="single" w:sz="8" w:color="0077C0"/>
            </w:tcBorders>
          </w:tcPr>
          <w:p>
            <w:pPr>
              <w:spacing w:after="0"/>
              <w:rPr>
                <w:sz w:val="2"/>
                <w:szCs w:val="2"/>
                <w:color w:val="auto"/>
              </w:rPr>
            </w:pPr>
          </w:p>
        </w:tc>
        <w:tc>
          <w:tcPr>
            <w:tcW w:w="140" w:type="dxa"/>
            <w:vAlign w:val="bottom"/>
            <w:tcBorders>
              <w:bottom w:val="single" w:sz="8" w:color="0077C0"/>
              <w:right w:val="single" w:sz="8" w:color="0077C0"/>
            </w:tcBorders>
          </w:tcPr>
          <w:p>
            <w:pPr>
              <w:spacing w:after="0"/>
              <w:rPr>
                <w:sz w:val="2"/>
                <w:szCs w:val="2"/>
                <w:color w:val="auto"/>
              </w:rPr>
            </w:pPr>
          </w:p>
        </w:tc>
        <w:tc>
          <w:tcPr>
            <w:tcW w:w="80" w:type="dxa"/>
            <w:vAlign w:val="bottom"/>
            <w:tcBorders>
              <w:bottom w:val="single" w:sz="8" w:color="0077C0"/>
            </w:tcBorders>
          </w:tcPr>
          <w:p>
            <w:pPr>
              <w:spacing w:after="0"/>
              <w:rPr>
                <w:sz w:val="2"/>
                <w:szCs w:val="2"/>
                <w:color w:val="auto"/>
              </w:rPr>
            </w:pPr>
          </w:p>
        </w:tc>
        <w:tc>
          <w:tcPr>
            <w:tcW w:w="420" w:type="dxa"/>
            <w:vAlign w:val="bottom"/>
            <w:tcBorders>
              <w:bottom w:val="single" w:sz="8" w:color="0077C0"/>
            </w:tcBorders>
          </w:tcPr>
          <w:p>
            <w:pPr>
              <w:spacing w:after="0"/>
              <w:rPr>
                <w:sz w:val="2"/>
                <w:szCs w:val="2"/>
                <w:color w:val="auto"/>
              </w:rPr>
            </w:pPr>
          </w:p>
        </w:tc>
        <w:tc>
          <w:tcPr>
            <w:tcW w:w="860" w:type="dxa"/>
            <w:vAlign w:val="bottom"/>
            <w:tcBorders>
              <w:bottom w:val="single" w:sz="8" w:color="0077C0"/>
            </w:tcBorders>
          </w:tcPr>
          <w:p>
            <w:pPr>
              <w:spacing w:after="0"/>
              <w:rPr>
                <w:sz w:val="2"/>
                <w:szCs w:val="2"/>
                <w:color w:val="auto"/>
              </w:rPr>
            </w:pPr>
          </w:p>
        </w:tc>
        <w:tc>
          <w:tcPr>
            <w:tcW w:w="480" w:type="dxa"/>
            <w:vAlign w:val="bottom"/>
            <w:tcBorders>
              <w:bottom w:val="single" w:sz="8" w:color="0077C0"/>
            </w:tcBorders>
          </w:tcPr>
          <w:p>
            <w:pPr>
              <w:spacing w:after="0"/>
              <w:rPr>
                <w:sz w:val="2"/>
                <w:szCs w:val="2"/>
                <w:color w:val="auto"/>
              </w:rPr>
            </w:pPr>
          </w:p>
        </w:tc>
        <w:tc>
          <w:tcPr>
            <w:tcW w:w="86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24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affiliates’ net equity</w:t>
            </w:r>
          </w:p>
        </w:tc>
        <w:tc>
          <w:tcPr>
            <w:tcW w:w="380" w:type="dxa"/>
            <w:vAlign w:val="bottom"/>
            <w:tcBorders>
              <w:bottom w:val="single" w:sz="8" w:color="0077C0"/>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bottom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90,536</w:t>
            </w:r>
          </w:p>
        </w:tc>
        <w:tc>
          <w:tcPr>
            <w:tcW w:w="440" w:type="dxa"/>
            <w:vAlign w:val="bottom"/>
            <w:tcBorders>
              <w:bottom w:val="single" w:sz="8" w:color="0077C0"/>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color w:val="auto"/>
              </w:rPr>
              <w:t>90,855</w:t>
            </w:r>
          </w:p>
        </w:tc>
        <w:tc>
          <w:tcPr>
            <w:tcW w:w="440" w:type="dxa"/>
            <w:vAlign w:val="bottom"/>
            <w:tcBorders>
              <w:bottom w:val="single" w:sz="8" w:color="0077C0"/>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88,927</w:t>
            </w:r>
          </w:p>
        </w:tc>
        <w:tc>
          <w:tcPr>
            <w:tcW w:w="140" w:type="dxa"/>
            <w:vAlign w:val="bottom"/>
            <w:tcBorders>
              <w:bottom w:val="single" w:sz="8" w:color="0077C0"/>
              <w:right w:val="single" w:sz="8" w:color="0077C0"/>
            </w:tcBorders>
          </w:tcPr>
          <w:p>
            <w:pPr>
              <w:spacing w:after="0"/>
              <w:rPr>
                <w:sz w:val="16"/>
                <w:szCs w:val="16"/>
                <w:color w:val="auto"/>
              </w:rPr>
            </w:pPr>
          </w:p>
        </w:tc>
        <w:tc>
          <w:tcPr>
            <w:tcW w:w="500" w:type="dxa"/>
            <w:vAlign w:val="bottom"/>
            <w:tcBorders>
              <w:bottom w:val="single" w:sz="8" w:color="0077C0"/>
            </w:tcBorders>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46,396</w:t>
            </w:r>
          </w:p>
        </w:tc>
        <w:tc>
          <w:tcPr>
            <w:tcW w:w="480" w:type="dxa"/>
            <w:vAlign w:val="bottom"/>
            <w:tcBorders>
              <w:bottom w:val="single" w:sz="8" w:color="0077C0"/>
            </w:tcBorders>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color w:val="auto"/>
              </w:rPr>
              <w:t>45,823</w:t>
            </w:r>
          </w:p>
        </w:tc>
        <w:tc>
          <w:tcPr>
            <w:tcW w:w="28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44,411</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80" w:right="160" w:hanging="91"/>
        <w:spacing w:after="0" w:line="283" w:lineRule="auto"/>
        <w:tabs>
          <w:tab w:leader="none" w:pos="193"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Chevron’s net income attributable to affiliates is recorded in the company’s before-tax consolidated earnings in accordance with U.S. Generally Accepted Accounting Principles. The total income tax expense recorded by the company’s equity affiliates in 2024 was $2,874, with Chevron’s share being $1,286.</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85" w:name="page86"/>
    <w:bookmarkEnd w:id="85"/>
    <w:p>
      <w:pPr>
        <w:ind w:left="103"/>
        <w:spacing w:after="0"/>
        <w:tabs>
          <w:tab w:leader="none" w:pos="9542" w:val="left"/>
        </w:tabs>
        <w:rPr>
          <w:sz w:val="20"/>
          <w:szCs w:val="20"/>
          <w:color w:val="auto"/>
        </w:rPr>
      </w:pPr>
      <w:r>
        <w:rPr>
          <w:rFonts w:ascii="Arial" w:cs="Arial" w:eastAsia="Arial" w:hAnsi="Arial"/>
          <w:sz w:val="14"/>
          <w:szCs w:val="14"/>
          <w:color w:val="0077C0"/>
        </w:rPr>
        <w:t>Notes to the Consolidated Financial Statements</w:t>
      </w:r>
      <w:r>
        <w:rPr>
          <w:sz w:val="20"/>
          <w:szCs w:val="20"/>
          <w:color w:val="auto"/>
        </w:rPr>
        <w:tab/>
      </w:r>
      <w:r>
        <w:rPr>
          <w:rFonts w:ascii="Arial" w:cs="Arial" w:eastAsia="Arial" w:hAnsi="Arial"/>
          <w:sz w:val="14"/>
          <w:szCs w:val="14"/>
          <w:color w:val="0077C0"/>
        </w:rPr>
        <w:t>Financial Table of Contents</w:t>
      </w:r>
    </w:p>
    <w:p>
      <w:pPr>
        <w:spacing w:after="0" w:line="51" w:lineRule="exact"/>
        <w:rPr>
          <w:sz w:val="20"/>
          <w:szCs w:val="20"/>
          <w:color w:val="auto"/>
        </w:rPr>
      </w:pPr>
    </w:p>
    <w:p>
      <w:pPr>
        <w:ind w:left="143"/>
        <w:spacing w:after="0"/>
        <w:rPr>
          <w:sz w:val="20"/>
          <w:szCs w:val="20"/>
          <w:color w:val="auto"/>
        </w:rPr>
      </w:pPr>
      <w:r>
        <w:rPr>
          <w:rFonts w:ascii="Arial" w:cs="Arial" w:eastAsia="Arial" w:hAnsi="Arial"/>
          <w:sz w:val="11"/>
          <w:szCs w:val="11"/>
          <w:color w:val="0077C0"/>
        </w:rPr>
        <w:t>Millions of dollars, except per-share amounts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83"/>
        <w:spacing w:after="0"/>
        <w:rPr>
          <w:sz w:val="20"/>
          <w:szCs w:val="20"/>
          <w:color w:val="auto"/>
        </w:rPr>
      </w:pPr>
      <w:r>
        <w:rPr>
          <w:rFonts w:ascii="Arial" w:cs="Arial" w:eastAsia="Arial" w:hAnsi="Arial"/>
          <w:sz w:val="22"/>
          <w:szCs w:val="22"/>
          <w:b w:val="1"/>
          <w:bCs w:val="1"/>
          <w:color w:val="0077C0"/>
        </w:rPr>
        <w:t>Note 16</w:t>
      </w:r>
    </w:p>
    <w:p>
      <w:pPr>
        <w:spacing w:after="0" w:line="31" w:lineRule="exact"/>
        <w:rPr>
          <w:sz w:val="20"/>
          <w:szCs w:val="20"/>
          <w:color w:val="auto"/>
        </w:rPr>
      </w:pPr>
    </w:p>
    <w:p>
      <w:pPr>
        <w:ind w:left="83"/>
        <w:spacing w:after="0"/>
        <w:rPr>
          <w:sz w:val="20"/>
          <w:szCs w:val="20"/>
          <w:color w:val="auto"/>
        </w:rPr>
      </w:pPr>
      <w:r>
        <w:rPr>
          <w:rFonts w:ascii="Arial" w:cs="Arial" w:eastAsia="Arial" w:hAnsi="Arial"/>
          <w:sz w:val="18"/>
          <w:szCs w:val="18"/>
          <w:color w:val="0077C0"/>
        </w:rPr>
        <w:t>Litigation</w:t>
      </w:r>
    </w:p>
    <w:p>
      <w:pPr>
        <w:spacing w:after="0" w:line="55" w:lineRule="exact"/>
        <w:rPr>
          <w:sz w:val="20"/>
          <w:szCs w:val="20"/>
          <w:color w:val="auto"/>
        </w:rPr>
      </w:pPr>
    </w:p>
    <w:p>
      <w:pPr>
        <w:ind w:left="83"/>
        <w:spacing w:after="0"/>
        <w:rPr>
          <w:sz w:val="20"/>
          <w:szCs w:val="20"/>
          <w:color w:val="auto"/>
        </w:rPr>
      </w:pPr>
      <w:r>
        <w:rPr>
          <w:rFonts w:ascii="Times New Roman" w:cs="Times New Roman" w:eastAsia="Times New Roman" w:hAnsi="Times New Roman"/>
          <w:sz w:val="18"/>
          <w:szCs w:val="18"/>
          <w:b w:val="1"/>
          <w:bCs w:val="1"/>
          <w:i w:val="1"/>
          <w:iCs w:val="1"/>
          <w:color w:val="FF0000"/>
        </w:rPr>
        <w:t>Climate Change</w:t>
      </w:r>
    </w:p>
    <w:p>
      <w:pPr>
        <w:spacing w:after="0" w:line="31" w:lineRule="exact"/>
        <w:rPr>
          <w:sz w:val="20"/>
          <w:szCs w:val="20"/>
          <w:color w:val="auto"/>
        </w:rPr>
      </w:pPr>
    </w:p>
    <w:p>
      <w:pPr>
        <w:jc w:val="both"/>
        <w:ind w:left="83"/>
        <w:spacing w:after="0" w:line="256" w:lineRule="auto"/>
        <w:rPr>
          <w:sz w:val="20"/>
          <w:szCs w:val="20"/>
          <w:color w:val="auto"/>
        </w:rPr>
      </w:pPr>
      <w:r>
        <w:rPr>
          <w:rFonts w:ascii="Times New Roman" w:cs="Times New Roman" w:eastAsia="Times New Roman" w:hAnsi="Times New Roman"/>
          <w:sz w:val="18"/>
          <w:szCs w:val="18"/>
          <w:color w:val="auto"/>
        </w:rPr>
        <w:t>Governmental and other plaintiffs in various jurisdictions across the United States have brought legal proceedings against fossil fuel producing companies, including Chevron entities, purporting to seek legal and equitable relief to address alleged impacts of climate change. Chevron entities are or were among the codefendants in 32 separate lawsuits filed by various U.S. cities and counties, four U.S. states, the District of Columbia, the Commonwealth of Puerto Rico, two Native American tribes, and a trade group in both federal and state courts.</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The lawsuits have asserted various causes of action, including public nuisance, private nuisance, failure to warn, fraud, conspiracy to commit fraud, design defect, product defect, trespass, negligence, impairment of public trust, equitable relief for pollution, impairment and destruction of natural resources, unjust enrichment, violations of consumer and environmental protection statutes, violations of unfair competition statutes, violations of a federal antitrust statute, and violations of federal and state RICO statutes, based upon, among other things, the company’s production of oil and gas products and alleged misrepresentations or omissions relating to climate change risks associated with those products. Further such proceedings are likely to be brought by other parties. While defendants have sought to remove cases filed in state court to federal court, most of those cases have been remanded to state court and the U.S. Supreme Court has denied petitions for writ of certiorari on jurisdictional questions to date. The U.S. Supreme Court has also denied petitions for certiorari to review a decision from the Hawaii Supreme Court allowing claims brought by the City and County of Honolulu to proceed past the pleadings. The unprecedented legal theories set forth in these proceedings include claims for damages (both compensatory and punitive), injunctive and other forms of equitable relief, including without limitation abatement, contribution to abatement funds, disgorgement of profits and equitable relief for pollution, impairment and destruction of natural resources, civil penalties and liability for fees and costs of suits. Due to the unprecedented nature of the suits, the company is unable to estimate any range of possible liability, but given the uncertainty of litigation there can be no assurance that the cases will not have a material adverse effect on the company’s results of operations and financial condition. Management believes that these proceedings are legally and factually meritless and detract from constructive efforts to address the important policy issues presented by climate change and will vigorously defend against such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120650</wp:posOffset>
            </wp:positionV>
            <wp:extent cx="17145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94" w:lineRule="exact"/>
        <w:rPr>
          <w:sz w:val="20"/>
          <w:szCs w:val="20"/>
          <w:color w:val="auto"/>
        </w:rPr>
      </w:pPr>
    </w:p>
    <w:p>
      <w:pPr>
        <w:ind w:left="83" w:right="20" w:hanging="83"/>
        <w:spacing w:after="0" w:line="242" w:lineRule="auto"/>
        <w:tabs>
          <w:tab w:leader="none" w:pos="95" w:val="left"/>
        </w:tabs>
        <w:numPr>
          <w:ilvl w:val="0"/>
          <w:numId w:val="4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 xml:space="preserve">The cases are: </w:t>
      </w:r>
      <w:r>
        <w:rPr>
          <w:rFonts w:ascii="Times New Roman" w:cs="Times New Roman" w:eastAsia="Times New Roman" w:hAnsi="Times New Roman"/>
          <w:sz w:val="14"/>
          <w:szCs w:val="14"/>
          <w:i w:val="1"/>
          <w:iCs w:val="1"/>
          <w:color w:val="auto"/>
        </w:rPr>
        <w:t>Municipality of Bayamon et al. v. Exxon Mobil Corp., et al.</w:t>
      </w:r>
      <w:r>
        <w:rPr>
          <w:rFonts w:ascii="Times New Roman" w:cs="Times New Roman" w:eastAsia="Times New Roman" w:hAnsi="Times New Roman"/>
          <w:sz w:val="14"/>
          <w:szCs w:val="14"/>
          <w:color w:val="auto"/>
        </w:rPr>
        <w:t xml:space="preserve">, No. 22-cv-1550 (D.P.R.); </w:t>
      </w:r>
      <w:r>
        <w:rPr>
          <w:rFonts w:ascii="Times New Roman" w:cs="Times New Roman" w:eastAsia="Times New Roman" w:hAnsi="Times New Roman"/>
          <w:sz w:val="14"/>
          <w:szCs w:val="14"/>
          <w:i w:val="1"/>
          <w:iCs w:val="1"/>
          <w:color w:val="auto"/>
        </w:rPr>
        <w:t>City of Annapolis v. BP P.L.C., et al.</w:t>
      </w:r>
      <w:r>
        <w:rPr>
          <w:rFonts w:ascii="Times New Roman" w:cs="Times New Roman" w:eastAsia="Times New Roman" w:hAnsi="Times New Roman"/>
          <w:sz w:val="14"/>
          <w:szCs w:val="14"/>
          <w:color w:val="auto"/>
        </w:rPr>
        <w:t xml:space="preserve">, No. C-02-CV-21-000250 (Md. Cir. Ct.) (dismissed on the merits, Plaintiff’s appeal pending); </w:t>
      </w:r>
      <w:r>
        <w:rPr>
          <w:rFonts w:ascii="Times New Roman" w:cs="Times New Roman" w:eastAsia="Times New Roman" w:hAnsi="Times New Roman"/>
          <w:sz w:val="14"/>
          <w:szCs w:val="14"/>
          <w:i w:val="1"/>
          <w:iCs w:val="1"/>
          <w:color w:val="auto"/>
        </w:rPr>
        <w:t>Anne Arundel County v. BP P.L.C., et al.</w:t>
      </w:r>
      <w:r>
        <w:rPr>
          <w:rFonts w:ascii="Times New Roman" w:cs="Times New Roman" w:eastAsia="Times New Roman" w:hAnsi="Times New Roman"/>
          <w:sz w:val="14"/>
          <w:szCs w:val="14"/>
          <w:color w:val="auto"/>
        </w:rPr>
        <w:t xml:space="preserve">, No. C-02-CV-21-000565 (Md. Cir. Ct.) (dismissed on the merits, Plaintiff’s appeal pending); </w:t>
      </w:r>
      <w:r>
        <w:rPr>
          <w:rFonts w:ascii="Times New Roman" w:cs="Times New Roman" w:eastAsia="Times New Roman" w:hAnsi="Times New Roman"/>
          <w:sz w:val="14"/>
          <w:szCs w:val="14"/>
          <w:i w:val="1"/>
          <w:iCs w:val="1"/>
          <w:color w:val="auto"/>
        </w:rPr>
        <w:t>Mayor and City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Council of Baltimore v. BP P.L.C., et al.</w:t>
      </w:r>
      <w:r>
        <w:rPr>
          <w:rFonts w:ascii="Times New Roman" w:cs="Times New Roman" w:eastAsia="Times New Roman" w:hAnsi="Times New Roman"/>
          <w:sz w:val="14"/>
          <w:szCs w:val="14"/>
          <w:color w:val="auto"/>
        </w:rPr>
        <w:t>, No. 24-C-18-004219 (Md. Cir. Ct.) (dismissed on the merits, Plaintiff’s appeal pending);</w:t>
      </w:r>
      <w:r>
        <w:rPr>
          <w:rFonts w:ascii="Times New Roman" w:cs="Times New Roman" w:eastAsia="Times New Roman" w:hAnsi="Times New Roman"/>
          <w:sz w:val="14"/>
          <w:szCs w:val="14"/>
          <w:i w:val="1"/>
          <w:iCs w:val="1"/>
          <w:color w:val="auto"/>
        </w:rPr>
        <w:t xml:space="preserve"> People ex rel. Bonta v. Exxon Mobil Corp., et al.</w:t>
      </w:r>
      <w:r>
        <w:rPr>
          <w:rFonts w:ascii="Times New Roman" w:cs="Times New Roman" w:eastAsia="Times New Roman" w:hAnsi="Times New Roman"/>
          <w:sz w:val="14"/>
          <w:szCs w:val="14"/>
          <w:color w:val="auto"/>
        </w:rPr>
        <w:t xml:space="preserve">, No. CGC-23-609134 (Cal. Super. Ct.); Bucks County v. BP P.L.C., et al., No. 2024-01836 (Pa. Ct. Com. Pl.); </w:t>
      </w:r>
      <w:r>
        <w:rPr>
          <w:rFonts w:ascii="Times New Roman" w:cs="Times New Roman" w:eastAsia="Times New Roman" w:hAnsi="Times New Roman"/>
          <w:sz w:val="14"/>
          <w:szCs w:val="14"/>
          <w:i w:val="1"/>
          <w:iCs w:val="1"/>
          <w:color w:val="auto"/>
        </w:rPr>
        <w:t>City of Charleston v. Brabham Oil Co., et al.</w:t>
      </w:r>
      <w:r>
        <w:rPr>
          <w:rFonts w:ascii="Times New Roman" w:cs="Times New Roman" w:eastAsia="Times New Roman" w:hAnsi="Times New Roman"/>
          <w:sz w:val="14"/>
          <w:szCs w:val="14"/>
          <w:color w:val="auto"/>
        </w:rPr>
        <w:t xml:space="preserve">, No. 2020-CP-10-3975 (S.C. Ct. of Com. Pl.); </w:t>
      </w:r>
      <w:r>
        <w:rPr>
          <w:rFonts w:ascii="Times New Roman" w:cs="Times New Roman" w:eastAsia="Times New Roman" w:hAnsi="Times New Roman"/>
          <w:sz w:val="14"/>
          <w:szCs w:val="14"/>
          <w:i w:val="1"/>
          <w:iCs w:val="1"/>
          <w:color w:val="auto"/>
        </w:rPr>
        <w:t>District of Columbia v. Exxon Mobil Corp., et al.</w:t>
      </w:r>
      <w:r>
        <w:rPr>
          <w:rFonts w:ascii="Times New Roman" w:cs="Times New Roman" w:eastAsia="Times New Roman" w:hAnsi="Times New Roman"/>
          <w:sz w:val="14"/>
          <w:szCs w:val="14"/>
          <w:color w:val="auto"/>
        </w:rPr>
        <w:t>, No. 2020-CA-002892-B (D.C. Super. Ct.);</w:t>
      </w:r>
      <w:r>
        <w:rPr>
          <w:rFonts w:ascii="Times New Roman" w:cs="Times New Roman" w:eastAsia="Times New Roman" w:hAnsi="Times New Roman"/>
          <w:sz w:val="14"/>
          <w:szCs w:val="14"/>
          <w:i w:val="1"/>
          <w:iCs w:val="1"/>
          <w:color w:val="auto"/>
        </w:rPr>
        <w:t xml:space="preserve"> Delaware ex rel. Jennings v. BP America Inc., et al.</w:t>
      </w:r>
      <w:r>
        <w:rPr>
          <w:rFonts w:ascii="Times New Roman" w:cs="Times New Roman" w:eastAsia="Times New Roman" w:hAnsi="Times New Roman"/>
          <w:sz w:val="14"/>
          <w:szCs w:val="14"/>
          <w:color w:val="auto"/>
        </w:rPr>
        <w:t>, C.A. No. N20C-09-097 (Del.Super. Ct.);</w:t>
      </w:r>
      <w:r>
        <w:rPr>
          <w:rFonts w:ascii="Times New Roman" w:cs="Times New Roman" w:eastAsia="Times New Roman" w:hAnsi="Times New Roman"/>
          <w:sz w:val="14"/>
          <w:szCs w:val="14"/>
          <w:i w:val="1"/>
          <w:iCs w:val="1"/>
          <w:color w:val="auto"/>
        </w:rPr>
        <w:t xml:space="preserve"> City of Hoboken v. Exxon Mobil Corp., et al.</w:t>
      </w:r>
      <w:r>
        <w:rPr>
          <w:rFonts w:ascii="Times New Roman" w:cs="Times New Roman" w:eastAsia="Times New Roman" w:hAnsi="Times New Roman"/>
          <w:sz w:val="14"/>
          <w:szCs w:val="14"/>
          <w:color w:val="auto"/>
        </w:rPr>
        <w:t>, No. HUD-L-003179-20 (N.J. Super. Ct.);</w:t>
      </w:r>
      <w:r>
        <w:rPr>
          <w:rFonts w:ascii="Times New Roman" w:cs="Times New Roman" w:eastAsia="Times New Roman" w:hAnsi="Times New Roman"/>
          <w:sz w:val="14"/>
          <w:szCs w:val="14"/>
          <w:i w:val="1"/>
          <w:iCs w:val="1"/>
          <w:color w:val="auto"/>
        </w:rPr>
        <w:t xml:space="preserve"> City and County of Honolulu, et al. v. Sunoco LP, et al.</w:t>
      </w:r>
      <w:r>
        <w:rPr>
          <w:rFonts w:ascii="Times New Roman" w:cs="Times New Roman" w:eastAsia="Times New Roman" w:hAnsi="Times New Roman"/>
          <w:sz w:val="14"/>
          <w:szCs w:val="14"/>
          <w:color w:val="auto"/>
        </w:rPr>
        <w:t>, No. 1CCV-20-0000380 (Haw. Cir. Ct.);</w:t>
      </w:r>
      <w:r>
        <w:rPr>
          <w:rFonts w:ascii="Times New Roman" w:cs="Times New Roman" w:eastAsia="Times New Roman" w:hAnsi="Times New Roman"/>
          <w:sz w:val="14"/>
          <w:szCs w:val="14"/>
          <w:i w:val="1"/>
          <w:iCs w:val="1"/>
          <w:color w:val="auto"/>
        </w:rPr>
        <w:t xml:space="preserve"> City of Imperial Beach v. Chevron Corp., et al.</w:t>
      </w:r>
      <w:r>
        <w:rPr>
          <w:rFonts w:ascii="Times New Roman" w:cs="Times New Roman" w:eastAsia="Times New Roman" w:hAnsi="Times New Roman"/>
          <w:sz w:val="14"/>
          <w:szCs w:val="14"/>
          <w:color w:val="auto"/>
        </w:rPr>
        <w:t>, No. C17-01227 (Cal. Super. Ct.);</w:t>
      </w:r>
      <w:r>
        <w:rPr>
          <w:rFonts w:ascii="Times New Roman" w:cs="Times New Roman" w:eastAsia="Times New Roman" w:hAnsi="Times New Roman"/>
          <w:sz w:val="14"/>
          <w:szCs w:val="14"/>
          <w:i w:val="1"/>
          <w:iCs w:val="1"/>
          <w:color w:val="auto"/>
        </w:rPr>
        <w:t xml:space="preserve"> King County v. BP P.L.C.</w:t>
      </w:r>
      <w:r>
        <w:rPr>
          <w:rFonts w:ascii="Times New Roman" w:cs="Times New Roman" w:eastAsia="Times New Roman" w:hAnsi="Times New Roman"/>
          <w:sz w:val="14"/>
          <w:szCs w:val="14"/>
          <w:color w:val="auto"/>
        </w:rPr>
        <w:t>, et al., No. 18-2-11859-0 (Wash. Super. Ct.) (voluntarily dismissed);</w:t>
      </w:r>
      <w:r>
        <w:rPr>
          <w:rFonts w:ascii="Times New Roman" w:cs="Times New Roman" w:eastAsia="Times New Roman" w:hAnsi="Times New Roman"/>
          <w:sz w:val="14"/>
          <w:szCs w:val="14"/>
          <w:i w:val="1"/>
          <w:iCs w:val="1"/>
          <w:color w:val="auto"/>
        </w:rPr>
        <w:t xml:space="preserve"> Makah Indian Tribe v. Exxon Mobil Corp., et al.</w:t>
      </w:r>
      <w:r>
        <w:rPr>
          <w:rFonts w:ascii="Times New Roman" w:cs="Times New Roman" w:eastAsia="Times New Roman" w:hAnsi="Times New Roman"/>
          <w:sz w:val="14"/>
          <w:szCs w:val="14"/>
          <w:color w:val="auto"/>
        </w:rPr>
        <w:t>, No. 23-25216-1-SEA (Wash. Super. Ct.);</w:t>
      </w:r>
      <w:r>
        <w:rPr>
          <w:rFonts w:ascii="Times New Roman" w:cs="Times New Roman" w:eastAsia="Times New Roman" w:hAnsi="Times New Roman"/>
          <w:sz w:val="14"/>
          <w:szCs w:val="14"/>
          <w:i w:val="1"/>
          <w:iCs w:val="1"/>
          <w:color w:val="auto"/>
        </w:rPr>
        <w:t xml:space="preserve"> County of Marin v. Chevron Corp., et al.</w:t>
      </w:r>
      <w:r>
        <w:rPr>
          <w:rFonts w:ascii="Times New Roman" w:cs="Times New Roman" w:eastAsia="Times New Roman" w:hAnsi="Times New Roman"/>
          <w:sz w:val="14"/>
          <w:szCs w:val="14"/>
          <w:color w:val="auto"/>
        </w:rPr>
        <w:t>, No. 17-cv-02586 (Cal. Super. Ct.);</w:t>
      </w:r>
      <w:r>
        <w:rPr>
          <w:rFonts w:ascii="Times New Roman" w:cs="Times New Roman" w:eastAsia="Times New Roman" w:hAnsi="Times New Roman"/>
          <w:sz w:val="14"/>
          <w:szCs w:val="14"/>
          <w:i w:val="1"/>
          <w:iCs w:val="1"/>
          <w:color w:val="auto"/>
        </w:rPr>
        <w:t xml:space="preserve"> County of Maui v. Sunoco LP, et al.</w:t>
      </w:r>
      <w:r>
        <w:rPr>
          <w:rFonts w:ascii="Times New Roman" w:cs="Times New Roman" w:eastAsia="Times New Roman" w:hAnsi="Times New Roman"/>
          <w:sz w:val="14"/>
          <w:szCs w:val="14"/>
          <w:color w:val="auto"/>
        </w:rPr>
        <w:t xml:space="preserve">, No. 2CCV-20-0000283 (Haw. Cir. Ct.); </w:t>
      </w:r>
      <w:r>
        <w:rPr>
          <w:rFonts w:ascii="Times New Roman" w:cs="Times New Roman" w:eastAsia="Times New Roman" w:hAnsi="Times New Roman"/>
          <w:sz w:val="14"/>
          <w:szCs w:val="14"/>
          <w:i w:val="1"/>
          <w:iCs w:val="1"/>
          <w:color w:val="auto"/>
        </w:rPr>
        <w:t>County of Multnomah v. Exxon Mobil Corp., et al.</w:t>
      </w:r>
      <w:r>
        <w:rPr>
          <w:rFonts w:ascii="Times New Roman" w:cs="Times New Roman" w:eastAsia="Times New Roman" w:hAnsi="Times New Roman"/>
          <w:sz w:val="14"/>
          <w:szCs w:val="14"/>
          <w:color w:val="auto"/>
        </w:rPr>
        <w:t xml:space="preserve">, No. 23-cv-25164 (Or. Cir. Ct.); </w:t>
      </w:r>
      <w:r>
        <w:rPr>
          <w:rFonts w:ascii="Times New Roman" w:cs="Times New Roman" w:eastAsia="Times New Roman" w:hAnsi="Times New Roman"/>
          <w:sz w:val="14"/>
          <w:szCs w:val="14"/>
          <w:i w:val="1"/>
          <w:iCs w:val="1"/>
          <w:color w:val="auto"/>
        </w:rPr>
        <w:t>Municipality of San Juan, Puerto Rico v. Exxon Mobil Corp., et al.</w:t>
      </w:r>
      <w:r>
        <w:rPr>
          <w:rFonts w:ascii="Times New Roman" w:cs="Times New Roman" w:eastAsia="Times New Roman" w:hAnsi="Times New Roman"/>
          <w:sz w:val="14"/>
          <w:szCs w:val="14"/>
          <w:color w:val="auto"/>
        </w:rPr>
        <w:t xml:space="preserve">, No. 23-cv-01608 (D.P.R.); </w:t>
      </w:r>
      <w:r>
        <w:rPr>
          <w:rFonts w:ascii="Times New Roman" w:cs="Times New Roman" w:eastAsia="Times New Roman" w:hAnsi="Times New Roman"/>
          <w:sz w:val="14"/>
          <w:szCs w:val="14"/>
          <w:i w:val="1"/>
          <w:iCs w:val="1"/>
          <w:color w:val="auto"/>
        </w:rPr>
        <w:t>City of Oakland v. BP P.L.C., et al.</w:t>
      </w:r>
      <w:r>
        <w:rPr>
          <w:rFonts w:ascii="Times New Roman" w:cs="Times New Roman" w:eastAsia="Times New Roman" w:hAnsi="Times New Roman"/>
          <w:sz w:val="14"/>
          <w:szCs w:val="14"/>
          <w:color w:val="auto"/>
        </w:rPr>
        <w:t xml:space="preserve">, No. RG17875889 (Cal. Super. Ct.); </w:t>
      </w:r>
      <w:r>
        <w:rPr>
          <w:rFonts w:ascii="Times New Roman" w:cs="Times New Roman" w:eastAsia="Times New Roman" w:hAnsi="Times New Roman"/>
          <w:sz w:val="14"/>
          <w:szCs w:val="14"/>
          <w:i w:val="1"/>
          <w:iCs w:val="1"/>
          <w:color w:val="auto"/>
        </w:rPr>
        <w:t>Platkin, et al. v. Exxon Mobil Corp., et al.</w:t>
      </w:r>
      <w:r>
        <w:rPr>
          <w:rFonts w:ascii="Times New Roman" w:cs="Times New Roman" w:eastAsia="Times New Roman" w:hAnsi="Times New Roman"/>
          <w:sz w:val="14"/>
          <w:szCs w:val="14"/>
          <w:color w:val="auto"/>
        </w:rPr>
        <w:t xml:space="preserve">, No. MER-L-001797-22 (N.J. Super. Ct.) (dismissed on the merits, appeal may be filed); </w:t>
      </w:r>
      <w:r>
        <w:rPr>
          <w:rFonts w:ascii="Times New Roman" w:cs="Times New Roman" w:eastAsia="Times New Roman" w:hAnsi="Times New Roman"/>
          <w:sz w:val="14"/>
          <w:szCs w:val="14"/>
          <w:i w:val="1"/>
          <w:iCs w:val="1"/>
          <w:color w:val="auto"/>
        </w:rPr>
        <w:t>Estado Libre Asociado de Puerto Rico</w:t>
      </w:r>
      <w:r>
        <w:rPr>
          <w:rFonts w:ascii="Times New Roman" w:cs="Times New Roman" w:eastAsia="Times New Roman" w:hAnsi="Times New Roman"/>
          <w:sz w:val="14"/>
          <w:szCs w:val="14"/>
          <w:color w:val="auto"/>
        </w:rPr>
        <w:t xml:space="preserve"> [Commonwealth of Puerto Rico] </w:t>
      </w:r>
      <w:r>
        <w:rPr>
          <w:rFonts w:ascii="Times New Roman" w:cs="Times New Roman" w:eastAsia="Times New Roman" w:hAnsi="Times New Roman"/>
          <w:sz w:val="14"/>
          <w:szCs w:val="14"/>
          <w:i w:val="1"/>
          <w:iCs w:val="1"/>
          <w:color w:val="auto"/>
        </w:rPr>
        <w:t>v. Exxon Mobil Corp., et al.</w:t>
      </w:r>
      <w:r>
        <w:rPr>
          <w:rFonts w:ascii="Times New Roman" w:cs="Times New Roman" w:eastAsia="Times New Roman" w:hAnsi="Times New Roman"/>
          <w:sz w:val="14"/>
          <w:szCs w:val="14"/>
          <w:color w:val="auto"/>
        </w:rPr>
        <w:t xml:space="preserve">, No. SJ2024CV06512 (Tribunal de Primera Instancia, Estado Libre Asociado de P.R.) [P.R. Ct. of First Instance, Commonwealth of P.R.]; </w:t>
      </w:r>
      <w:r>
        <w:rPr>
          <w:rFonts w:ascii="Times New Roman" w:cs="Times New Roman" w:eastAsia="Times New Roman" w:hAnsi="Times New Roman"/>
          <w:sz w:val="14"/>
          <w:szCs w:val="14"/>
          <w:i w:val="1"/>
          <w:iCs w:val="1"/>
          <w:color w:val="auto"/>
        </w:rPr>
        <w:t>City of New York v. Chevron Corp., et al.</w:t>
      </w:r>
      <w:r>
        <w:rPr>
          <w:rFonts w:ascii="Times New Roman" w:cs="Times New Roman" w:eastAsia="Times New Roman" w:hAnsi="Times New Roman"/>
          <w:sz w:val="14"/>
          <w:szCs w:val="14"/>
          <w:color w:val="auto"/>
        </w:rPr>
        <w:t xml:space="preserve">, No. 18-cv-00182 (S.D.N.Y.) (dismissed on the merits); </w:t>
      </w:r>
      <w:r>
        <w:rPr>
          <w:rFonts w:ascii="Times New Roman" w:cs="Times New Roman" w:eastAsia="Times New Roman" w:hAnsi="Times New Roman"/>
          <w:sz w:val="14"/>
          <w:szCs w:val="14"/>
          <w:i w:val="1"/>
          <w:iCs w:val="1"/>
          <w:color w:val="auto"/>
        </w:rPr>
        <w:t>Pacific Coast Federation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of Fishermen’s Associations, Inc. v. Chevron Corp., et al.</w:t>
      </w:r>
      <w:r>
        <w:rPr>
          <w:rFonts w:ascii="Times New Roman" w:cs="Times New Roman" w:eastAsia="Times New Roman" w:hAnsi="Times New Roman"/>
          <w:sz w:val="14"/>
          <w:szCs w:val="14"/>
          <w:color w:val="auto"/>
        </w:rPr>
        <w:t>, No. CGC-18-571285 (Cal. Super. Ct.) (voluntarily dismissed);</w:t>
      </w:r>
      <w:r>
        <w:rPr>
          <w:rFonts w:ascii="Times New Roman" w:cs="Times New Roman" w:eastAsia="Times New Roman" w:hAnsi="Times New Roman"/>
          <w:sz w:val="14"/>
          <w:szCs w:val="14"/>
          <w:i w:val="1"/>
          <w:iCs w:val="1"/>
          <w:color w:val="auto"/>
        </w:rPr>
        <w:t xml:space="preserve"> State of Rhode Island v. Chevron Corp., et al</w:t>
      </w:r>
      <w:r>
        <w:rPr>
          <w:rFonts w:ascii="Times New Roman" w:cs="Times New Roman" w:eastAsia="Times New Roman" w:hAnsi="Times New Roman"/>
          <w:sz w:val="14"/>
          <w:szCs w:val="14"/>
          <w:color w:val="auto"/>
        </w:rPr>
        <w:t>., C.A. No. PC-2018-4716</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(R.I. Super. Ct.); </w:t>
      </w:r>
      <w:r>
        <w:rPr>
          <w:rFonts w:ascii="Times New Roman" w:cs="Times New Roman" w:eastAsia="Times New Roman" w:hAnsi="Times New Roman"/>
          <w:sz w:val="14"/>
          <w:szCs w:val="14"/>
          <w:i w:val="1"/>
          <w:iCs w:val="1"/>
          <w:color w:val="auto"/>
        </w:rPr>
        <w:t>City of Richmond v. Chevron Corp., et al.</w:t>
      </w:r>
      <w:r>
        <w:rPr>
          <w:rFonts w:ascii="Times New Roman" w:cs="Times New Roman" w:eastAsia="Times New Roman" w:hAnsi="Times New Roman"/>
          <w:sz w:val="14"/>
          <w:szCs w:val="14"/>
          <w:color w:val="auto"/>
        </w:rPr>
        <w:t xml:space="preserve">, No. C18-00055 (Cal. Super. Ct.); </w:t>
      </w:r>
      <w:r>
        <w:rPr>
          <w:rFonts w:ascii="Times New Roman" w:cs="Times New Roman" w:eastAsia="Times New Roman" w:hAnsi="Times New Roman"/>
          <w:sz w:val="14"/>
          <w:szCs w:val="14"/>
          <w:i w:val="1"/>
          <w:iCs w:val="1"/>
          <w:color w:val="auto"/>
        </w:rPr>
        <w:t>City of San Francisco v. BP P.L.C., et al.</w:t>
      </w:r>
      <w:r>
        <w:rPr>
          <w:rFonts w:ascii="Times New Roman" w:cs="Times New Roman" w:eastAsia="Times New Roman" w:hAnsi="Times New Roman"/>
          <w:sz w:val="14"/>
          <w:szCs w:val="14"/>
          <w:color w:val="auto"/>
        </w:rPr>
        <w:t xml:space="preserve">, No. CGC-17-561370 (Cal. Super. Ct.); </w:t>
      </w:r>
      <w:r>
        <w:rPr>
          <w:rFonts w:ascii="Times New Roman" w:cs="Times New Roman" w:eastAsia="Times New Roman" w:hAnsi="Times New Roman"/>
          <w:sz w:val="14"/>
          <w:szCs w:val="14"/>
          <w:i w:val="1"/>
          <w:iCs w:val="1"/>
          <w:color w:val="auto"/>
        </w:rPr>
        <w:t>County of San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Mateo v. Chevron Corp., et al.</w:t>
      </w:r>
      <w:r>
        <w:rPr>
          <w:rFonts w:ascii="Times New Roman" w:cs="Times New Roman" w:eastAsia="Times New Roman" w:hAnsi="Times New Roman"/>
          <w:sz w:val="14"/>
          <w:szCs w:val="14"/>
          <w:color w:val="auto"/>
        </w:rPr>
        <w:t>, No. 17-CIV-03222 (Cal. Super. Ct.);</w:t>
      </w:r>
      <w:r>
        <w:rPr>
          <w:rFonts w:ascii="Times New Roman" w:cs="Times New Roman" w:eastAsia="Times New Roman" w:hAnsi="Times New Roman"/>
          <w:sz w:val="14"/>
          <w:szCs w:val="14"/>
          <w:i w:val="1"/>
          <w:iCs w:val="1"/>
          <w:color w:val="auto"/>
        </w:rPr>
        <w:t xml:space="preserve"> City of Santa Cruz v. Chevron Corp., et al.</w:t>
      </w:r>
      <w:r>
        <w:rPr>
          <w:rFonts w:ascii="Times New Roman" w:cs="Times New Roman" w:eastAsia="Times New Roman" w:hAnsi="Times New Roman"/>
          <w:sz w:val="14"/>
          <w:szCs w:val="14"/>
          <w:color w:val="auto"/>
        </w:rPr>
        <w:t>, No. 17-CV-03243 (Cal. Super. Ct.);</w:t>
      </w:r>
      <w:r>
        <w:rPr>
          <w:rFonts w:ascii="Times New Roman" w:cs="Times New Roman" w:eastAsia="Times New Roman" w:hAnsi="Times New Roman"/>
          <w:sz w:val="14"/>
          <w:szCs w:val="14"/>
          <w:i w:val="1"/>
          <w:iCs w:val="1"/>
          <w:color w:val="auto"/>
        </w:rPr>
        <w:t xml:space="preserve"> County of Santa Cruz v. Chevron Corp., et al</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No. 17-CV-03242 (Cal. Super. Ct.); </w:t>
      </w:r>
      <w:r>
        <w:rPr>
          <w:rFonts w:ascii="Times New Roman" w:cs="Times New Roman" w:eastAsia="Times New Roman" w:hAnsi="Times New Roman"/>
          <w:sz w:val="14"/>
          <w:szCs w:val="14"/>
          <w:i w:val="1"/>
          <w:iCs w:val="1"/>
          <w:color w:val="auto"/>
        </w:rPr>
        <w:t>Shoalwater Bay Indian Tribe v. Exxon Mobil Corp., et al.</w:t>
      </w:r>
      <w:r>
        <w:rPr>
          <w:rFonts w:ascii="Times New Roman" w:cs="Times New Roman" w:eastAsia="Times New Roman" w:hAnsi="Times New Roman"/>
          <w:sz w:val="14"/>
          <w:szCs w:val="14"/>
          <w:color w:val="auto"/>
        </w:rPr>
        <w:t xml:space="preserve">, No. 23-2-25215-2-SEA (Wash. Super. Ct.); </w:t>
      </w:r>
      <w:r>
        <w:rPr>
          <w:rFonts w:ascii="Times New Roman" w:cs="Times New Roman" w:eastAsia="Times New Roman" w:hAnsi="Times New Roman"/>
          <w:sz w:val="14"/>
          <w:szCs w:val="14"/>
          <w:i w:val="1"/>
          <w:iCs w:val="1"/>
          <w:color w:val="auto"/>
        </w:rPr>
        <w:t>City of Chicago v. BP P.L.C., et al.</w:t>
      </w:r>
      <w:r>
        <w:rPr>
          <w:rFonts w:ascii="Times New Roman" w:cs="Times New Roman" w:eastAsia="Times New Roman" w:hAnsi="Times New Roman"/>
          <w:sz w:val="14"/>
          <w:szCs w:val="14"/>
          <w:color w:val="auto"/>
        </w:rPr>
        <w:t xml:space="preserve">, No. 2024CH01024 (Ill. Cir. Ct.); </w:t>
      </w:r>
      <w:r>
        <w:rPr>
          <w:rFonts w:ascii="Times New Roman" w:cs="Times New Roman" w:eastAsia="Times New Roman" w:hAnsi="Times New Roman"/>
          <w:sz w:val="14"/>
          <w:szCs w:val="14"/>
          <w:i w:val="1"/>
          <w:iCs w:val="1"/>
          <w:color w:val="auto"/>
        </w:rPr>
        <w:t>Maine v. BP P.L.C. et al.</w:t>
      </w:r>
      <w:r>
        <w:rPr>
          <w:rFonts w:ascii="Times New Roman" w:cs="Times New Roman" w:eastAsia="Times New Roman" w:hAnsi="Times New Roman"/>
          <w:sz w:val="14"/>
          <w:szCs w:val="14"/>
          <w:color w:val="auto"/>
        </w:rPr>
        <w:t>, No. PORSC-CV-24-442 (Me. Super. Ct.).</w:t>
      </w:r>
    </w:p>
    <w:p>
      <w:pPr>
        <w:spacing w:after="0" w:line="360" w:lineRule="exact"/>
        <w:rPr>
          <w:sz w:val="20"/>
          <w:szCs w:val="20"/>
          <w:color w:val="auto"/>
        </w:rPr>
      </w:pPr>
    </w:p>
    <w:p>
      <w:pPr>
        <w:jc w:val="center"/>
        <w:ind w:right="-82"/>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222250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3"/>
          </w:cols>
          <w:pgMar w:left="237" w:top="184" w:right="339" w:bottom="1440" w:gutter="0" w:footer="0" w:header="0"/>
        </w:sectPr>
      </w:pPr>
    </w:p>
    <w:bookmarkStart w:id="86" w:name="page87"/>
    <w:bookmarkEnd w:id="86"/>
    <w:p>
      <w:pPr>
        <w:ind w:left="103"/>
        <w:spacing w:after="0"/>
        <w:tabs>
          <w:tab w:leader="none" w:pos="9542" w:val="left"/>
        </w:tabs>
        <w:rPr>
          <w:sz w:val="20"/>
          <w:szCs w:val="20"/>
          <w:color w:val="auto"/>
        </w:rPr>
      </w:pPr>
      <w:r>
        <w:rPr>
          <w:rFonts w:ascii="Arial" w:cs="Arial" w:eastAsia="Arial" w:hAnsi="Arial"/>
          <w:sz w:val="14"/>
          <w:szCs w:val="14"/>
          <w:color w:val="0077C0"/>
        </w:rPr>
        <w:t>Notes to the Consolidated Financial Statements</w:t>
      </w:r>
      <w:r>
        <w:rPr>
          <w:sz w:val="20"/>
          <w:szCs w:val="20"/>
          <w:color w:val="auto"/>
        </w:rPr>
        <w:tab/>
      </w:r>
      <w:r>
        <w:rPr>
          <w:rFonts w:ascii="Arial" w:cs="Arial" w:eastAsia="Arial" w:hAnsi="Arial"/>
          <w:sz w:val="14"/>
          <w:szCs w:val="14"/>
          <w:color w:val="0077C0"/>
        </w:rPr>
        <w:t>Financial Table of Contents</w:t>
      </w:r>
    </w:p>
    <w:p>
      <w:pPr>
        <w:spacing w:after="0" w:line="51" w:lineRule="exact"/>
        <w:rPr>
          <w:sz w:val="20"/>
          <w:szCs w:val="20"/>
          <w:color w:val="auto"/>
        </w:rPr>
      </w:pPr>
    </w:p>
    <w:p>
      <w:pPr>
        <w:ind w:left="143"/>
        <w:spacing w:after="0"/>
        <w:rPr>
          <w:sz w:val="20"/>
          <w:szCs w:val="20"/>
          <w:color w:val="auto"/>
        </w:rPr>
      </w:pPr>
      <w:r>
        <w:rPr>
          <w:rFonts w:ascii="Arial" w:cs="Arial" w:eastAsia="Arial" w:hAnsi="Arial"/>
          <w:sz w:val="11"/>
          <w:szCs w:val="11"/>
          <w:color w:val="0077C0"/>
        </w:rPr>
        <w:t>Millions of dollars, except per-share amounts</w:t>
      </w:r>
    </w:p>
    <w:p>
      <w:pPr>
        <w:spacing w:after="0" w:line="200" w:lineRule="exact"/>
        <w:rPr>
          <w:sz w:val="20"/>
          <w:szCs w:val="20"/>
          <w:color w:val="auto"/>
        </w:rPr>
      </w:pPr>
    </w:p>
    <w:p>
      <w:pPr>
        <w:spacing w:after="0" w:line="366" w:lineRule="exact"/>
        <w:rPr>
          <w:sz w:val="20"/>
          <w:szCs w:val="20"/>
          <w:color w:val="auto"/>
        </w:rPr>
      </w:pPr>
    </w:p>
    <w:p>
      <w:pPr>
        <w:ind w:left="83"/>
        <w:spacing w:after="0"/>
        <w:rPr>
          <w:sz w:val="20"/>
          <w:szCs w:val="20"/>
          <w:color w:val="auto"/>
        </w:rPr>
      </w:pPr>
      <w:r>
        <w:rPr>
          <w:rFonts w:ascii="Times New Roman" w:cs="Times New Roman" w:eastAsia="Times New Roman" w:hAnsi="Times New Roman"/>
          <w:sz w:val="18"/>
          <w:szCs w:val="18"/>
          <w:b w:val="1"/>
          <w:bCs w:val="1"/>
          <w:i w:val="1"/>
          <w:iCs w:val="1"/>
          <w:color w:val="FF0000"/>
        </w:rPr>
        <w:t>Louisiana</w:t>
      </w:r>
    </w:p>
    <w:p>
      <w:pPr>
        <w:spacing w:after="0" w:line="108" w:lineRule="exact"/>
        <w:rPr>
          <w:sz w:val="20"/>
          <w:szCs w:val="20"/>
          <w:color w:val="auto"/>
        </w:rPr>
      </w:pPr>
    </w:p>
    <w:p>
      <w:pPr>
        <w:jc w:val="both"/>
        <w:ind w:left="83"/>
        <w:spacing w:after="0" w:line="256" w:lineRule="auto"/>
        <w:rPr>
          <w:sz w:val="20"/>
          <w:szCs w:val="20"/>
          <w:color w:val="auto"/>
        </w:rPr>
      </w:pPr>
      <w:r>
        <w:rPr>
          <w:rFonts w:ascii="Times New Roman" w:cs="Times New Roman" w:eastAsia="Times New Roman" w:hAnsi="Times New Roman"/>
          <w:sz w:val="18"/>
          <w:szCs w:val="18"/>
          <w:color w:val="auto"/>
        </w:rPr>
        <w:t>Seven coastal parishes and the State of Louisiana have filed lawsuits in Louisiana against numerous oil and gas companies seeking damages for coastal erosion in or near oil fields located within Louisiana’s coastal zone under Louisiana’s State and Local Coastal Resources Management Act (SLCRMA). Chevron entities are defendants in 37 of these cases.</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The lawsuits allege that the defendants’ historical operations were conducted without necessary permits or failed to comply with permits obtained and seek damages and other relief, including the costs of restoring coastal wetlands allegedly impacted by oil field operations. Further such proceedings may be brought by other parties. The Supreme Court denied a petition for writ of certiorari on jurisdictional questions impacting certain of these cases, and those cases have been or will be remanded to Louisiana state court, one of which has been set for trial and is scheduled to begin in March 2025. Federal jurisdictional questions are still being decided for the remaining cases in the United States federal court system. Due to the unprecedented nature of the suits, the company is unable to estimate any range of possible liability, but given the uncertainty of litigation there can be no assurance that the cases will not have a material adverse effect on the company’s results of operations and financial condition. Management believes that the claims lack legal and factual merit and will continue to vigorously defend against such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756920</wp:posOffset>
            </wp:positionV>
            <wp:extent cx="1714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83" w:hanging="83"/>
        <w:spacing w:after="0" w:line="226" w:lineRule="auto"/>
        <w:tabs>
          <w:tab w:leader="none" w:pos="95" w:val="left"/>
        </w:tabs>
        <w:numPr>
          <w:ilvl w:val="0"/>
          <w:numId w:val="4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 xml:space="preserve">The cases are: </w:t>
      </w:r>
      <w:r>
        <w:rPr>
          <w:rFonts w:ascii="Times New Roman" w:cs="Times New Roman" w:eastAsia="Times New Roman" w:hAnsi="Times New Roman"/>
          <w:sz w:val="14"/>
          <w:szCs w:val="14"/>
          <w:i w:val="1"/>
          <w:iCs w:val="1"/>
          <w:color w:val="auto"/>
        </w:rPr>
        <w:t>Jefferson Parish v. Atlantic Richfield Company, et al</w:t>
      </w:r>
      <w:r>
        <w:rPr>
          <w:rFonts w:ascii="Times New Roman" w:cs="Times New Roman" w:eastAsia="Times New Roman" w:hAnsi="Times New Roman"/>
          <w:sz w:val="14"/>
          <w:szCs w:val="14"/>
          <w:color w:val="auto"/>
        </w:rPr>
        <w:t xml:space="preserve">., No. 732-768 (24th Jud. Dist. Ct., Jefferson Par.); </w:t>
      </w:r>
      <w:r>
        <w:rPr>
          <w:rFonts w:ascii="Times New Roman" w:cs="Times New Roman" w:eastAsia="Times New Roman" w:hAnsi="Times New Roman"/>
          <w:sz w:val="14"/>
          <w:szCs w:val="14"/>
          <w:i w:val="1"/>
          <w:iCs w:val="1"/>
          <w:color w:val="auto"/>
        </w:rPr>
        <w:t>Jefferson Parish v. Chevron U.S.A. Holdings, Inc., et al.</w:t>
      </w:r>
      <w:r>
        <w:rPr>
          <w:rFonts w:ascii="Times New Roman" w:cs="Times New Roman" w:eastAsia="Times New Roman" w:hAnsi="Times New Roman"/>
          <w:sz w:val="14"/>
          <w:szCs w:val="14"/>
          <w:color w:val="auto"/>
        </w:rPr>
        <w:t xml:space="preserve">, No. 732-769 (24th Jud. Dist. Ct., Jefferson Par.); </w:t>
      </w:r>
      <w:r>
        <w:rPr>
          <w:rFonts w:ascii="Times New Roman" w:cs="Times New Roman" w:eastAsia="Times New Roman" w:hAnsi="Times New Roman"/>
          <w:sz w:val="14"/>
          <w:szCs w:val="14"/>
          <w:i w:val="1"/>
          <w:iCs w:val="1"/>
          <w:color w:val="auto"/>
        </w:rPr>
        <w:t>Jefferson Parish v. Destin Operating Company, Inc., et al</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No. 732-770 (24th Jud. Dist. Ct., Jefferson Par.); </w:t>
      </w:r>
      <w:r>
        <w:rPr>
          <w:rFonts w:ascii="Times New Roman" w:cs="Times New Roman" w:eastAsia="Times New Roman" w:hAnsi="Times New Roman"/>
          <w:sz w:val="14"/>
          <w:szCs w:val="14"/>
          <w:i w:val="1"/>
          <w:iCs w:val="1"/>
          <w:color w:val="auto"/>
        </w:rPr>
        <w:t>Jefferson Parish v. Canlan Oil Company, et al.</w:t>
      </w:r>
      <w:r>
        <w:rPr>
          <w:rFonts w:ascii="Times New Roman" w:cs="Times New Roman" w:eastAsia="Times New Roman" w:hAnsi="Times New Roman"/>
          <w:sz w:val="14"/>
          <w:szCs w:val="14"/>
          <w:color w:val="auto"/>
        </w:rPr>
        <w:t xml:space="preserve">, No. 732-771 (24th Jud. Dist. Ct., Jefferson Par.); </w:t>
      </w:r>
      <w:r>
        <w:rPr>
          <w:rFonts w:ascii="Times New Roman" w:cs="Times New Roman" w:eastAsia="Times New Roman" w:hAnsi="Times New Roman"/>
          <w:sz w:val="14"/>
          <w:szCs w:val="14"/>
          <w:i w:val="1"/>
          <w:iCs w:val="1"/>
          <w:color w:val="auto"/>
        </w:rPr>
        <w:t>Jefferson Parish v. Anadarko E&amp;P Onshore LLC, et al.</w:t>
      </w:r>
      <w:r>
        <w:rPr>
          <w:rFonts w:ascii="Times New Roman" w:cs="Times New Roman" w:eastAsia="Times New Roman" w:hAnsi="Times New Roman"/>
          <w:sz w:val="14"/>
          <w:szCs w:val="14"/>
          <w:color w:val="auto"/>
        </w:rPr>
        <w:t xml:space="preserve">, No. 732-772 (24th Jud. Dist. Ct., Jefferson Par.); </w:t>
      </w:r>
      <w:r>
        <w:rPr>
          <w:rFonts w:ascii="Times New Roman" w:cs="Times New Roman" w:eastAsia="Times New Roman" w:hAnsi="Times New Roman"/>
          <w:sz w:val="14"/>
          <w:szCs w:val="14"/>
          <w:i w:val="1"/>
          <w:iCs w:val="1"/>
          <w:color w:val="auto"/>
        </w:rPr>
        <w:t>Jefferson Parish v. ExxonMobil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Corporation, et al.</w:t>
      </w:r>
      <w:r>
        <w:rPr>
          <w:rFonts w:ascii="Times New Roman" w:cs="Times New Roman" w:eastAsia="Times New Roman" w:hAnsi="Times New Roman"/>
          <w:sz w:val="14"/>
          <w:szCs w:val="14"/>
          <w:color w:val="auto"/>
        </w:rPr>
        <w:t>, No. 732-774 (24th Jud. Dist. Ct., Jefferson Par.);</w:t>
      </w:r>
      <w:r>
        <w:rPr>
          <w:rFonts w:ascii="Times New Roman" w:cs="Times New Roman" w:eastAsia="Times New Roman" w:hAnsi="Times New Roman"/>
          <w:sz w:val="14"/>
          <w:szCs w:val="14"/>
          <w:i w:val="1"/>
          <w:iCs w:val="1"/>
          <w:color w:val="auto"/>
        </w:rPr>
        <w:t xml:space="preserve"> Jefferson Parish v. Equitable Petroleum Corporation, et al., </w:t>
      </w:r>
      <w:r>
        <w:rPr>
          <w:rFonts w:ascii="Times New Roman" w:cs="Times New Roman" w:eastAsia="Times New Roman" w:hAnsi="Times New Roman"/>
          <w:sz w:val="14"/>
          <w:szCs w:val="14"/>
          <w:color w:val="auto"/>
        </w:rPr>
        <w:t>No. 732-775 (24th Jud. Dist. Ct., Jefferson Par.);</w:t>
      </w:r>
      <w:r>
        <w:rPr>
          <w:rFonts w:ascii="Times New Roman" w:cs="Times New Roman" w:eastAsia="Times New Roman" w:hAnsi="Times New Roman"/>
          <w:sz w:val="14"/>
          <w:szCs w:val="14"/>
          <w:i w:val="1"/>
          <w:iCs w:val="1"/>
          <w:color w:val="auto"/>
        </w:rPr>
        <w:t xml:space="preserve"> Plaquemines Parish v. ConocoPhillips Co., et al.</w:t>
      </w:r>
      <w:r>
        <w:rPr>
          <w:rFonts w:ascii="Times New Roman" w:cs="Times New Roman" w:eastAsia="Times New Roman" w:hAnsi="Times New Roman"/>
          <w:sz w:val="14"/>
          <w:szCs w:val="14"/>
          <w:color w:val="auto"/>
        </w:rPr>
        <w:t>, No. 60-982 (25th Jud. Dist. Ct., Plaquemines Par.);</w:t>
      </w:r>
      <w:r>
        <w:rPr>
          <w:rFonts w:ascii="Times New Roman" w:cs="Times New Roman" w:eastAsia="Times New Roman" w:hAnsi="Times New Roman"/>
          <w:sz w:val="14"/>
          <w:szCs w:val="14"/>
          <w:i w:val="1"/>
          <w:iCs w:val="1"/>
          <w:color w:val="auto"/>
        </w:rPr>
        <w:t xml:space="preserve"> Plaquemines Parish v. HHE Energy Co., et al.</w:t>
      </w:r>
      <w:r>
        <w:rPr>
          <w:rFonts w:ascii="Times New Roman" w:cs="Times New Roman" w:eastAsia="Times New Roman" w:hAnsi="Times New Roman"/>
          <w:sz w:val="14"/>
          <w:szCs w:val="14"/>
          <w:color w:val="auto"/>
        </w:rPr>
        <w:t>, No. 60-983 (25th Jud. Dist. Ct., Plaquemines Par.);</w:t>
      </w:r>
      <w:r>
        <w:rPr>
          <w:rFonts w:ascii="Times New Roman" w:cs="Times New Roman" w:eastAsia="Times New Roman" w:hAnsi="Times New Roman"/>
          <w:sz w:val="14"/>
          <w:szCs w:val="14"/>
          <w:i w:val="1"/>
          <w:iCs w:val="1"/>
          <w:color w:val="auto"/>
        </w:rPr>
        <w:t xml:space="preserve"> Plaquemines Parish v. Exchange Oil &amp; Gas Corp.</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et al.</w:t>
      </w:r>
      <w:r>
        <w:rPr>
          <w:rFonts w:ascii="Times New Roman" w:cs="Times New Roman" w:eastAsia="Times New Roman" w:hAnsi="Times New Roman"/>
          <w:sz w:val="14"/>
          <w:szCs w:val="14"/>
          <w:color w:val="auto"/>
        </w:rPr>
        <w:t>, No. 60-984 (25th Jud. Dist. Ct., Plaquemines Par.);</w:t>
      </w:r>
      <w:r>
        <w:rPr>
          <w:rFonts w:ascii="Times New Roman" w:cs="Times New Roman" w:eastAsia="Times New Roman" w:hAnsi="Times New Roman"/>
          <w:sz w:val="14"/>
          <w:szCs w:val="14"/>
          <w:i w:val="1"/>
          <w:iCs w:val="1"/>
          <w:color w:val="auto"/>
        </w:rPr>
        <w:t xml:space="preserve"> Plaquemines Parish v. LLOG Exploration &amp; Production Co.</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et al.</w:t>
      </w:r>
      <w:r>
        <w:rPr>
          <w:rFonts w:ascii="Times New Roman" w:cs="Times New Roman" w:eastAsia="Times New Roman" w:hAnsi="Times New Roman"/>
          <w:sz w:val="14"/>
          <w:szCs w:val="14"/>
          <w:color w:val="auto"/>
        </w:rPr>
        <w:t>, No. 60-985 (25th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Jud. Dist. Ct., Plaquemines Par.); </w:t>
      </w:r>
      <w:r>
        <w:rPr>
          <w:rFonts w:ascii="Times New Roman" w:cs="Times New Roman" w:eastAsia="Times New Roman" w:hAnsi="Times New Roman"/>
          <w:sz w:val="14"/>
          <w:szCs w:val="14"/>
          <w:i w:val="1"/>
          <w:iCs w:val="1"/>
          <w:color w:val="auto"/>
        </w:rPr>
        <w:t>Plaquemines Parish v. Equitable Petroleum Corporation, et al.</w:t>
      </w:r>
      <w:r>
        <w:rPr>
          <w:rFonts w:ascii="Times New Roman" w:cs="Times New Roman" w:eastAsia="Times New Roman" w:hAnsi="Times New Roman"/>
          <w:sz w:val="14"/>
          <w:szCs w:val="14"/>
          <w:color w:val="auto"/>
        </w:rPr>
        <w:t xml:space="preserve">, No. 60-986 (25th Jud. Dist. Ct., Plaquemines Par.); </w:t>
      </w:r>
      <w:r>
        <w:rPr>
          <w:rFonts w:ascii="Times New Roman" w:cs="Times New Roman" w:eastAsia="Times New Roman" w:hAnsi="Times New Roman"/>
          <w:sz w:val="14"/>
          <w:szCs w:val="14"/>
          <w:i w:val="1"/>
          <w:iCs w:val="1"/>
          <w:color w:val="auto"/>
        </w:rPr>
        <w:t>Plaquemines Parish v. June Energy, et al.</w:t>
      </w:r>
      <w:r>
        <w:rPr>
          <w:rFonts w:ascii="Times New Roman" w:cs="Times New Roman" w:eastAsia="Times New Roman" w:hAnsi="Times New Roman"/>
          <w:sz w:val="14"/>
          <w:szCs w:val="14"/>
          <w:color w:val="auto"/>
        </w:rPr>
        <w:t xml:space="preserve">, No. 60-987 (25th Jud. Dist. Ct., Plaquemines Par.); </w:t>
      </w:r>
      <w:r>
        <w:rPr>
          <w:rFonts w:ascii="Times New Roman" w:cs="Times New Roman" w:eastAsia="Times New Roman" w:hAnsi="Times New Roman"/>
          <w:sz w:val="14"/>
          <w:szCs w:val="14"/>
          <w:i w:val="1"/>
          <w:iCs w:val="1"/>
          <w:color w:val="auto"/>
        </w:rPr>
        <w:t>Plaquemines Parish v. Linder Oil Company, et al.</w:t>
      </w:r>
      <w:r>
        <w:rPr>
          <w:rFonts w:ascii="Times New Roman" w:cs="Times New Roman" w:eastAsia="Times New Roman" w:hAnsi="Times New Roman"/>
          <w:sz w:val="14"/>
          <w:szCs w:val="14"/>
          <w:color w:val="auto"/>
        </w:rPr>
        <w:t xml:space="preserve">, No. 60-988 (25th Jud. Dist. Ct., Plaquemines Par.); </w:t>
      </w:r>
      <w:r>
        <w:rPr>
          <w:rFonts w:ascii="Times New Roman" w:cs="Times New Roman" w:eastAsia="Times New Roman" w:hAnsi="Times New Roman"/>
          <w:sz w:val="14"/>
          <w:szCs w:val="14"/>
          <w:i w:val="1"/>
          <w:iCs w:val="1"/>
          <w:color w:val="auto"/>
        </w:rPr>
        <w:t>Plaquemines Parish v. Riverwood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Production Company, et al.</w:t>
      </w:r>
      <w:r>
        <w:rPr>
          <w:rFonts w:ascii="Times New Roman" w:cs="Times New Roman" w:eastAsia="Times New Roman" w:hAnsi="Times New Roman"/>
          <w:sz w:val="14"/>
          <w:szCs w:val="14"/>
          <w:color w:val="auto"/>
        </w:rPr>
        <w:t>, No. 60-989 (25th Jud. Dist. Ct., Plaquemines Par.);</w:t>
      </w:r>
      <w:r>
        <w:rPr>
          <w:rFonts w:ascii="Times New Roman" w:cs="Times New Roman" w:eastAsia="Times New Roman" w:hAnsi="Times New Roman"/>
          <w:sz w:val="14"/>
          <w:szCs w:val="14"/>
          <w:i w:val="1"/>
          <w:iCs w:val="1"/>
          <w:color w:val="auto"/>
        </w:rPr>
        <w:t xml:space="preserve"> Plaquemines Parish v. Helis Oil &amp; Gas Company, et al</w:t>
      </w:r>
      <w:r>
        <w:rPr>
          <w:rFonts w:ascii="Times New Roman" w:cs="Times New Roman" w:eastAsia="Times New Roman" w:hAnsi="Times New Roman"/>
          <w:sz w:val="14"/>
          <w:szCs w:val="14"/>
          <w:color w:val="auto"/>
        </w:rPr>
        <w:t>., No. 60-990 (25th Jud. Dist. Ct., Plaquemines Par.);</w:t>
      </w:r>
      <w:r>
        <w:rPr>
          <w:rFonts w:ascii="Times New Roman" w:cs="Times New Roman" w:eastAsia="Times New Roman" w:hAnsi="Times New Roman"/>
          <w:sz w:val="14"/>
          <w:szCs w:val="14"/>
          <w:i w:val="1"/>
          <w:iCs w:val="1"/>
          <w:color w:val="auto"/>
        </w:rPr>
        <w:t xml:space="preserve"> Plaquemines Parish v. Northcoast Oil Company, et al.</w:t>
      </w:r>
      <w:r>
        <w:rPr>
          <w:rFonts w:ascii="Times New Roman" w:cs="Times New Roman" w:eastAsia="Times New Roman" w:hAnsi="Times New Roman"/>
          <w:sz w:val="14"/>
          <w:szCs w:val="14"/>
          <w:color w:val="auto"/>
        </w:rPr>
        <w:t>, No. 60-992 (25th Jud. Dist. Ct., Plaquemines Par.);</w:t>
      </w:r>
      <w:r>
        <w:rPr>
          <w:rFonts w:ascii="Times New Roman" w:cs="Times New Roman" w:eastAsia="Times New Roman" w:hAnsi="Times New Roman"/>
          <w:sz w:val="14"/>
          <w:szCs w:val="14"/>
          <w:i w:val="1"/>
          <w:iCs w:val="1"/>
          <w:color w:val="auto"/>
        </w:rPr>
        <w:t xml:space="preserve"> Plaquemines Parish v. Goodrich Petroleum Company, L.L.C., et al.</w:t>
      </w:r>
      <w:r>
        <w:rPr>
          <w:rFonts w:ascii="Times New Roman" w:cs="Times New Roman" w:eastAsia="Times New Roman" w:hAnsi="Times New Roman"/>
          <w:sz w:val="14"/>
          <w:szCs w:val="14"/>
          <w:color w:val="auto"/>
        </w:rPr>
        <w:t>, No. 60-994 (25th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Jud. Dist. Ct., Plaquemines Par.); </w:t>
      </w:r>
      <w:r>
        <w:rPr>
          <w:rFonts w:ascii="Times New Roman" w:cs="Times New Roman" w:eastAsia="Times New Roman" w:hAnsi="Times New Roman"/>
          <w:sz w:val="14"/>
          <w:szCs w:val="14"/>
          <w:i w:val="1"/>
          <w:iCs w:val="1"/>
          <w:color w:val="auto"/>
        </w:rPr>
        <w:t>Plaquemines Parish v. Devon Energy Production Company, L.P., et al.</w:t>
      </w:r>
      <w:r>
        <w:rPr>
          <w:rFonts w:ascii="Times New Roman" w:cs="Times New Roman" w:eastAsia="Times New Roman" w:hAnsi="Times New Roman"/>
          <w:sz w:val="14"/>
          <w:szCs w:val="14"/>
          <w:color w:val="auto"/>
        </w:rPr>
        <w:t xml:space="preserve">, No. 60-995 (25th Jud. Dist. Ct., Plaquemines Par.); </w:t>
      </w:r>
      <w:r>
        <w:rPr>
          <w:rFonts w:ascii="Times New Roman" w:cs="Times New Roman" w:eastAsia="Times New Roman" w:hAnsi="Times New Roman"/>
          <w:sz w:val="14"/>
          <w:szCs w:val="14"/>
          <w:i w:val="1"/>
          <w:iCs w:val="1"/>
          <w:color w:val="auto"/>
        </w:rPr>
        <w:t>Plaquemines Parish v. Rozel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Operating Co., et al.</w:t>
      </w:r>
      <w:r>
        <w:rPr>
          <w:rFonts w:ascii="Times New Roman" w:cs="Times New Roman" w:eastAsia="Times New Roman" w:hAnsi="Times New Roman"/>
          <w:sz w:val="14"/>
          <w:szCs w:val="14"/>
          <w:color w:val="auto"/>
        </w:rPr>
        <w:t>, No. 60-996 (25th Jud. Dist. Ct., Plaquemines Par.);</w:t>
      </w:r>
      <w:r>
        <w:rPr>
          <w:rFonts w:ascii="Times New Roman" w:cs="Times New Roman" w:eastAsia="Times New Roman" w:hAnsi="Times New Roman"/>
          <w:sz w:val="14"/>
          <w:szCs w:val="14"/>
          <w:i w:val="1"/>
          <w:iCs w:val="1"/>
          <w:color w:val="auto"/>
        </w:rPr>
        <w:t xml:space="preserve"> Plaquemines Parish v. Palm Energy Offshore, L.L.C., et al.</w:t>
      </w:r>
      <w:r>
        <w:rPr>
          <w:rFonts w:ascii="Times New Roman" w:cs="Times New Roman" w:eastAsia="Times New Roman" w:hAnsi="Times New Roman"/>
          <w:sz w:val="14"/>
          <w:szCs w:val="14"/>
          <w:color w:val="auto"/>
        </w:rPr>
        <w:t>, No. 60-997 (25th Jud. Dist. Ct., Plaquemines Par.);</w:t>
      </w:r>
      <w:r>
        <w:rPr>
          <w:rFonts w:ascii="Times New Roman" w:cs="Times New Roman" w:eastAsia="Times New Roman" w:hAnsi="Times New Roman"/>
          <w:sz w:val="14"/>
          <w:szCs w:val="14"/>
          <w:i w:val="1"/>
          <w:iCs w:val="1"/>
          <w:color w:val="auto"/>
        </w:rPr>
        <w:t xml:space="preserve"> Plaquemines Parish v. Great Southern Oil &amp; Gas Company, Inc., et al.</w:t>
      </w:r>
      <w:r>
        <w:rPr>
          <w:rFonts w:ascii="Times New Roman" w:cs="Times New Roman" w:eastAsia="Times New Roman" w:hAnsi="Times New Roman"/>
          <w:sz w:val="14"/>
          <w:szCs w:val="14"/>
          <w:color w:val="auto"/>
        </w:rPr>
        <w:t>, No. 60-998 (25th Jud. Dist. Ct., Plaquemines Par.);</w:t>
      </w:r>
      <w:r>
        <w:rPr>
          <w:rFonts w:ascii="Times New Roman" w:cs="Times New Roman" w:eastAsia="Times New Roman" w:hAnsi="Times New Roman"/>
          <w:sz w:val="14"/>
          <w:szCs w:val="14"/>
          <w:i w:val="1"/>
          <w:iCs w:val="1"/>
          <w:color w:val="auto"/>
        </w:rPr>
        <w:t xml:space="preserve"> Plaquemines Parish v. Hilcorp Energy Company, et al.</w:t>
      </w:r>
      <w:r>
        <w:rPr>
          <w:rFonts w:ascii="Times New Roman" w:cs="Times New Roman" w:eastAsia="Times New Roman" w:hAnsi="Times New Roman"/>
          <w:sz w:val="14"/>
          <w:szCs w:val="14"/>
          <w:color w:val="auto"/>
        </w:rPr>
        <w:t>, No. 60-999</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(25th Jud. Dist. Ct., Plaquemines Par.); </w:t>
      </w:r>
      <w:r>
        <w:rPr>
          <w:rFonts w:ascii="Times New Roman" w:cs="Times New Roman" w:eastAsia="Times New Roman" w:hAnsi="Times New Roman"/>
          <w:sz w:val="14"/>
          <w:szCs w:val="14"/>
          <w:i w:val="1"/>
          <w:iCs w:val="1"/>
          <w:color w:val="auto"/>
        </w:rPr>
        <w:t>Plaquemines Parish v. Apache Oil Corporation, et al.</w:t>
      </w:r>
      <w:r>
        <w:rPr>
          <w:rFonts w:ascii="Times New Roman" w:cs="Times New Roman" w:eastAsia="Times New Roman" w:hAnsi="Times New Roman"/>
          <w:sz w:val="14"/>
          <w:szCs w:val="14"/>
          <w:color w:val="auto"/>
        </w:rPr>
        <w:t xml:space="preserve">, No. 61-000 (25th Jud. Dist. Ct., Plaquemines Par.); </w:t>
      </w:r>
      <w:r>
        <w:rPr>
          <w:rFonts w:ascii="Times New Roman" w:cs="Times New Roman" w:eastAsia="Times New Roman" w:hAnsi="Times New Roman"/>
          <w:sz w:val="14"/>
          <w:szCs w:val="14"/>
          <w:i w:val="1"/>
          <w:iCs w:val="1"/>
          <w:color w:val="auto"/>
        </w:rPr>
        <w:t>Plaquemines Parish v. Campbell Energy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Corporation, et al.</w:t>
      </w:r>
      <w:r>
        <w:rPr>
          <w:rFonts w:ascii="Times New Roman" w:cs="Times New Roman" w:eastAsia="Times New Roman" w:hAnsi="Times New Roman"/>
          <w:sz w:val="14"/>
          <w:szCs w:val="14"/>
          <w:color w:val="auto"/>
        </w:rPr>
        <w:t>, No. 61-001 (25th Jud. Dist. Ct., Plaquemines Par.);</w:t>
      </w:r>
      <w:r>
        <w:rPr>
          <w:rFonts w:ascii="Times New Roman" w:cs="Times New Roman" w:eastAsia="Times New Roman" w:hAnsi="Times New Roman"/>
          <w:sz w:val="14"/>
          <w:szCs w:val="14"/>
          <w:i w:val="1"/>
          <w:iCs w:val="1"/>
          <w:color w:val="auto"/>
        </w:rPr>
        <w:t xml:space="preserve"> Plaquemines Parish v. TotalPetrochemicals &amp; Refining USA, Inc.</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et al.</w:t>
      </w:r>
      <w:r>
        <w:rPr>
          <w:rFonts w:ascii="Times New Roman" w:cs="Times New Roman" w:eastAsia="Times New Roman" w:hAnsi="Times New Roman"/>
          <w:sz w:val="14"/>
          <w:szCs w:val="14"/>
          <w:color w:val="auto"/>
        </w:rPr>
        <w:t>, No. 61-002 (25th Jud. Dist. Ct., Plaquemines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Par.); </w:t>
      </w:r>
      <w:r>
        <w:rPr>
          <w:rFonts w:ascii="Times New Roman" w:cs="Times New Roman" w:eastAsia="Times New Roman" w:hAnsi="Times New Roman"/>
          <w:sz w:val="14"/>
          <w:szCs w:val="14"/>
          <w:i w:val="1"/>
          <w:iCs w:val="1"/>
          <w:color w:val="auto"/>
        </w:rPr>
        <w:t>Cameron Parish v. Alpine Exploration Companies, Inc., et al.</w:t>
      </w:r>
      <w:r>
        <w:rPr>
          <w:rFonts w:ascii="Times New Roman" w:cs="Times New Roman" w:eastAsia="Times New Roman" w:hAnsi="Times New Roman"/>
          <w:sz w:val="14"/>
          <w:szCs w:val="14"/>
          <w:color w:val="auto"/>
        </w:rPr>
        <w:t xml:space="preserve">, No. 10-19580 (38th Jud. Dist. Ct., Cameron Par.); </w:t>
      </w:r>
      <w:r>
        <w:rPr>
          <w:rFonts w:ascii="Times New Roman" w:cs="Times New Roman" w:eastAsia="Times New Roman" w:hAnsi="Times New Roman"/>
          <w:sz w:val="14"/>
          <w:szCs w:val="14"/>
          <w:i w:val="1"/>
          <w:iCs w:val="1"/>
          <w:color w:val="auto"/>
        </w:rPr>
        <w:t>Cameron Parish v. Apache Corporation (of Delaware), et al.</w:t>
      </w:r>
      <w:r>
        <w:rPr>
          <w:rFonts w:ascii="Times New Roman" w:cs="Times New Roman" w:eastAsia="Times New Roman" w:hAnsi="Times New Roman"/>
          <w:sz w:val="14"/>
          <w:szCs w:val="14"/>
          <w:color w:val="auto"/>
        </w:rPr>
        <w:t xml:space="preserve">, No. 10-19579 (38th Jud. Dist. Ct., Cameron Par.); </w:t>
      </w:r>
      <w:r>
        <w:rPr>
          <w:rFonts w:ascii="Times New Roman" w:cs="Times New Roman" w:eastAsia="Times New Roman" w:hAnsi="Times New Roman"/>
          <w:sz w:val="14"/>
          <w:szCs w:val="14"/>
          <w:i w:val="1"/>
          <w:iCs w:val="1"/>
          <w:color w:val="auto"/>
        </w:rPr>
        <w:t>Cameron Parish v</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Ballard Exploration Company, Inc., et al.</w:t>
      </w:r>
      <w:r>
        <w:rPr>
          <w:rFonts w:ascii="Times New Roman" w:cs="Times New Roman" w:eastAsia="Times New Roman" w:hAnsi="Times New Roman"/>
          <w:sz w:val="14"/>
          <w:szCs w:val="14"/>
          <w:color w:val="auto"/>
        </w:rPr>
        <w:t xml:space="preserve">, No. 10-19574 (38th Jud. Dist. Ct., Cameron Par.); </w:t>
      </w:r>
      <w:r>
        <w:rPr>
          <w:rFonts w:ascii="Times New Roman" w:cs="Times New Roman" w:eastAsia="Times New Roman" w:hAnsi="Times New Roman"/>
          <w:sz w:val="14"/>
          <w:szCs w:val="14"/>
          <w:i w:val="1"/>
          <w:iCs w:val="1"/>
          <w:color w:val="auto"/>
        </w:rPr>
        <w:t>Cameron Parish v. Bay Coquille, Inc.,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et al.</w:t>
      </w:r>
      <w:r>
        <w:rPr>
          <w:rFonts w:ascii="Times New Roman" w:cs="Times New Roman" w:eastAsia="Times New Roman" w:hAnsi="Times New Roman"/>
          <w:sz w:val="14"/>
          <w:szCs w:val="14"/>
          <w:color w:val="auto"/>
        </w:rPr>
        <w:t>, No. 10-19581 (38th Jud. Dist. Ct., Cameron Par.);</w:t>
      </w:r>
      <w:r>
        <w:rPr>
          <w:rFonts w:ascii="Times New Roman" w:cs="Times New Roman" w:eastAsia="Times New Roman" w:hAnsi="Times New Roman"/>
          <w:sz w:val="14"/>
          <w:szCs w:val="14"/>
          <w:i w:val="1"/>
          <w:iCs w:val="1"/>
          <w:color w:val="auto"/>
        </w:rPr>
        <w:t xml:space="preserve"> Cameron Parish v. BEPCO, LP, et al.</w:t>
      </w:r>
      <w:r>
        <w:rPr>
          <w:rFonts w:ascii="Times New Roman" w:cs="Times New Roman" w:eastAsia="Times New Roman" w:hAnsi="Times New Roman"/>
          <w:sz w:val="14"/>
          <w:szCs w:val="14"/>
          <w:color w:val="auto"/>
        </w:rPr>
        <w:t>, No. 10-19572 (38th Jud. Dist. Ct., Cameron Par.);</w:t>
      </w:r>
      <w:r>
        <w:rPr>
          <w:rFonts w:ascii="Times New Roman" w:cs="Times New Roman" w:eastAsia="Times New Roman" w:hAnsi="Times New Roman"/>
          <w:sz w:val="14"/>
          <w:szCs w:val="14"/>
          <w:i w:val="1"/>
          <w:iCs w:val="1"/>
          <w:color w:val="auto"/>
        </w:rPr>
        <w:t xml:space="preserve"> Cameron Parish v. BP America Production Company, et al.</w:t>
      </w:r>
      <w:r>
        <w:rPr>
          <w:rFonts w:ascii="Times New Roman" w:cs="Times New Roman" w:eastAsia="Times New Roman" w:hAnsi="Times New Roman"/>
          <w:sz w:val="14"/>
          <w:szCs w:val="14"/>
          <w:color w:val="auto"/>
        </w:rPr>
        <w:t>, No. 10-19576 (38th Jud. Dist. Ct., Cameron Par.);</w:t>
      </w:r>
      <w:r>
        <w:rPr>
          <w:rFonts w:ascii="Times New Roman" w:cs="Times New Roman" w:eastAsia="Times New Roman" w:hAnsi="Times New Roman"/>
          <w:sz w:val="14"/>
          <w:szCs w:val="14"/>
          <w:i w:val="1"/>
          <w:iCs w:val="1"/>
          <w:color w:val="auto"/>
        </w:rPr>
        <w:t xml:space="preserve"> Cameron Parish v. Brammer Engineering, Inc., et al</w:t>
      </w:r>
      <w:r>
        <w:rPr>
          <w:rFonts w:ascii="Times New Roman" w:cs="Times New Roman" w:eastAsia="Times New Roman" w:hAnsi="Times New Roman"/>
          <w:sz w:val="14"/>
          <w:szCs w:val="14"/>
          <w:color w:val="auto"/>
        </w:rPr>
        <w:t>., No. 10-19573 (38th Jud. Dist. Ct., Cameron Par.);</w:t>
      </w:r>
      <w:r>
        <w:rPr>
          <w:rFonts w:ascii="Times New Roman" w:cs="Times New Roman" w:eastAsia="Times New Roman" w:hAnsi="Times New Roman"/>
          <w:sz w:val="14"/>
          <w:szCs w:val="14"/>
          <w:i w:val="1"/>
          <w:iCs w:val="1"/>
          <w:color w:val="auto"/>
        </w:rPr>
        <w:t xml:space="preserve"> Cameron Parish v</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Burlington Resources, et al.</w:t>
      </w:r>
      <w:r>
        <w:rPr>
          <w:rFonts w:ascii="Times New Roman" w:cs="Times New Roman" w:eastAsia="Times New Roman" w:hAnsi="Times New Roman"/>
          <w:sz w:val="14"/>
          <w:szCs w:val="14"/>
          <w:color w:val="auto"/>
        </w:rPr>
        <w:t>, No. 10-19575 (38th Jud. Dist. Ct., Cameron Par.);</w:t>
      </w:r>
      <w:r>
        <w:rPr>
          <w:rFonts w:ascii="Times New Roman" w:cs="Times New Roman" w:eastAsia="Times New Roman" w:hAnsi="Times New Roman"/>
          <w:sz w:val="14"/>
          <w:szCs w:val="14"/>
          <w:i w:val="1"/>
          <w:iCs w:val="1"/>
          <w:color w:val="auto"/>
        </w:rPr>
        <w:t xml:space="preserve"> Stutes v. Gulfport Energy Corporation, et al.</w:t>
      </w:r>
      <w:r>
        <w:rPr>
          <w:rFonts w:ascii="Times New Roman" w:cs="Times New Roman" w:eastAsia="Times New Roman" w:hAnsi="Times New Roman"/>
          <w:sz w:val="14"/>
          <w:szCs w:val="14"/>
          <w:color w:val="auto"/>
        </w:rPr>
        <w:t>, No. 102,146 (15th Jud. Dist. Ct., Vermilion Par.);</w:t>
      </w:r>
      <w:r>
        <w:rPr>
          <w:rFonts w:ascii="Times New Roman" w:cs="Times New Roman" w:eastAsia="Times New Roman" w:hAnsi="Times New Roman"/>
          <w:sz w:val="14"/>
          <w:szCs w:val="14"/>
          <w:i w:val="1"/>
          <w:iCs w:val="1"/>
          <w:color w:val="auto"/>
        </w:rPr>
        <w:t xml:space="preserve"> St. Bernard Parish v. Atlantic Richfield, et al.</w:t>
      </w:r>
      <w:r>
        <w:rPr>
          <w:rFonts w:ascii="Times New Roman" w:cs="Times New Roman" w:eastAsia="Times New Roman" w:hAnsi="Times New Roman"/>
          <w:sz w:val="14"/>
          <w:szCs w:val="14"/>
          <w:color w:val="auto"/>
        </w:rPr>
        <w:t>, No. 16-1228 (34th Jud. Dist. Ct. St., Bernard Par.);</w:t>
      </w:r>
      <w:r>
        <w:rPr>
          <w:rFonts w:ascii="Times New Roman" w:cs="Times New Roman" w:eastAsia="Times New Roman" w:hAnsi="Times New Roman"/>
          <w:sz w:val="14"/>
          <w:szCs w:val="14"/>
          <w:i w:val="1"/>
          <w:iCs w:val="1"/>
          <w:color w:val="auto"/>
        </w:rPr>
        <w:t xml:space="preserve"> City of New Orleans v. Apache Louisiana Mins, LLC, et al.</w:t>
      </w:r>
      <w:r>
        <w:rPr>
          <w:rFonts w:ascii="Times New Roman" w:cs="Times New Roman" w:eastAsia="Times New Roman" w:hAnsi="Times New Roman"/>
          <w:sz w:val="14"/>
          <w:szCs w:val="14"/>
          <w:color w:val="auto"/>
        </w:rPr>
        <w:t>, No. 19-cv-08290, (E.D. La.).</w:t>
      </w:r>
    </w:p>
    <w:p>
      <w:pPr>
        <w:spacing w:after="0" w:line="348" w:lineRule="exact"/>
        <w:rPr>
          <w:sz w:val="20"/>
          <w:szCs w:val="20"/>
          <w:color w:val="auto"/>
        </w:rPr>
      </w:pPr>
    </w:p>
    <w:p>
      <w:pPr>
        <w:jc w:val="center"/>
        <w:ind w:right="-82"/>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230505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3"/>
          </w:cols>
          <w:pgMar w:left="237" w:top="184" w:right="339" w:bottom="1440" w:gutter="0" w:footer="0" w:header="0"/>
        </w:sectPr>
      </w:pPr>
    </w:p>
    <w:bookmarkStart w:id="87" w:name="page88"/>
    <w:bookmarkEnd w:id="87"/>
    <w:tbl>
      <w:tblPr>
        <w:tblLayout w:type="fixed"/>
        <w:tblInd w:w="20" w:type="dxa"/>
        <w:tblCellMar>
          <w:top w:w="0" w:type="dxa"/>
          <w:left w:w="0" w:type="dxa"/>
          <w:bottom w:w="0" w:type="dxa"/>
          <w:right w:w="0" w:type="dxa"/>
        </w:tblCellMar>
      </w:tblPr>
      <w:tr>
        <w:trPr>
          <w:trHeight w:val="204"/>
        </w:trPr>
        <w:tc>
          <w:tcPr>
            <w:tcW w:w="6260" w:type="dxa"/>
            <w:vAlign w:val="bottom"/>
          </w:tcPr>
          <w:p>
            <w:pPr>
              <w:spacing w:after="0"/>
              <w:rPr>
                <w:sz w:val="20"/>
                <w:szCs w:val="20"/>
                <w:color w:val="auto"/>
              </w:rPr>
            </w:pPr>
            <w:r>
              <w:rPr>
                <w:rFonts w:ascii="Arial" w:cs="Arial" w:eastAsia="Arial" w:hAnsi="Arial"/>
                <w:sz w:val="14"/>
                <w:szCs w:val="14"/>
                <w:color w:val="0077C0"/>
              </w:rPr>
              <w:t>Notes to the Consolidated Financial Statements</w:t>
            </w:r>
          </w:p>
        </w:tc>
        <w:tc>
          <w:tcPr>
            <w:tcW w:w="4940" w:type="dxa"/>
            <w:vAlign w:val="bottom"/>
          </w:tcPr>
          <w:p>
            <w:pPr>
              <w:ind w:left="3200"/>
              <w:spacing w:after="0"/>
              <w:rPr>
                <w:sz w:val="20"/>
                <w:szCs w:val="20"/>
                <w:color w:val="auto"/>
              </w:rPr>
            </w:pPr>
            <w:r>
              <w:rPr>
                <w:rFonts w:ascii="Arial" w:cs="Arial" w:eastAsia="Arial" w:hAnsi="Arial"/>
                <w:sz w:val="14"/>
                <w:szCs w:val="14"/>
                <w:color w:val="0077C0"/>
              </w:rPr>
              <w:t>Financial Table of Contents</w:t>
            </w:r>
          </w:p>
        </w:tc>
      </w:tr>
      <w:tr>
        <w:trPr>
          <w:trHeight w:val="150"/>
        </w:trPr>
        <w:tc>
          <w:tcPr>
            <w:tcW w:w="6260" w:type="dxa"/>
            <w:vAlign w:val="bottom"/>
          </w:tcPr>
          <w:p>
            <w:pPr>
              <w:ind w:left="40"/>
              <w:spacing w:after="0"/>
              <w:rPr>
                <w:sz w:val="20"/>
                <w:szCs w:val="20"/>
                <w:color w:val="auto"/>
              </w:rPr>
            </w:pPr>
            <w:r>
              <w:rPr>
                <w:rFonts w:ascii="Arial" w:cs="Arial" w:eastAsia="Arial" w:hAnsi="Arial"/>
                <w:sz w:val="11"/>
                <w:szCs w:val="11"/>
                <w:color w:val="0077C0"/>
              </w:rPr>
              <w:t>Millions of dollars, except per-share amounts</w:t>
            </w:r>
          </w:p>
        </w:tc>
        <w:tc>
          <w:tcPr>
            <w:tcW w:w="494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540" w:type="dxa"/>
            <w:vAlign w:val="bottom"/>
          </w:tcPr>
          <w:p>
            <w:pPr>
              <w:spacing w:after="0"/>
              <w:rPr>
                <w:sz w:val="20"/>
                <w:szCs w:val="20"/>
                <w:color w:val="auto"/>
              </w:rPr>
            </w:pPr>
            <w:r>
              <w:rPr>
                <w:rFonts w:ascii="Arial" w:cs="Arial" w:eastAsia="Arial" w:hAnsi="Arial"/>
                <w:sz w:val="22"/>
                <w:szCs w:val="22"/>
                <w:b w:val="1"/>
                <w:bCs w:val="1"/>
                <w:color w:val="0077C0"/>
              </w:rPr>
              <w:t>Note 17</w:t>
            </w:r>
          </w:p>
        </w:tc>
        <w:tc>
          <w:tcPr>
            <w:tcW w:w="5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6540" w:type="dxa"/>
            <w:vAlign w:val="bottom"/>
          </w:tcPr>
          <w:p>
            <w:pPr>
              <w:spacing w:after="0"/>
              <w:rPr>
                <w:sz w:val="20"/>
                <w:szCs w:val="20"/>
                <w:color w:val="auto"/>
              </w:rPr>
            </w:pPr>
            <w:r>
              <w:rPr>
                <w:rFonts w:ascii="Arial" w:cs="Arial" w:eastAsia="Arial" w:hAnsi="Arial"/>
                <w:sz w:val="17"/>
                <w:szCs w:val="17"/>
                <w:color w:val="0077C0"/>
              </w:rPr>
              <w:t>Taxes</w:t>
            </w: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6540" w:type="dxa"/>
            <w:vAlign w:val="bottom"/>
          </w:tcPr>
          <w:p>
            <w:pPr>
              <w:ind w:left="20"/>
              <w:spacing w:after="0"/>
              <w:rPr>
                <w:sz w:val="20"/>
                <w:szCs w:val="20"/>
                <w:color w:val="auto"/>
              </w:rPr>
            </w:pPr>
            <w:r>
              <w:rPr>
                <w:rFonts w:ascii="Times New Roman" w:cs="Times New Roman" w:eastAsia="Times New Roman" w:hAnsi="Times New Roman"/>
                <w:sz w:val="17"/>
                <w:szCs w:val="17"/>
                <w:b w:val="1"/>
                <w:bCs w:val="1"/>
                <w:i w:val="1"/>
                <w:iCs w:val="1"/>
                <w:color w:val="FF0000"/>
              </w:rPr>
              <w:t>Income Taxes</w:t>
            </w: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Year ended December 31</w:t>
            </w:r>
          </w:p>
        </w:tc>
        <w:tc>
          <w:tcPr>
            <w:tcW w:w="0" w:type="dxa"/>
            <w:vAlign w:val="bottom"/>
          </w:tcPr>
          <w:p>
            <w:pPr>
              <w:spacing w:after="0"/>
              <w:rPr>
                <w:sz w:val="1"/>
                <w:szCs w:val="1"/>
                <w:color w:val="auto"/>
              </w:rPr>
            </w:pPr>
          </w:p>
        </w:tc>
      </w:tr>
      <w:tr>
        <w:trPr>
          <w:trHeight w:val="88"/>
        </w:trPr>
        <w:tc>
          <w:tcPr>
            <w:tcW w:w="6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6540" w:type="dxa"/>
            <w:vAlign w:val="bottom"/>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40" w:type="dxa"/>
            <w:vAlign w:val="bottom"/>
            <w:tcBorders>
              <w:bottom w:val="single" w:sz="8" w:color="0077C0"/>
            </w:tcBorders>
          </w:tcPr>
          <w:p>
            <w:pPr>
              <w:spacing w:after="0"/>
              <w:rPr>
                <w:sz w:val="16"/>
                <w:szCs w:val="16"/>
                <w:color w:val="auto"/>
              </w:rPr>
            </w:pPr>
          </w:p>
        </w:tc>
        <w:tc>
          <w:tcPr>
            <w:tcW w:w="580" w:type="dxa"/>
            <w:vAlign w:val="bottom"/>
            <w:tcBorders>
              <w:bottom w:val="single" w:sz="8" w:color="0077C0"/>
            </w:tcBorders>
          </w:tcPr>
          <w:p>
            <w:pPr>
              <w:spacing w:after="0"/>
              <w:rPr>
                <w:sz w:val="16"/>
                <w:szCs w:val="16"/>
                <w:color w:val="auto"/>
              </w:rPr>
            </w:pPr>
          </w:p>
        </w:tc>
        <w:tc>
          <w:tcPr>
            <w:tcW w:w="1000" w:type="dxa"/>
            <w:vAlign w:val="bottom"/>
            <w:tcBorders>
              <w:bottom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0077C0"/>
            </w:tcBorders>
          </w:tcPr>
          <w:p>
            <w:pPr>
              <w:spacing w:after="0"/>
              <w:rPr>
                <w:sz w:val="16"/>
                <w:szCs w:val="16"/>
                <w:color w:val="auto"/>
              </w:rPr>
            </w:pPr>
          </w:p>
        </w:tc>
        <w:tc>
          <w:tcPr>
            <w:tcW w:w="92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2023</w:t>
            </w:r>
          </w:p>
        </w:tc>
        <w:tc>
          <w:tcPr>
            <w:tcW w:w="620" w:type="dxa"/>
            <w:vAlign w:val="bottom"/>
            <w:tcBorders>
              <w:bottom w:val="single" w:sz="8" w:color="0077C0"/>
            </w:tcBorders>
          </w:tcPr>
          <w:p>
            <w:pPr>
              <w:spacing w:after="0"/>
              <w:rPr>
                <w:sz w:val="16"/>
                <w:szCs w:val="16"/>
                <w:color w:val="auto"/>
              </w:rPr>
            </w:pPr>
          </w:p>
        </w:tc>
        <w:tc>
          <w:tcPr>
            <w:tcW w:w="9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188"/>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580" w:type="dxa"/>
            <w:vAlign w:val="bottom"/>
          </w:tcPr>
          <w:p>
            <w:pPr>
              <w:spacing w:after="0"/>
              <w:rPr>
                <w:sz w:val="16"/>
                <w:szCs w:val="16"/>
                <w:color w:val="auto"/>
              </w:rPr>
            </w:pPr>
          </w:p>
        </w:tc>
        <w:tc>
          <w:tcPr>
            <w:tcW w:w="1000" w:type="dxa"/>
            <w:vAlign w:val="bottom"/>
            <w:tcBorders>
              <w:right w:val="single" w:sz="8" w:color="0077C0"/>
            </w:tcBorders>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federal</w:t>
            </w:r>
          </w:p>
        </w:tc>
        <w:tc>
          <w:tcPr>
            <w:tcW w:w="580" w:type="dxa"/>
            <w:vAlign w:val="bottom"/>
          </w:tcPr>
          <w:p>
            <w:pPr>
              <w:spacing w:after="0"/>
              <w:rPr>
                <w:sz w:val="16"/>
                <w:szCs w:val="16"/>
                <w:color w:val="auto"/>
              </w:rPr>
            </w:pPr>
          </w:p>
        </w:tc>
        <w:tc>
          <w:tcPr>
            <w:tcW w:w="1000" w:type="dxa"/>
            <w:vAlign w:val="bottom"/>
            <w:tcBorders>
              <w:right w:val="single" w:sz="8" w:color="0077C0"/>
            </w:tcBorders>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w:t>
            </w:r>
          </w:p>
        </w:tc>
        <w:tc>
          <w:tcPr>
            <w:tcW w:w="58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854</w:t>
            </w:r>
          </w:p>
        </w:tc>
        <w:tc>
          <w:tcPr>
            <w:tcW w:w="66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895</w:t>
            </w:r>
          </w:p>
        </w:tc>
        <w:tc>
          <w:tcPr>
            <w:tcW w:w="6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1,723</w:t>
            </w:r>
          </w:p>
        </w:tc>
        <w:tc>
          <w:tcPr>
            <w:tcW w:w="0" w:type="dxa"/>
            <w:vAlign w:val="bottom"/>
          </w:tcPr>
          <w:p>
            <w:pPr>
              <w:spacing w:after="0"/>
              <w:rPr>
                <w:sz w:val="1"/>
                <w:szCs w:val="1"/>
                <w:color w:val="auto"/>
              </w:rPr>
            </w:pPr>
          </w:p>
        </w:tc>
      </w:tr>
      <w:tr>
        <w:trPr>
          <w:trHeight w:val="202"/>
        </w:trPr>
        <w:tc>
          <w:tcPr>
            <w:tcW w:w="6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w:t>
            </w:r>
          </w:p>
        </w:tc>
        <w:tc>
          <w:tcPr>
            <w:tcW w:w="580" w:type="dxa"/>
            <w:vAlign w:val="bottom"/>
          </w:tcPr>
          <w:p>
            <w:pPr>
              <w:spacing w:after="0"/>
              <w:rPr>
                <w:sz w:val="17"/>
                <w:szCs w:val="17"/>
                <w:color w:val="auto"/>
              </w:rPr>
            </w:pPr>
          </w:p>
        </w:tc>
        <w:tc>
          <w:tcPr>
            <w:tcW w:w="100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748</w:t>
            </w:r>
          </w:p>
        </w:tc>
        <w:tc>
          <w:tcPr>
            <w:tcW w:w="660" w:type="dxa"/>
            <w:vAlign w:val="bottom"/>
          </w:tcPr>
          <w:p>
            <w:pPr>
              <w:spacing w:after="0"/>
              <w:rPr>
                <w:sz w:val="17"/>
                <w:szCs w:val="17"/>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666</w:t>
            </w:r>
          </w:p>
        </w:tc>
        <w:tc>
          <w:tcPr>
            <w:tcW w:w="6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2,240</w:t>
            </w:r>
          </w:p>
        </w:tc>
        <w:tc>
          <w:tcPr>
            <w:tcW w:w="0" w:type="dxa"/>
            <w:vAlign w:val="bottom"/>
          </w:tcPr>
          <w:p>
            <w:pPr>
              <w:spacing w:after="0"/>
              <w:rPr>
                <w:sz w:val="1"/>
                <w:szCs w:val="1"/>
                <w:color w:val="auto"/>
              </w:rPr>
            </w:pPr>
          </w:p>
        </w:tc>
      </w:tr>
      <w:tr>
        <w:trPr>
          <w:trHeight w:val="203"/>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 and local</w:t>
            </w:r>
          </w:p>
        </w:tc>
        <w:tc>
          <w:tcPr>
            <w:tcW w:w="580" w:type="dxa"/>
            <w:vAlign w:val="bottom"/>
          </w:tcPr>
          <w:p>
            <w:pPr>
              <w:spacing w:after="0"/>
              <w:rPr>
                <w:sz w:val="17"/>
                <w:szCs w:val="17"/>
                <w:color w:val="auto"/>
              </w:rPr>
            </w:pPr>
          </w:p>
        </w:tc>
        <w:tc>
          <w:tcPr>
            <w:tcW w:w="1000" w:type="dxa"/>
            <w:vAlign w:val="bottom"/>
            <w:tcBorders>
              <w:right w:val="single" w:sz="8" w:color="0077C0"/>
            </w:tcBorders>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w:t>
            </w:r>
          </w:p>
        </w:tc>
        <w:tc>
          <w:tcPr>
            <w:tcW w:w="580" w:type="dxa"/>
            <w:vAlign w:val="bottom"/>
          </w:tcPr>
          <w:p>
            <w:pPr>
              <w:spacing w:after="0"/>
              <w:rPr>
                <w:sz w:val="17"/>
                <w:szCs w:val="17"/>
                <w:color w:val="auto"/>
              </w:rPr>
            </w:pPr>
          </w:p>
        </w:tc>
        <w:tc>
          <w:tcPr>
            <w:tcW w:w="100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275</w:t>
            </w:r>
          </w:p>
        </w:tc>
        <w:tc>
          <w:tcPr>
            <w:tcW w:w="660" w:type="dxa"/>
            <w:vAlign w:val="bottom"/>
          </w:tcPr>
          <w:p>
            <w:pPr>
              <w:spacing w:after="0"/>
              <w:rPr>
                <w:sz w:val="17"/>
                <w:szCs w:val="17"/>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211</w:t>
            </w:r>
          </w:p>
        </w:tc>
        <w:tc>
          <w:tcPr>
            <w:tcW w:w="6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0" w:type="dxa"/>
            <w:vAlign w:val="bottom"/>
          </w:tcPr>
          <w:p>
            <w:pPr>
              <w:spacing w:after="0"/>
              <w:rPr>
                <w:sz w:val="1"/>
                <w:szCs w:val="1"/>
                <w:color w:val="auto"/>
              </w:rPr>
            </w:pP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w:t>
            </w:r>
          </w:p>
        </w:tc>
        <w:tc>
          <w:tcPr>
            <w:tcW w:w="580" w:type="dxa"/>
            <w:vAlign w:val="bottom"/>
          </w:tcPr>
          <w:p>
            <w:pPr>
              <w:spacing w:after="0"/>
              <w:rPr>
                <w:sz w:val="17"/>
                <w:szCs w:val="17"/>
                <w:color w:val="auto"/>
              </w:rPr>
            </w:pPr>
          </w:p>
        </w:tc>
        <w:tc>
          <w:tcPr>
            <w:tcW w:w="100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10</w:t>
            </w:r>
          </w:p>
        </w:tc>
        <w:tc>
          <w:tcPr>
            <w:tcW w:w="660" w:type="dxa"/>
            <w:vAlign w:val="bottom"/>
          </w:tcPr>
          <w:p>
            <w:pPr>
              <w:spacing w:after="0"/>
              <w:rPr>
                <w:sz w:val="17"/>
                <w:szCs w:val="17"/>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6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3"/>
        </w:trPr>
        <w:tc>
          <w:tcPr>
            <w:tcW w:w="654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1000" w:type="dxa"/>
            <w:vAlign w:val="bottom"/>
            <w:tcBorders>
              <w:bottom w:val="single" w:sz="8" w:color="0077C0"/>
              <w:right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4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United States</w:t>
            </w:r>
          </w:p>
        </w:tc>
        <w:tc>
          <w:tcPr>
            <w:tcW w:w="580" w:type="dxa"/>
            <w:vAlign w:val="bottom"/>
            <w:tcBorders>
              <w:bottom w:val="single" w:sz="8" w:color="0077C0"/>
            </w:tcBorders>
          </w:tcPr>
          <w:p>
            <w:pPr>
              <w:spacing w:after="0"/>
              <w:rPr>
                <w:sz w:val="16"/>
                <w:szCs w:val="16"/>
                <w:color w:val="auto"/>
              </w:rPr>
            </w:pPr>
          </w:p>
        </w:tc>
        <w:tc>
          <w:tcPr>
            <w:tcW w:w="1000" w:type="dxa"/>
            <w:vAlign w:val="bottom"/>
            <w:tcBorders>
              <w:bottom w:val="single" w:sz="8" w:color="0077C0"/>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1,887</w:t>
            </w:r>
          </w:p>
        </w:tc>
        <w:tc>
          <w:tcPr>
            <w:tcW w:w="660" w:type="dxa"/>
            <w:vAlign w:val="bottom"/>
            <w:tcBorders>
              <w:bottom w:val="single" w:sz="8" w:color="0077C0"/>
            </w:tcBorders>
          </w:tcPr>
          <w:p>
            <w:pPr>
              <w:spacing w:after="0"/>
              <w:rPr>
                <w:sz w:val="16"/>
                <w:szCs w:val="16"/>
                <w:color w:val="auto"/>
              </w:rPr>
            </w:pPr>
          </w:p>
        </w:tc>
        <w:tc>
          <w:tcPr>
            <w:tcW w:w="920" w:type="dxa"/>
            <w:vAlign w:val="bottom"/>
            <w:tcBorders>
              <w:bottom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color w:val="auto"/>
              </w:rPr>
              <w:t>1,773</w:t>
            </w:r>
          </w:p>
        </w:tc>
        <w:tc>
          <w:tcPr>
            <w:tcW w:w="620" w:type="dxa"/>
            <w:vAlign w:val="bottom"/>
            <w:tcBorders>
              <w:bottom w:val="single" w:sz="8" w:color="0077C0"/>
            </w:tcBorders>
          </w:tcPr>
          <w:p>
            <w:pPr>
              <w:spacing w:after="0"/>
              <w:rPr>
                <w:sz w:val="16"/>
                <w:szCs w:val="16"/>
                <w:color w:val="auto"/>
              </w:rPr>
            </w:pPr>
          </w:p>
        </w:tc>
        <w:tc>
          <w:tcPr>
            <w:tcW w:w="9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4,484</w:t>
            </w:r>
          </w:p>
        </w:tc>
        <w:tc>
          <w:tcPr>
            <w:tcW w:w="0" w:type="dxa"/>
            <w:vAlign w:val="bottom"/>
          </w:tcPr>
          <w:p>
            <w:pPr>
              <w:spacing w:after="0"/>
              <w:rPr>
                <w:sz w:val="1"/>
                <w:szCs w:val="1"/>
                <w:color w:val="auto"/>
              </w:rPr>
            </w:pPr>
          </w:p>
        </w:tc>
      </w:tr>
      <w:tr>
        <w:trPr>
          <w:trHeight w:val="188"/>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International</w:t>
            </w:r>
          </w:p>
        </w:tc>
        <w:tc>
          <w:tcPr>
            <w:tcW w:w="580" w:type="dxa"/>
            <w:vAlign w:val="bottom"/>
          </w:tcPr>
          <w:p>
            <w:pPr>
              <w:spacing w:after="0"/>
              <w:rPr>
                <w:sz w:val="16"/>
                <w:szCs w:val="16"/>
                <w:color w:val="auto"/>
              </w:rPr>
            </w:pPr>
          </w:p>
        </w:tc>
        <w:tc>
          <w:tcPr>
            <w:tcW w:w="1000" w:type="dxa"/>
            <w:vAlign w:val="bottom"/>
            <w:tcBorders>
              <w:right w:val="single" w:sz="8" w:color="0077C0"/>
            </w:tcBorders>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w:t>
            </w:r>
          </w:p>
        </w:tc>
        <w:tc>
          <w:tcPr>
            <w:tcW w:w="580" w:type="dxa"/>
            <w:vAlign w:val="bottom"/>
          </w:tcPr>
          <w:p>
            <w:pPr>
              <w:spacing w:after="0"/>
              <w:rPr>
                <w:sz w:val="16"/>
                <w:szCs w:val="16"/>
                <w:color w:val="auto"/>
              </w:rPr>
            </w:pPr>
          </w:p>
        </w:tc>
        <w:tc>
          <w:tcPr>
            <w:tcW w:w="100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7,388</w:t>
            </w:r>
          </w:p>
        </w:tc>
        <w:tc>
          <w:tcPr>
            <w:tcW w:w="66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6,745</w:t>
            </w:r>
          </w:p>
        </w:tc>
        <w:tc>
          <w:tcPr>
            <w:tcW w:w="6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9,738</w:t>
            </w:r>
          </w:p>
        </w:tc>
        <w:tc>
          <w:tcPr>
            <w:tcW w:w="0" w:type="dxa"/>
            <w:vAlign w:val="bottom"/>
          </w:tcPr>
          <w:p>
            <w:pPr>
              <w:spacing w:after="0"/>
              <w:rPr>
                <w:sz w:val="1"/>
                <w:szCs w:val="1"/>
                <w:color w:val="auto"/>
              </w:rPr>
            </w:pP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w:t>
            </w:r>
          </w:p>
        </w:tc>
        <w:tc>
          <w:tcPr>
            <w:tcW w:w="580" w:type="dxa"/>
            <w:vAlign w:val="bottom"/>
          </w:tcPr>
          <w:p>
            <w:pPr>
              <w:spacing w:after="0"/>
              <w:rPr>
                <w:sz w:val="17"/>
                <w:szCs w:val="17"/>
                <w:color w:val="auto"/>
              </w:rPr>
            </w:pPr>
          </w:p>
        </w:tc>
        <w:tc>
          <w:tcPr>
            <w:tcW w:w="100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482</w:t>
            </w:r>
          </w:p>
        </w:tc>
        <w:tc>
          <w:tcPr>
            <w:tcW w:w="6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(345)</w:t>
            </w:r>
          </w:p>
        </w:tc>
        <w:tc>
          <w:tcPr>
            <w:tcW w:w="6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23"/>
        </w:trPr>
        <w:tc>
          <w:tcPr>
            <w:tcW w:w="654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1000" w:type="dxa"/>
            <w:vAlign w:val="bottom"/>
            <w:tcBorders>
              <w:bottom w:val="single" w:sz="8" w:color="0077C0"/>
              <w:right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4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International</w:t>
            </w:r>
          </w:p>
        </w:tc>
        <w:tc>
          <w:tcPr>
            <w:tcW w:w="580" w:type="dxa"/>
            <w:vAlign w:val="bottom"/>
            <w:tcBorders>
              <w:bottom w:val="single" w:sz="8" w:color="0077C0"/>
            </w:tcBorders>
          </w:tcPr>
          <w:p>
            <w:pPr>
              <w:spacing w:after="0"/>
              <w:rPr>
                <w:sz w:val="16"/>
                <w:szCs w:val="16"/>
                <w:color w:val="auto"/>
              </w:rPr>
            </w:pPr>
          </w:p>
        </w:tc>
        <w:tc>
          <w:tcPr>
            <w:tcW w:w="1000" w:type="dxa"/>
            <w:vAlign w:val="bottom"/>
            <w:tcBorders>
              <w:bottom w:val="single" w:sz="8" w:color="0077C0"/>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7,870</w:t>
            </w:r>
          </w:p>
        </w:tc>
        <w:tc>
          <w:tcPr>
            <w:tcW w:w="660" w:type="dxa"/>
            <w:vAlign w:val="bottom"/>
            <w:tcBorders>
              <w:bottom w:val="single" w:sz="8" w:color="0077C0"/>
            </w:tcBorders>
          </w:tcPr>
          <w:p>
            <w:pPr>
              <w:spacing w:after="0"/>
              <w:rPr>
                <w:sz w:val="16"/>
                <w:szCs w:val="16"/>
                <w:color w:val="auto"/>
              </w:rPr>
            </w:pPr>
          </w:p>
        </w:tc>
        <w:tc>
          <w:tcPr>
            <w:tcW w:w="920" w:type="dxa"/>
            <w:vAlign w:val="bottom"/>
            <w:tcBorders>
              <w:bottom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color w:val="auto"/>
              </w:rPr>
              <w:t>6,400</w:t>
            </w:r>
          </w:p>
        </w:tc>
        <w:tc>
          <w:tcPr>
            <w:tcW w:w="620" w:type="dxa"/>
            <w:vAlign w:val="bottom"/>
            <w:tcBorders>
              <w:bottom w:val="single" w:sz="8" w:color="0077C0"/>
            </w:tcBorders>
          </w:tcPr>
          <w:p>
            <w:pPr>
              <w:spacing w:after="0"/>
              <w:rPr>
                <w:sz w:val="16"/>
                <w:szCs w:val="16"/>
                <w:color w:val="auto"/>
              </w:rPr>
            </w:pPr>
          </w:p>
        </w:tc>
        <w:tc>
          <w:tcPr>
            <w:tcW w:w="9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9,582</w:t>
            </w:r>
          </w:p>
        </w:tc>
        <w:tc>
          <w:tcPr>
            <w:tcW w:w="0" w:type="dxa"/>
            <w:vAlign w:val="bottom"/>
          </w:tcPr>
          <w:p>
            <w:pPr>
              <w:spacing w:after="0"/>
              <w:rPr>
                <w:sz w:val="1"/>
                <w:szCs w:val="1"/>
                <w:color w:val="auto"/>
              </w:rPr>
            </w:pPr>
          </w:p>
        </w:tc>
      </w:tr>
      <w:tr>
        <w:trPr>
          <w:trHeight w:val="196"/>
        </w:trPr>
        <w:tc>
          <w:tcPr>
            <w:tcW w:w="654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income tax expense (benefit)</w:t>
            </w:r>
          </w:p>
        </w:tc>
        <w:tc>
          <w:tcPr>
            <w:tcW w:w="580" w:type="dxa"/>
            <w:vAlign w:val="bottom"/>
            <w:tcBorders>
              <w:bottom w:val="single" w:sz="8" w:color="0077C0"/>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0077C0"/>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9,757</w:t>
            </w:r>
          </w:p>
        </w:tc>
        <w:tc>
          <w:tcPr>
            <w:tcW w:w="660" w:type="dxa"/>
            <w:vAlign w:val="bottom"/>
            <w:tcBorders>
              <w:bottom w:val="single" w:sz="8" w:color="0077C0"/>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color w:val="auto"/>
              </w:rPr>
              <w:t>8,173</w:t>
            </w:r>
          </w:p>
        </w:tc>
        <w:tc>
          <w:tcPr>
            <w:tcW w:w="620" w:type="dxa"/>
            <w:vAlign w:val="bottom"/>
            <w:tcBorders>
              <w:bottom w:val="single" w:sz="8" w:color="0077C0"/>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14,066</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between the U.S. statutory federal income tax rate and the company’s effective income tax rate is detailed in the following table: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Year ended December 31</w:t>
            </w:r>
          </w:p>
        </w:tc>
      </w:tr>
      <w:tr>
        <w:trPr>
          <w:trHeight w:val="23"/>
        </w:trPr>
        <w:tc>
          <w:tcPr>
            <w:tcW w:w="6320" w:type="dxa"/>
            <w:vAlign w:val="bottom"/>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114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106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1020" w:type="dxa"/>
            <w:vAlign w:val="bottom"/>
            <w:tcBorders>
              <w:bottom w:val="single" w:sz="8" w:color="0077C0"/>
            </w:tcBorders>
          </w:tcPr>
          <w:p>
            <w:pPr>
              <w:spacing w:after="0"/>
              <w:rPr>
                <w:sz w:val="2"/>
                <w:szCs w:val="2"/>
                <w:color w:val="auto"/>
              </w:rPr>
            </w:pPr>
          </w:p>
        </w:tc>
      </w:tr>
      <w:tr>
        <w:trPr>
          <w:trHeight w:val="190"/>
        </w:trPr>
        <w:tc>
          <w:tcPr>
            <w:tcW w:w="6320" w:type="dxa"/>
            <w:vAlign w:val="bottom"/>
            <w:tcBorders>
              <w:bottom w:val="single" w:sz="8" w:color="0077C0"/>
            </w:tcBorders>
          </w:tcPr>
          <w:p>
            <w:pPr>
              <w:spacing w:after="0"/>
              <w:rPr>
                <w:sz w:val="16"/>
                <w:szCs w:val="16"/>
                <w:color w:val="auto"/>
              </w:rPr>
            </w:pPr>
          </w:p>
        </w:tc>
        <w:tc>
          <w:tcPr>
            <w:tcW w:w="520" w:type="dxa"/>
            <w:vAlign w:val="bottom"/>
            <w:tcBorders>
              <w:bottom w:val="single" w:sz="8" w:color="0077C0"/>
            </w:tcBorders>
          </w:tcPr>
          <w:p>
            <w:pPr>
              <w:spacing w:after="0"/>
              <w:rPr>
                <w:sz w:val="16"/>
                <w:szCs w:val="16"/>
                <w:color w:val="auto"/>
              </w:rPr>
            </w:pPr>
          </w:p>
        </w:tc>
        <w:tc>
          <w:tcPr>
            <w:tcW w:w="114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0077C0"/>
            </w:tcBorders>
          </w:tcPr>
          <w:p>
            <w:pPr>
              <w:spacing w:after="0"/>
              <w:rPr>
                <w:sz w:val="16"/>
                <w:szCs w:val="16"/>
                <w:color w:val="auto"/>
              </w:rPr>
            </w:pPr>
          </w:p>
        </w:tc>
        <w:tc>
          <w:tcPr>
            <w:tcW w:w="10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580" w:type="dxa"/>
            <w:vAlign w:val="bottom"/>
            <w:tcBorders>
              <w:bottom w:val="single" w:sz="8" w:color="0077C0"/>
            </w:tcBorders>
          </w:tcPr>
          <w:p>
            <w:pPr>
              <w:spacing w:after="0"/>
              <w:rPr>
                <w:sz w:val="16"/>
                <w:szCs w:val="16"/>
                <w:color w:val="auto"/>
              </w:rPr>
            </w:pPr>
          </w:p>
        </w:tc>
        <w:tc>
          <w:tcPr>
            <w:tcW w:w="10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r>
      <w:tr>
        <w:trPr>
          <w:trHeight w:val="188"/>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520" w:type="dxa"/>
            <w:vAlign w:val="bottom"/>
          </w:tcPr>
          <w:p>
            <w:pPr>
              <w:spacing w:after="0"/>
              <w:rPr>
                <w:sz w:val="16"/>
                <w:szCs w:val="16"/>
                <w:color w:val="auto"/>
              </w:rPr>
            </w:pPr>
          </w:p>
        </w:tc>
        <w:tc>
          <w:tcPr>
            <w:tcW w:w="1140" w:type="dxa"/>
            <w:vAlign w:val="bottom"/>
            <w:tcBorders>
              <w:right w:val="single" w:sz="8" w:color="0077C0"/>
            </w:tcBorders>
          </w:tcPr>
          <w:p>
            <w:pPr>
              <w:spacing w:after="0"/>
              <w:rPr>
                <w:sz w:val="16"/>
                <w:szCs w:val="16"/>
                <w:color w:val="auto"/>
              </w:rPr>
            </w:pPr>
          </w:p>
        </w:tc>
        <w:tc>
          <w:tcPr>
            <w:tcW w:w="6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3"/>
        </w:trPr>
        <w:tc>
          <w:tcPr>
            <w:tcW w:w="6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United States</w:t>
            </w:r>
          </w:p>
        </w:tc>
        <w:tc>
          <w:tcPr>
            <w:tcW w:w="52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right w:val="single" w:sz="8" w:color="0077C0"/>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8,056</w:t>
            </w:r>
          </w:p>
        </w:tc>
        <w:tc>
          <w:tcPr>
            <w:tcW w:w="6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8,565</w:t>
            </w:r>
          </w:p>
        </w:tc>
        <w:tc>
          <w:tcPr>
            <w:tcW w:w="5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21,005</w:t>
            </w:r>
          </w:p>
        </w:tc>
      </w:tr>
      <w:tr>
        <w:trPr>
          <w:trHeight w:val="203"/>
        </w:trPr>
        <w:tc>
          <w:tcPr>
            <w:tcW w:w="6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International</w:t>
            </w:r>
          </w:p>
        </w:tc>
        <w:tc>
          <w:tcPr>
            <w:tcW w:w="520" w:type="dxa"/>
            <w:vAlign w:val="bottom"/>
          </w:tcPr>
          <w:p>
            <w:pPr>
              <w:spacing w:after="0"/>
              <w:rPr>
                <w:sz w:val="17"/>
                <w:szCs w:val="17"/>
                <w:color w:val="auto"/>
              </w:rPr>
            </w:pPr>
          </w:p>
        </w:tc>
        <w:tc>
          <w:tcPr>
            <w:tcW w:w="1140" w:type="dxa"/>
            <w:vAlign w:val="bottom"/>
            <w:tcBorders>
              <w:right w:val="single" w:sz="8" w:color="0077C0"/>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19,450</w:t>
            </w:r>
          </w:p>
        </w:tc>
        <w:tc>
          <w:tcPr>
            <w:tcW w:w="600" w:type="dxa"/>
            <w:vAlign w:val="bottom"/>
          </w:tcPr>
          <w:p>
            <w:pPr>
              <w:spacing w:after="0"/>
              <w:rPr>
                <w:sz w:val="17"/>
                <w:szCs w:val="17"/>
                <w:color w:val="auto"/>
              </w:rPr>
            </w:pPr>
          </w:p>
        </w:tc>
        <w:tc>
          <w:tcPr>
            <w:tcW w:w="10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21,019</w:t>
            </w:r>
          </w:p>
        </w:tc>
        <w:tc>
          <w:tcPr>
            <w:tcW w:w="580" w:type="dxa"/>
            <w:vAlign w:val="bottom"/>
          </w:tcPr>
          <w:p>
            <w:pPr>
              <w:spacing w:after="0"/>
              <w:rPr>
                <w:sz w:val="17"/>
                <w:szCs w:val="17"/>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28,669</w:t>
            </w:r>
          </w:p>
        </w:tc>
      </w:tr>
      <w:tr>
        <w:trPr>
          <w:trHeight w:val="23"/>
        </w:trPr>
        <w:tc>
          <w:tcPr>
            <w:tcW w:w="632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1140" w:type="dxa"/>
            <w:vAlign w:val="bottom"/>
            <w:tcBorders>
              <w:bottom w:val="single" w:sz="8" w:color="0077C0"/>
              <w:right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106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1020" w:type="dxa"/>
            <w:vAlign w:val="bottom"/>
            <w:tcBorders>
              <w:bottom w:val="single" w:sz="8" w:color="0077C0"/>
            </w:tcBorders>
          </w:tcPr>
          <w:p>
            <w:pPr>
              <w:spacing w:after="0"/>
              <w:rPr>
                <w:sz w:val="2"/>
                <w:szCs w:val="2"/>
                <w:color w:val="auto"/>
              </w:rPr>
            </w:pPr>
          </w:p>
        </w:tc>
      </w:tr>
      <w:tr>
        <w:trPr>
          <w:trHeight w:val="190"/>
        </w:trPr>
        <w:tc>
          <w:tcPr>
            <w:tcW w:w="632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income (loss) before income taxes</w:t>
            </w:r>
          </w:p>
        </w:tc>
        <w:tc>
          <w:tcPr>
            <w:tcW w:w="520" w:type="dxa"/>
            <w:vAlign w:val="bottom"/>
            <w:tcBorders>
              <w:bottom w:val="single" w:sz="8" w:color="0077C0"/>
            </w:tcBorders>
          </w:tcPr>
          <w:p>
            <w:pPr>
              <w:spacing w:after="0"/>
              <w:rPr>
                <w:sz w:val="16"/>
                <w:szCs w:val="16"/>
                <w:color w:val="auto"/>
              </w:rPr>
            </w:pPr>
          </w:p>
        </w:tc>
        <w:tc>
          <w:tcPr>
            <w:tcW w:w="1140" w:type="dxa"/>
            <w:vAlign w:val="bottom"/>
            <w:tcBorders>
              <w:bottom w:val="single" w:sz="8" w:color="0077C0"/>
              <w:right w:val="single" w:sz="8" w:color="0077C0"/>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27,506</w:t>
            </w:r>
          </w:p>
        </w:tc>
        <w:tc>
          <w:tcPr>
            <w:tcW w:w="600" w:type="dxa"/>
            <w:vAlign w:val="bottom"/>
            <w:tcBorders>
              <w:bottom w:val="single" w:sz="8" w:color="0077C0"/>
            </w:tcBorders>
          </w:tcPr>
          <w:p>
            <w:pPr>
              <w:spacing w:after="0"/>
              <w:rPr>
                <w:sz w:val="16"/>
                <w:szCs w:val="16"/>
                <w:color w:val="auto"/>
              </w:rPr>
            </w:pPr>
          </w:p>
        </w:tc>
        <w:tc>
          <w:tcPr>
            <w:tcW w:w="1060" w:type="dxa"/>
            <w:vAlign w:val="bottom"/>
            <w:tcBorders>
              <w:bottom w:val="single" w:sz="8" w:color="0077C0"/>
            </w:tcBorders>
          </w:tcPr>
          <w:p>
            <w:pPr>
              <w:jc w:val="right"/>
              <w:ind w:right="168"/>
              <w:spacing w:after="0"/>
              <w:rPr>
                <w:sz w:val="20"/>
                <w:szCs w:val="20"/>
                <w:color w:val="auto"/>
              </w:rPr>
            </w:pPr>
            <w:r>
              <w:rPr>
                <w:rFonts w:ascii="Times New Roman" w:cs="Times New Roman" w:eastAsia="Times New Roman" w:hAnsi="Times New Roman"/>
                <w:sz w:val="14"/>
                <w:szCs w:val="14"/>
                <w:color w:val="auto"/>
              </w:rPr>
              <w:t>29,584</w:t>
            </w:r>
          </w:p>
        </w:tc>
        <w:tc>
          <w:tcPr>
            <w:tcW w:w="580" w:type="dxa"/>
            <w:vAlign w:val="bottom"/>
            <w:tcBorders>
              <w:bottom w:val="single" w:sz="8" w:color="0077C0"/>
            </w:tcBorders>
          </w:tcPr>
          <w:p>
            <w:pPr>
              <w:spacing w:after="0"/>
              <w:rPr>
                <w:sz w:val="16"/>
                <w:szCs w:val="16"/>
                <w:color w:val="auto"/>
              </w:rPr>
            </w:pPr>
          </w:p>
        </w:tc>
        <w:tc>
          <w:tcPr>
            <w:tcW w:w="102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color w:val="auto"/>
              </w:rPr>
              <w:t>49,674</w:t>
            </w:r>
          </w:p>
        </w:tc>
      </w:tr>
      <w:tr>
        <w:trPr>
          <w:trHeight w:val="190"/>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Theoretical tax (at U.S. statutory rate of 21%)</w:t>
            </w:r>
          </w:p>
        </w:tc>
        <w:tc>
          <w:tcPr>
            <w:tcW w:w="520" w:type="dxa"/>
            <w:vAlign w:val="bottom"/>
          </w:tcPr>
          <w:p>
            <w:pPr>
              <w:spacing w:after="0"/>
              <w:rPr>
                <w:sz w:val="16"/>
                <w:szCs w:val="16"/>
                <w:color w:val="auto"/>
              </w:rPr>
            </w:pPr>
          </w:p>
        </w:tc>
        <w:tc>
          <w:tcPr>
            <w:tcW w:w="1140" w:type="dxa"/>
            <w:vAlign w:val="bottom"/>
            <w:tcBorders>
              <w:right w:val="single" w:sz="8" w:color="0077C0"/>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5,776</w:t>
            </w:r>
          </w:p>
        </w:tc>
        <w:tc>
          <w:tcPr>
            <w:tcW w:w="600" w:type="dxa"/>
            <w:vAlign w:val="bottom"/>
          </w:tcPr>
          <w:p>
            <w:pPr>
              <w:spacing w:after="0"/>
              <w:rPr>
                <w:sz w:val="16"/>
                <w:szCs w:val="16"/>
                <w:color w:val="auto"/>
              </w:rPr>
            </w:pPr>
          </w:p>
        </w:tc>
        <w:tc>
          <w:tcPr>
            <w:tcW w:w="10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6,213</w:t>
            </w:r>
          </w:p>
        </w:tc>
        <w:tc>
          <w:tcPr>
            <w:tcW w:w="58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10,432</w:t>
            </w:r>
          </w:p>
        </w:tc>
      </w:tr>
      <w:tr>
        <w:trPr>
          <w:trHeight w:val="191"/>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affiliate accounting effect</w:t>
            </w:r>
          </w:p>
        </w:tc>
        <w:tc>
          <w:tcPr>
            <w:tcW w:w="520" w:type="dxa"/>
            <w:vAlign w:val="bottom"/>
          </w:tcPr>
          <w:p>
            <w:pPr>
              <w:spacing w:after="0"/>
              <w:rPr>
                <w:sz w:val="16"/>
                <w:szCs w:val="16"/>
                <w:color w:val="auto"/>
              </w:rPr>
            </w:pPr>
          </w:p>
        </w:tc>
        <w:tc>
          <w:tcPr>
            <w:tcW w:w="1140" w:type="dxa"/>
            <w:vAlign w:val="bottom"/>
            <w:tcBorders>
              <w:right w:val="single" w:sz="8" w:color="0077C0"/>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(845)</w:t>
            </w:r>
          </w:p>
        </w:tc>
        <w:tc>
          <w:tcPr>
            <w:tcW w:w="600" w:type="dxa"/>
            <w:vAlign w:val="bottom"/>
          </w:tcPr>
          <w:p>
            <w:pPr>
              <w:spacing w:after="0"/>
              <w:rPr>
                <w:sz w:val="16"/>
                <w:szCs w:val="16"/>
                <w:color w:val="auto"/>
              </w:rPr>
            </w:pPr>
          </w:p>
        </w:tc>
        <w:tc>
          <w:tcPr>
            <w:tcW w:w="10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(1,072)</w:t>
            </w:r>
          </w:p>
        </w:tc>
        <w:tc>
          <w:tcPr>
            <w:tcW w:w="580" w:type="dxa"/>
            <w:vAlign w:val="bottom"/>
          </w:tcPr>
          <w:p>
            <w:pPr>
              <w:spacing w:after="0"/>
              <w:rPr>
                <w:sz w:val="16"/>
                <w:szCs w:val="16"/>
                <w:color w:val="auto"/>
              </w:rPr>
            </w:pP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(1,678)</w:t>
            </w:r>
          </w:p>
        </w:tc>
      </w:tr>
      <w:tr>
        <w:trPr>
          <w:trHeight w:val="203"/>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income taxes from international operations</w:t>
            </w:r>
          </w:p>
        </w:tc>
        <w:tc>
          <w:tcPr>
            <w:tcW w:w="520" w:type="dxa"/>
            <w:vAlign w:val="bottom"/>
          </w:tcPr>
          <w:p>
            <w:pPr>
              <w:spacing w:after="0"/>
              <w:rPr>
                <w:sz w:val="17"/>
                <w:szCs w:val="17"/>
                <w:color w:val="auto"/>
              </w:rPr>
            </w:pPr>
          </w:p>
        </w:tc>
        <w:tc>
          <w:tcPr>
            <w:tcW w:w="1140" w:type="dxa"/>
            <w:vAlign w:val="bottom"/>
            <w:tcBorders>
              <w:right w:val="single" w:sz="8" w:color="0077C0"/>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4,742</w:t>
            </w:r>
          </w:p>
        </w:tc>
        <w:tc>
          <w:tcPr>
            <w:tcW w:w="600" w:type="dxa"/>
            <w:vAlign w:val="bottom"/>
          </w:tcPr>
          <w:p>
            <w:pPr>
              <w:spacing w:after="0"/>
              <w:rPr>
                <w:sz w:val="17"/>
                <w:szCs w:val="17"/>
                <w:color w:val="auto"/>
              </w:rPr>
            </w:pPr>
          </w:p>
        </w:tc>
        <w:tc>
          <w:tcPr>
            <w:tcW w:w="10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3,001</w:t>
            </w:r>
          </w:p>
        </w:tc>
        <w:tc>
          <w:tcPr>
            <w:tcW w:w="580" w:type="dxa"/>
            <w:vAlign w:val="bottom"/>
          </w:tcPr>
          <w:p>
            <w:pPr>
              <w:spacing w:after="0"/>
              <w:rPr>
                <w:sz w:val="17"/>
                <w:szCs w:val="17"/>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5,041</w:t>
            </w:r>
          </w:p>
        </w:tc>
      </w:tr>
      <w:tr>
        <w:trPr>
          <w:trHeight w:val="203"/>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 and local taxes on income, net of U.S. federal income tax benefit</w:t>
            </w:r>
          </w:p>
        </w:tc>
        <w:tc>
          <w:tcPr>
            <w:tcW w:w="520" w:type="dxa"/>
            <w:vAlign w:val="bottom"/>
          </w:tcPr>
          <w:p>
            <w:pPr>
              <w:spacing w:after="0"/>
              <w:rPr>
                <w:sz w:val="17"/>
                <w:szCs w:val="17"/>
                <w:color w:val="auto"/>
              </w:rPr>
            </w:pPr>
          </w:p>
        </w:tc>
        <w:tc>
          <w:tcPr>
            <w:tcW w:w="1140" w:type="dxa"/>
            <w:vAlign w:val="bottom"/>
            <w:tcBorders>
              <w:right w:val="single" w:sz="8" w:color="0077C0"/>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214</w:t>
            </w:r>
          </w:p>
        </w:tc>
        <w:tc>
          <w:tcPr>
            <w:tcW w:w="600" w:type="dxa"/>
            <w:vAlign w:val="bottom"/>
          </w:tcPr>
          <w:p>
            <w:pPr>
              <w:spacing w:after="0"/>
              <w:rPr>
                <w:sz w:val="17"/>
                <w:szCs w:val="17"/>
                <w:color w:val="auto"/>
              </w:rPr>
            </w:pPr>
          </w:p>
        </w:tc>
        <w:tc>
          <w:tcPr>
            <w:tcW w:w="10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252</w:t>
            </w:r>
          </w:p>
        </w:tc>
        <w:tc>
          <w:tcPr>
            <w:tcW w:w="580" w:type="dxa"/>
            <w:vAlign w:val="bottom"/>
          </w:tcPr>
          <w:p>
            <w:pPr>
              <w:spacing w:after="0"/>
              <w:rPr>
                <w:sz w:val="17"/>
                <w:szCs w:val="17"/>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508</w:t>
            </w:r>
          </w:p>
        </w:tc>
      </w:tr>
      <w:tr>
        <w:trPr>
          <w:trHeight w:val="215"/>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Prior year tax adjustments, claims and settlements </w:t>
            </w:r>
            <w:r>
              <w:rPr>
                <w:rFonts w:ascii="Times New Roman" w:cs="Times New Roman" w:eastAsia="Times New Roman" w:hAnsi="Times New Roman"/>
                <w:sz w:val="18"/>
                <w:szCs w:val="18"/>
                <w:color w:val="auto"/>
                <w:vertAlign w:val="superscript"/>
              </w:rPr>
              <w:t>1</w:t>
            </w:r>
          </w:p>
        </w:tc>
        <w:tc>
          <w:tcPr>
            <w:tcW w:w="520" w:type="dxa"/>
            <w:vAlign w:val="bottom"/>
          </w:tcPr>
          <w:p>
            <w:pPr>
              <w:spacing w:after="0"/>
              <w:rPr>
                <w:sz w:val="18"/>
                <w:szCs w:val="18"/>
                <w:color w:val="auto"/>
              </w:rPr>
            </w:pPr>
          </w:p>
        </w:tc>
        <w:tc>
          <w:tcPr>
            <w:tcW w:w="1140" w:type="dxa"/>
            <w:vAlign w:val="bottom"/>
            <w:tcBorders>
              <w:right w:val="single" w:sz="8" w:color="0077C0"/>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(30)</w:t>
            </w:r>
          </w:p>
        </w:tc>
        <w:tc>
          <w:tcPr>
            <w:tcW w:w="600" w:type="dxa"/>
            <w:vAlign w:val="bottom"/>
          </w:tcPr>
          <w:p>
            <w:pPr>
              <w:spacing w:after="0"/>
              <w:rPr>
                <w:sz w:val="18"/>
                <w:szCs w:val="18"/>
                <w:color w:val="auto"/>
              </w:rPr>
            </w:pPr>
          </w:p>
        </w:tc>
        <w:tc>
          <w:tcPr>
            <w:tcW w:w="10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(32)</w:t>
            </w:r>
          </w:p>
        </w:tc>
        <w:tc>
          <w:tcPr>
            <w:tcW w:w="580" w:type="dxa"/>
            <w:vAlign w:val="bottom"/>
          </w:tcPr>
          <w:p>
            <w:pPr>
              <w:spacing w:after="0"/>
              <w:rPr>
                <w:sz w:val="18"/>
                <w:szCs w:val="18"/>
                <w:color w:val="auto"/>
              </w:rPr>
            </w:pP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(90)</w:t>
            </w:r>
          </w:p>
        </w:tc>
      </w:tr>
      <w:tr>
        <w:trPr>
          <w:trHeight w:val="190"/>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credits</w:t>
            </w:r>
          </w:p>
        </w:tc>
        <w:tc>
          <w:tcPr>
            <w:tcW w:w="520" w:type="dxa"/>
            <w:vAlign w:val="bottom"/>
          </w:tcPr>
          <w:p>
            <w:pPr>
              <w:spacing w:after="0"/>
              <w:rPr>
                <w:sz w:val="16"/>
                <w:szCs w:val="16"/>
                <w:color w:val="auto"/>
              </w:rPr>
            </w:pPr>
          </w:p>
        </w:tc>
        <w:tc>
          <w:tcPr>
            <w:tcW w:w="1140" w:type="dxa"/>
            <w:vAlign w:val="bottom"/>
            <w:tcBorders>
              <w:right w:val="single" w:sz="8" w:color="0077C0"/>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(28)</w:t>
            </w:r>
          </w:p>
        </w:tc>
        <w:tc>
          <w:tcPr>
            <w:tcW w:w="600" w:type="dxa"/>
            <w:vAlign w:val="bottom"/>
          </w:tcPr>
          <w:p>
            <w:pPr>
              <w:spacing w:after="0"/>
              <w:rPr>
                <w:sz w:val="16"/>
                <w:szCs w:val="16"/>
                <w:color w:val="auto"/>
              </w:rPr>
            </w:pPr>
          </w:p>
        </w:tc>
        <w:tc>
          <w:tcPr>
            <w:tcW w:w="10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(20)</w:t>
            </w:r>
          </w:p>
        </w:tc>
        <w:tc>
          <w:tcPr>
            <w:tcW w:w="580" w:type="dxa"/>
            <w:vAlign w:val="bottom"/>
          </w:tcPr>
          <w:p>
            <w:pPr>
              <w:spacing w:after="0"/>
              <w:rPr>
                <w:sz w:val="16"/>
                <w:szCs w:val="16"/>
                <w:color w:val="auto"/>
              </w:rPr>
            </w:pP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w:t>
            </w:r>
          </w:p>
        </w:tc>
      </w:tr>
      <w:tr>
        <w:trPr>
          <w:trHeight w:val="226"/>
        </w:trPr>
        <w:tc>
          <w:tcPr>
            <w:tcW w:w="632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color w:val="auto"/>
              </w:rPr>
              <w:t xml:space="preserve">Other U.S. </w:t>
            </w:r>
            <w:r>
              <w:rPr>
                <w:rFonts w:ascii="Times New Roman" w:cs="Times New Roman" w:eastAsia="Times New Roman" w:hAnsi="Times New Roman"/>
                <w:sz w:val="18"/>
                <w:szCs w:val="18"/>
                <w:color w:val="auto"/>
                <w:vertAlign w:val="superscript"/>
              </w:rPr>
              <w:t>1, 2</w:t>
            </w:r>
          </w:p>
        </w:tc>
        <w:tc>
          <w:tcPr>
            <w:tcW w:w="520" w:type="dxa"/>
            <w:vAlign w:val="bottom"/>
            <w:tcBorders>
              <w:bottom w:val="single" w:sz="8" w:color="0077C0"/>
            </w:tcBorders>
          </w:tcPr>
          <w:p>
            <w:pPr>
              <w:spacing w:after="0"/>
              <w:rPr>
                <w:sz w:val="19"/>
                <w:szCs w:val="19"/>
                <w:color w:val="auto"/>
              </w:rPr>
            </w:pPr>
          </w:p>
        </w:tc>
        <w:tc>
          <w:tcPr>
            <w:tcW w:w="1140" w:type="dxa"/>
            <w:vAlign w:val="bottom"/>
            <w:tcBorders>
              <w:bottom w:val="single" w:sz="8" w:color="0077C0"/>
              <w:right w:val="single" w:sz="8" w:color="0077C0"/>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(72)</w:t>
            </w:r>
          </w:p>
        </w:tc>
        <w:tc>
          <w:tcPr>
            <w:tcW w:w="600" w:type="dxa"/>
            <w:vAlign w:val="bottom"/>
            <w:tcBorders>
              <w:bottom w:val="single" w:sz="8" w:color="0077C0"/>
            </w:tcBorders>
          </w:tcPr>
          <w:p>
            <w:pPr>
              <w:spacing w:after="0"/>
              <w:rPr>
                <w:sz w:val="19"/>
                <w:szCs w:val="19"/>
                <w:color w:val="auto"/>
              </w:rPr>
            </w:pPr>
          </w:p>
        </w:tc>
        <w:tc>
          <w:tcPr>
            <w:tcW w:w="1060" w:type="dxa"/>
            <w:vAlign w:val="bottom"/>
            <w:tcBorders>
              <w:bottom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color w:val="auto"/>
              </w:rPr>
              <w:t>(169)</w:t>
            </w:r>
          </w:p>
        </w:tc>
        <w:tc>
          <w:tcPr>
            <w:tcW w:w="580" w:type="dxa"/>
            <w:vAlign w:val="bottom"/>
            <w:tcBorders>
              <w:bottom w:val="single" w:sz="8" w:color="0077C0"/>
            </w:tcBorders>
          </w:tcPr>
          <w:p>
            <w:pPr>
              <w:spacing w:after="0"/>
              <w:rPr>
                <w:sz w:val="19"/>
                <w:szCs w:val="19"/>
                <w:color w:val="auto"/>
              </w:rPr>
            </w:pPr>
          </w:p>
        </w:tc>
        <w:tc>
          <w:tcPr>
            <w:tcW w:w="102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color w:val="auto"/>
              </w:rPr>
              <w:t>(141)</w:t>
            </w:r>
          </w:p>
        </w:tc>
      </w:tr>
      <w:tr>
        <w:trPr>
          <w:trHeight w:val="184"/>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income tax expense (benefit)</w:t>
            </w:r>
          </w:p>
        </w:tc>
        <w:tc>
          <w:tcPr>
            <w:tcW w:w="52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right w:val="single" w:sz="8" w:color="0077C0"/>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9,757</w:t>
            </w:r>
          </w:p>
        </w:tc>
        <w:tc>
          <w:tcPr>
            <w:tcW w:w="6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8,173</w:t>
            </w:r>
          </w:p>
        </w:tc>
        <w:tc>
          <w:tcPr>
            <w:tcW w:w="5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14,066</w:t>
            </w:r>
          </w:p>
        </w:tc>
      </w:tr>
      <w:tr>
        <w:trPr>
          <w:trHeight w:val="309"/>
        </w:trPr>
        <w:tc>
          <w:tcPr>
            <w:tcW w:w="632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Effective income tax rate </w:t>
            </w:r>
            <w:r>
              <w:rPr>
                <w:rFonts w:ascii="Times New Roman" w:cs="Times New Roman" w:eastAsia="Times New Roman" w:hAnsi="Times New Roman"/>
                <w:sz w:val="18"/>
                <w:szCs w:val="18"/>
                <w:color w:val="auto"/>
                <w:vertAlign w:val="superscript"/>
              </w:rPr>
              <w:t>3</w:t>
            </w:r>
          </w:p>
        </w:tc>
        <w:tc>
          <w:tcPr>
            <w:tcW w:w="520" w:type="dxa"/>
            <w:vAlign w:val="bottom"/>
            <w:tcBorders>
              <w:bottom w:val="single" w:sz="8" w:color="0077C0"/>
            </w:tcBorders>
          </w:tcPr>
          <w:p>
            <w:pPr>
              <w:spacing w:after="0"/>
              <w:rPr>
                <w:sz w:val="24"/>
                <w:szCs w:val="24"/>
                <w:color w:val="auto"/>
              </w:rPr>
            </w:pPr>
          </w:p>
        </w:tc>
        <w:tc>
          <w:tcPr>
            <w:tcW w:w="1140" w:type="dxa"/>
            <w:vAlign w:val="bottom"/>
            <w:tcBorders>
              <w:bottom w:val="single" w:sz="8" w:color="0077C0"/>
              <w:right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35.5 %</w:t>
            </w:r>
          </w:p>
        </w:tc>
        <w:tc>
          <w:tcPr>
            <w:tcW w:w="600" w:type="dxa"/>
            <w:vAlign w:val="bottom"/>
            <w:tcBorders>
              <w:bottom w:val="single" w:sz="8" w:color="0077C0"/>
            </w:tcBorders>
          </w:tcPr>
          <w:p>
            <w:pPr>
              <w:spacing w:after="0"/>
              <w:rPr>
                <w:sz w:val="24"/>
                <w:szCs w:val="24"/>
                <w:color w:val="auto"/>
              </w:rPr>
            </w:pPr>
          </w:p>
        </w:tc>
        <w:tc>
          <w:tcPr>
            <w:tcW w:w="10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27.6 %</w:t>
            </w:r>
          </w:p>
        </w:tc>
        <w:tc>
          <w:tcPr>
            <w:tcW w:w="580" w:type="dxa"/>
            <w:vAlign w:val="bottom"/>
            <w:tcBorders>
              <w:bottom w:val="single" w:sz="8" w:color="0077C0"/>
            </w:tcBorders>
          </w:tcPr>
          <w:p>
            <w:pPr>
              <w:spacing w:after="0"/>
              <w:rPr>
                <w:sz w:val="24"/>
                <w:szCs w:val="24"/>
                <w:color w:val="auto"/>
              </w:rPr>
            </w:pPr>
          </w:p>
        </w:tc>
        <w:tc>
          <w:tcPr>
            <w:tcW w:w="10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28.3 %</w:t>
            </w:r>
          </w:p>
        </w:tc>
      </w:tr>
    </w:tbl>
    <w:p>
      <w:pPr>
        <w:spacing w:after="0" w:line="40" w:lineRule="exact"/>
        <w:rPr>
          <w:sz w:val="20"/>
          <w:szCs w:val="20"/>
          <w:color w:val="auto"/>
        </w:rPr>
      </w:pPr>
    </w:p>
    <w:p>
      <w:pPr>
        <w:ind w:left="160" w:hanging="71"/>
        <w:spacing w:after="0"/>
        <w:tabs>
          <w:tab w:leader="none" w:pos="160" w:val="left"/>
        </w:tabs>
        <w:numPr>
          <w:ilvl w:val="0"/>
          <w:numId w:val="4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Includes one-time tax costs (benefits) associated with changes in uncertain tax positions.</w:t>
      </w:r>
    </w:p>
    <w:p>
      <w:pPr>
        <w:ind w:left="160" w:hanging="71"/>
        <w:spacing w:after="0" w:line="211" w:lineRule="auto"/>
        <w:tabs>
          <w:tab w:leader="none" w:pos="160" w:val="left"/>
        </w:tabs>
        <w:numPr>
          <w:ilvl w:val="0"/>
          <w:numId w:val="4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Includes one-time tax costs (benefits) associated with changes in valuation allowances (2024 - $(12); 2023 - $(84); 2022 - $(36)).</w:t>
      </w:r>
    </w:p>
    <w:p>
      <w:pPr>
        <w:ind w:left="180" w:right="200" w:hanging="91"/>
        <w:spacing w:after="0" w:line="215" w:lineRule="auto"/>
        <w:tabs>
          <w:tab w:leader="none" w:pos="171" w:val="left"/>
        </w:tabs>
        <w:numPr>
          <w:ilvl w:val="0"/>
          <w:numId w:val="5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The company’s effective tax rate is reflective of equity income reported on an after-tax basis as part of the “Total Income (Loss) Before Income Tax Expense,” in accordance with U.S. Generally Accepted Accounting Principles. Chevron’s share of its equity affiliates’ total income tax expense in 2024 was $1,286.</w:t>
      </w:r>
    </w:p>
    <w:p>
      <w:pPr>
        <w:spacing w:after="0" w:line="93"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auto"/>
        </w:rPr>
        <w:t>The 2024 increase in income tax expense of $1,584 and the change in the company’s effective tax rate from 27.6 percent in 2023 to 35.5 percent in 2024 were primarily a result of the tax impacts from the asset sales in Canada.</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88" w:name="page89"/>
    <w:bookmarkEnd w:id="88"/>
    <w:p>
      <w:pPr>
        <w:ind w:left="20"/>
        <w:spacing w:after="0"/>
        <w:tabs>
          <w:tab w:leader="none" w:pos="9460" w:val="left"/>
        </w:tabs>
        <w:rPr>
          <w:sz w:val="20"/>
          <w:szCs w:val="20"/>
          <w:color w:val="auto"/>
        </w:rPr>
      </w:pPr>
      <w:r>
        <w:rPr>
          <w:rFonts w:ascii="Arial" w:cs="Arial" w:eastAsia="Arial" w:hAnsi="Arial"/>
          <w:sz w:val="14"/>
          <w:szCs w:val="14"/>
          <w:color w:val="0077C0"/>
        </w:rPr>
        <w:t>Notes to the Consolidated Financial Statements</w:t>
      </w:r>
      <w:r>
        <w:rPr>
          <w:sz w:val="20"/>
          <w:szCs w:val="20"/>
          <w:color w:val="auto"/>
        </w:rPr>
        <w:tab/>
      </w:r>
      <w:r>
        <w:rPr>
          <w:rFonts w:ascii="Arial" w:cs="Arial" w:eastAsia="Arial" w:hAnsi="Arial"/>
          <w:sz w:val="14"/>
          <w:szCs w:val="14"/>
          <w:color w:val="0077C0"/>
        </w:rPr>
        <w:t>Financial Table of Contents</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11"/>
          <w:szCs w:val="11"/>
          <w:color w:val="0077C0"/>
        </w:rPr>
        <w:t>Millions of dollars, except per-share amounts</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records its deferred taxes on a tax-jurisdiction basis. The reported deferred tax balances are composed of the following:</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At December 31</w:t>
            </w:r>
          </w:p>
        </w:tc>
      </w:tr>
      <w:tr>
        <w:trPr>
          <w:trHeight w:val="23"/>
        </w:trPr>
        <w:tc>
          <w:tcPr>
            <w:tcW w:w="8120" w:type="dxa"/>
            <w:vAlign w:val="bottom"/>
          </w:tcPr>
          <w:p>
            <w:pPr>
              <w:spacing w:after="0"/>
              <w:rPr>
                <w:sz w:val="2"/>
                <w:szCs w:val="2"/>
                <w:color w:val="auto"/>
              </w:rPr>
            </w:pPr>
          </w:p>
        </w:tc>
        <w:tc>
          <w:tcPr>
            <w:tcW w:w="500" w:type="dxa"/>
            <w:vAlign w:val="bottom"/>
            <w:tcBorders>
              <w:bottom w:val="single" w:sz="8" w:color="0077C0"/>
            </w:tcBorders>
          </w:tcPr>
          <w:p>
            <w:pPr>
              <w:spacing w:after="0"/>
              <w:rPr>
                <w:sz w:val="2"/>
                <w:szCs w:val="2"/>
                <w:color w:val="auto"/>
              </w:rPr>
            </w:pPr>
          </w:p>
        </w:tc>
        <w:tc>
          <w:tcPr>
            <w:tcW w:w="1080" w:type="dxa"/>
            <w:vAlign w:val="bottom"/>
            <w:tcBorders>
              <w:bottom w:val="single" w:sz="8" w:color="0077C0"/>
            </w:tcBorders>
          </w:tcPr>
          <w:p>
            <w:pPr>
              <w:spacing w:after="0"/>
              <w:rPr>
                <w:sz w:val="2"/>
                <w:szCs w:val="2"/>
                <w:color w:val="auto"/>
              </w:rPr>
            </w:pPr>
          </w:p>
        </w:tc>
        <w:tc>
          <w:tcPr>
            <w:tcW w:w="380" w:type="dxa"/>
            <w:vAlign w:val="bottom"/>
            <w:tcBorders>
              <w:bottom w:val="single" w:sz="8" w:color="0077C0"/>
            </w:tcBorders>
          </w:tcPr>
          <w:p>
            <w:pPr>
              <w:spacing w:after="0"/>
              <w:rPr>
                <w:sz w:val="2"/>
                <w:szCs w:val="2"/>
                <w:color w:val="auto"/>
              </w:rPr>
            </w:pPr>
          </w:p>
        </w:tc>
        <w:tc>
          <w:tcPr>
            <w:tcW w:w="1160" w:type="dxa"/>
            <w:vAlign w:val="bottom"/>
            <w:tcBorders>
              <w:bottom w:val="single" w:sz="8" w:color="0077C0"/>
            </w:tcBorders>
          </w:tcPr>
          <w:p>
            <w:pPr>
              <w:spacing w:after="0"/>
              <w:rPr>
                <w:sz w:val="2"/>
                <w:szCs w:val="2"/>
                <w:color w:val="auto"/>
              </w:rPr>
            </w:pPr>
          </w:p>
        </w:tc>
      </w:tr>
      <w:tr>
        <w:trPr>
          <w:trHeight w:val="190"/>
        </w:trPr>
        <w:tc>
          <w:tcPr>
            <w:tcW w:w="8120" w:type="dxa"/>
            <w:vAlign w:val="bottom"/>
            <w:tcBorders>
              <w:bottom w:val="single" w:sz="8" w:color="0077C0"/>
            </w:tcBorders>
          </w:tcPr>
          <w:p>
            <w:pPr>
              <w:spacing w:after="0"/>
              <w:rPr>
                <w:sz w:val="16"/>
                <w:szCs w:val="16"/>
                <w:color w:val="auto"/>
              </w:rPr>
            </w:pPr>
          </w:p>
        </w:tc>
        <w:tc>
          <w:tcPr>
            <w:tcW w:w="500" w:type="dxa"/>
            <w:vAlign w:val="bottom"/>
            <w:tcBorders>
              <w:bottom w:val="single" w:sz="8" w:color="0077C0"/>
            </w:tcBorders>
          </w:tcPr>
          <w:p>
            <w:pPr>
              <w:spacing w:after="0"/>
              <w:rPr>
                <w:sz w:val="16"/>
                <w:szCs w:val="16"/>
                <w:color w:val="auto"/>
              </w:rPr>
            </w:pPr>
          </w:p>
        </w:tc>
        <w:tc>
          <w:tcPr>
            <w:tcW w:w="1080" w:type="dxa"/>
            <w:vAlign w:val="bottom"/>
            <w:tcBorders>
              <w:bottom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0077C0"/>
            </w:tcBorders>
          </w:tcPr>
          <w:p>
            <w:pPr>
              <w:spacing w:after="0"/>
              <w:rPr>
                <w:sz w:val="16"/>
                <w:szCs w:val="16"/>
                <w:color w:val="auto"/>
              </w:rPr>
            </w:pPr>
          </w:p>
        </w:tc>
        <w:tc>
          <w:tcPr>
            <w:tcW w:w="11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188"/>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500" w:type="dxa"/>
            <w:vAlign w:val="bottom"/>
          </w:tcPr>
          <w:p>
            <w:pPr>
              <w:spacing w:after="0"/>
              <w:rPr>
                <w:sz w:val="16"/>
                <w:szCs w:val="16"/>
                <w:color w:val="auto"/>
              </w:rPr>
            </w:pPr>
          </w:p>
        </w:tc>
        <w:tc>
          <w:tcPr>
            <w:tcW w:w="1080" w:type="dxa"/>
            <w:vAlign w:val="bottom"/>
            <w:tcBorders>
              <w:right w:val="single" w:sz="8" w:color="0077C0"/>
            </w:tcBorders>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3"/>
        </w:trPr>
        <w:tc>
          <w:tcPr>
            <w:tcW w:w="8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Properties, plant and equipment</w:t>
            </w:r>
          </w:p>
        </w:tc>
        <w:tc>
          <w:tcPr>
            <w:tcW w:w="5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20,648</w:t>
            </w:r>
          </w:p>
        </w:tc>
        <w:tc>
          <w:tcPr>
            <w:tcW w:w="3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20,303</w:t>
            </w:r>
          </w:p>
        </w:tc>
      </w:tr>
      <w:tr>
        <w:trPr>
          <w:trHeight w:val="203"/>
        </w:trPr>
        <w:tc>
          <w:tcPr>
            <w:tcW w:w="8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Investments and other</w:t>
            </w:r>
          </w:p>
        </w:tc>
        <w:tc>
          <w:tcPr>
            <w:tcW w:w="500" w:type="dxa"/>
            <w:vAlign w:val="bottom"/>
          </w:tcPr>
          <w:p>
            <w:pPr>
              <w:spacing w:after="0"/>
              <w:rPr>
                <w:sz w:val="17"/>
                <w:szCs w:val="17"/>
                <w:color w:val="auto"/>
              </w:rPr>
            </w:pPr>
          </w:p>
        </w:tc>
        <w:tc>
          <w:tcPr>
            <w:tcW w:w="108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5,254</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4,263</w:t>
            </w:r>
          </w:p>
        </w:tc>
      </w:tr>
      <w:tr>
        <w:trPr>
          <w:trHeight w:val="23"/>
        </w:trPr>
        <w:tc>
          <w:tcPr>
            <w:tcW w:w="8120" w:type="dxa"/>
            <w:vAlign w:val="bottom"/>
            <w:tcBorders>
              <w:bottom w:val="single" w:sz="8" w:color="0077C0"/>
            </w:tcBorders>
          </w:tcPr>
          <w:p>
            <w:pPr>
              <w:spacing w:after="0"/>
              <w:rPr>
                <w:sz w:val="2"/>
                <w:szCs w:val="2"/>
                <w:color w:val="auto"/>
              </w:rPr>
            </w:pPr>
          </w:p>
        </w:tc>
        <w:tc>
          <w:tcPr>
            <w:tcW w:w="500" w:type="dxa"/>
            <w:vAlign w:val="bottom"/>
            <w:tcBorders>
              <w:bottom w:val="single" w:sz="8" w:color="0077C0"/>
            </w:tcBorders>
          </w:tcPr>
          <w:p>
            <w:pPr>
              <w:spacing w:after="0"/>
              <w:rPr>
                <w:sz w:val="2"/>
                <w:szCs w:val="2"/>
                <w:color w:val="auto"/>
              </w:rPr>
            </w:pPr>
          </w:p>
        </w:tc>
        <w:tc>
          <w:tcPr>
            <w:tcW w:w="1080" w:type="dxa"/>
            <w:vAlign w:val="bottom"/>
            <w:tcBorders>
              <w:bottom w:val="single" w:sz="8" w:color="0077C0"/>
              <w:right w:val="single" w:sz="8" w:color="0077C0"/>
            </w:tcBorders>
          </w:tcPr>
          <w:p>
            <w:pPr>
              <w:spacing w:after="0"/>
              <w:rPr>
                <w:sz w:val="2"/>
                <w:szCs w:val="2"/>
                <w:color w:val="auto"/>
              </w:rPr>
            </w:pPr>
          </w:p>
        </w:tc>
        <w:tc>
          <w:tcPr>
            <w:tcW w:w="380" w:type="dxa"/>
            <w:vAlign w:val="bottom"/>
            <w:tcBorders>
              <w:bottom w:val="single" w:sz="8" w:color="0077C0"/>
            </w:tcBorders>
          </w:tcPr>
          <w:p>
            <w:pPr>
              <w:spacing w:after="0"/>
              <w:rPr>
                <w:sz w:val="2"/>
                <w:szCs w:val="2"/>
                <w:color w:val="auto"/>
              </w:rPr>
            </w:pPr>
          </w:p>
        </w:tc>
        <w:tc>
          <w:tcPr>
            <w:tcW w:w="1160" w:type="dxa"/>
            <w:vAlign w:val="bottom"/>
            <w:tcBorders>
              <w:bottom w:val="single" w:sz="8" w:color="0077C0"/>
            </w:tcBorders>
          </w:tcPr>
          <w:p>
            <w:pPr>
              <w:spacing w:after="0"/>
              <w:rPr>
                <w:sz w:val="2"/>
                <w:szCs w:val="2"/>
                <w:color w:val="auto"/>
              </w:rPr>
            </w:pPr>
          </w:p>
        </w:tc>
      </w:tr>
      <w:tr>
        <w:trPr>
          <w:trHeight w:val="190"/>
        </w:trPr>
        <w:tc>
          <w:tcPr>
            <w:tcW w:w="812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deferred tax liabilities</w:t>
            </w:r>
          </w:p>
        </w:tc>
        <w:tc>
          <w:tcPr>
            <w:tcW w:w="500" w:type="dxa"/>
            <w:vAlign w:val="bottom"/>
            <w:tcBorders>
              <w:bottom w:val="single" w:sz="8" w:color="0077C0"/>
            </w:tcBorders>
          </w:tcPr>
          <w:p>
            <w:pPr>
              <w:spacing w:after="0"/>
              <w:rPr>
                <w:sz w:val="16"/>
                <w:szCs w:val="16"/>
                <w:color w:val="auto"/>
              </w:rPr>
            </w:pPr>
          </w:p>
        </w:tc>
        <w:tc>
          <w:tcPr>
            <w:tcW w:w="1080" w:type="dxa"/>
            <w:vAlign w:val="bottom"/>
            <w:tcBorders>
              <w:bottom w:val="single" w:sz="8" w:color="0077C0"/>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25,902</w:t>
            </w:r>
          </w:p>
        </w:tc>
        <w:tc>
          <w:tcPr>
            <w:tcW w:w="380" w:type="dxa"/>
            <w:vAlign w:val="bottom"/>
            <w:tcBorders>
              <w:bottom w:val="single" w:sz="8" w:color="0077C0"/>
            </w:tcBorders>
          </w:tcPr>
          <w:p>
            <w:pPr>
              <w:spacing w:after="0"/>
              <w:rPr>
                <w:sz w:val="16"/>
                <w:szCs w:val="16"/>
                <w:color w:val="auto"/>
              </w:rPr>
            </w:pPr>
          </w:p>
        </w:tc>
        <w:tc>
          <w:tcPr>
            <w:tcW w:w="11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24,566</w:t>
            </w:r>
          </w:p>
        </w:tc>
      </w:tr>
      <w:tr>
        <w:trPr>
          <w:trHeight w:val="188"/>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500" w:type="dxa"/>
            <w:vAlign w:val="bottom"/>
          </w:tcPr>
          <w:p>
            <w:pPr>
              <w:spacing w:after="0"/>
              <w:rPr>
                <w:sz w:val="16"/>
                <w:szCs w:val="16"/>
                <w:color w:val="auto"/>
              </w:rPr>
            </w:pPr>
          </w:p>
        </w:tc>
        <w:tc>
          <w:tcPr>
            <w:tcW w:w="1080" w:type="dxa"/>
            <w:vAlign w:val="bottom"/>
            <w:tcBorders>
              <w:right w:val="single" w:sz="8" w:color="0077C0"/>
            </w:tcBorders>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3"/>
        </w:trPr>
        <w:tc>
          <w:tcPr>
            <w:tcW w:w="8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 tax credits</w:t>
            </w:r>
          </w:p>
        </w:tc>
        <w:tc>
          <w:tcPr>
            <w:tcW w:w="500" w:type="dxa"/>
            <w:vAlign w:val="bottom"/>
          </w:tcPr>
          <w:p>
            <w:pPr>
              <w:spacing w:after="0"/>
              <w:rPr>
                <w:sz w:val="16"/>
                <w:szCs w:val="16"/>
                <w:color w:val="auto"/>
              </w:rPr>
            </w:pPr>
          </w:p>
        </w:tc>
        <w:tc>
          <w:tcPr>
            <w:tcW w:w="1080" w:type="dxa"/>
            <w:vAlign w:val="bottom"/>
            <w:tcBorders>
              <w:right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(15,261)</w:t>
            </w:r>
          </w:p>
        </w:tc>
        <w:tc>
          <w:tcPr>
            <w:tcW w:w="3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(13,560)</w:t>
            </w:r>
          </w:p>
        </w:tc>
      </w:tr>
      <w:tr>
        <w:trPr>
          <w:trHeight w:val="203"/>
        </w:trPr>
        <w:tc>
          <w:tcPr>
            <w:tcW w:w="8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Asset retirement obligations/environmental reserves</w:t>
            </w:r>
          </w:p>
        </w:tc>
        <w:tc>
          <w:tcPr>
            <w:tcW w:w="500" w:type="dxa"/>
            <w:vAlign w:val="bottom"/>
          </w:tcPr>
          <w:p>
            <w:pPr>
              <w:spacing w:after="0"/>
              <w:rPr>
                <w:sz w:val="17"/>
                <w:szCs w:val="17"/>
                <w:color w:val="auto"/>
              </w:rPr>
            </w:pPr>
          </w:p>
        </w:tc>
        <w:tc>
          <w:tcPr>
            <w:tcW w:w="1080" w:type="dxa"/>
            <w:vAlign w:val="bottom"/>
            <w:tcBorders>
              <w:right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(4,220)</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(4,543)</w:t>
            </w:r>
          </w:p>
        </w:tc>
      </w:tr>
      <w:tr>
        <w:trPr>
          <w:trHeight w:val="203"/>
        </w:trPr>
        <w:tc>
          <w:tcPr>
            <w:tcW w:w="8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Employee benefits</w:t>
            </w:r>
          </w:p>
        </w:tc>
        <w:tc>
          <w:tcPr>
            <w:tcW w:w="500" w:type="dxa"/>
            <w:vAlign w:val="bottom"/>
          </w:tcPr>
          <w:p>
            <w:pPr>
              <w:spacing w:after="0"/>
              <w:rPr>
                <w:sz w:val="17"/>
                <w:szCs w:val="17"/>
                <w:color w:val="auto"/>
              </w:rPr>
            </w:pPr>
          </w:p>
        </w:tc>
        <w:tc>
          <w:tcPr>
            <w:tcW w:w="1080" w:type="dxa"/>
            <w:vAlign w:val="bottom"/>
            <w:tcBorders>
              <w:right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(2,050)</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(1,785)</w:t>
            </w:r>
          </w:p>
        </w:tc>
      </w:tr>
      <w:tr>
        <w:trPr>
          <w:trHeight w:val="203"/>
        </w:trPr>
        <w:tc>
          <w:tcPr>
            <w:tcW w:w="8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credits</w:t>
            </w:r>
          </w:p>
        </w:tc>
        <w:tc>
          <w:tcPr>
            <w:tcW w:w="500" w:type="dxa"/>
            <w:vAlign w:val="bottom"/>
          </w:tcPr>
          <w:p>
            <w:pPr>
              <w:spacing w:after="0"/>
              <w:rPr>
                <w:sz w:val="17"/>
                <w:szCs w:val="17"/>
                <w:color w:val="auto"/>
              </w:rPr>
            </w:pPr>
          </w:p>
        </w:tc>
        <w:tc>
          <w:tcPr>
            <w:tcW w:w="1080" w:type="dxa"/>
            <w:vAlign w:val="bottom"/>
            <w:tcBorders>
              <w:right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(292)</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r>
      <w:tr>
        <w:trPr>
          <w:trHeight w:val="203"/>
        </w:trPr>
        <w:tc>
          <w:tcPr>
            <w:tcW w:w="8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Tax loss carryforwards</w:t>
            </w:r>
          </w:p>
        </w:tc>
        <w:tc>
          <w:tcPr>
            <w:tcW w:w="500" w:type="dxa"/>
            <w:vAlign w:val="bottom"/>
          </w:tcPr>
          <w:p>
            <w:pPr>
              <w:spacing w:after="0"/>
              <w:rPr>
                <w:sz w:val="17"/>
                <w:szCs w:val="17"/>
                <w:color w:val="auto"/>
              </w:rPr>
            </w:pPr>
          </w:p>
        </w:tc>
        <w:tc>
          <w:tcPr>
            <w:tcW w:w="1080" w:type="dxa"/>
            <w:vAlign w:val="bottom"/>
            <w:tcBorders>
              <w:right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(3,034)</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(3,492)</w:t>
            </w:r>
          </w:p>
        </w:tc>
      </w:tr>
      <w:tr>
        <w:trPr>
          <w:trHeight w:val="203"/>
        </w:trPr>
        <w:tc>
          <w:tcPr>
            <w:tcW w:w="8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accrued liabilities</w:t>
            </w:r>
          </w:p>
        </w:tc>
        <w:tc>
          <w:tcPr>
            <w:tcW w:w="500" w:type="dxa"/>
            <w:vAlign w:val="bottom"/>
          </w:tcPr>
          <w:p>
            <w:pPr>
              <w:spacing w:after="0"/>
              <w:rPr>
                <w:sz w:val="17"/>
                <w:szCs w:val="17"/>
                <w:color w:val="auto"/>
              </w:rPr>
            </w:pPr>
          </w:p>
        </w:tc>
        <w:tc>
          <w:tcPr>
            <w:tcW w:w="1080" w:type="dxa"/>
            <w:vAlign w:val="bottom"/>
            <w:tcBorders>
              <w:right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(1,137)</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(1,416)</w:t>
            </w:r>
          </w:p>
        </w:tc>
      </w:tr>
      <w:tr>
        <w:trPr>
          <w:trHeight w:val="203"/>
        </w:trPr>
        <w:tc>
          <w:tcPr>
            <w:tcW w:w="8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Inventory</w:t>
            </w:r>
          </w:p>
        </w:tc>
        <w:tc>
          <w:tcPr>
            <w:tcW w:w="500" w:type="dxa"/>
            <w:vAlign w:val="bottom"/>
          </w:tcPr>
          <w:p>
            <w:pPr>
              <w:spacing w:after="0"/>
              <w:rPr>
                <w:sz w:val="17"/>
                <w:szCs w:val="17"/>
                <w:color w:val="auto"/>
              </w:rPr>
            </w:pPr>
          </w:p>
        </w:tc>
        <w:tc>
          <w:tcPr>
            <w:tcW w:w="1080" w:type="dxa"/>
            <w:vAlign w:val="bottom"/>
            <w:tcBorders>
              <w:right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(68)</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r>
      <w:tr>
        <w:trPr>
          <w:trHeight w:val="203"/>
        </w:trPr>
        <w:tc>
          <w:tcPr>
            <w:tcW w:w="8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leases</w:t>
            </w:r>
          </w:p>
        </w:tc>
        <w:tc>
          <w:tcPr>
            <w:tcW w:w="500" w:type="dxa"/>
            <w:vAlign w:val="bottom"/>
          </w:tcPr>
          <w:p>
            <w:pPr>
              <w:spacing w:after="0"/>
              <w:rPr>
                <w:sz w:val="17"/>
                <w:szCs w:val="17"/>
                <w:color w:val="auto"/>
              </w:rPr>
            </w:pPr>
          </w:p>
        </w:tc>
        <w:tc>
          <w:tcPr>
            <w:tcW w:w="1080" w:type="dxa"/>
            <w:vAlign w:val="bottom"/>
            <w:tcBorders>
              <w:right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(1,352)</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(1,479)</w:t>
            </w:r>
          </w:p>
        </w:tc>
      </w:tr>
      <w:tr>
        <w:trPr>
          <w:trHeight w:val="203"/>
        </w:trPr>
        <w:tc>
          <w:tcPr>
            <w:tcW w:w="8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Miscellaneous</w:t>
            </w:r>
          </w:p>
        </w:tc>
        <w:tc>
          <w:tcPr>
            <w:tcW w:w="500" w:type="dxa"/>
            <w:vAlign w:val="bottom"/>
          </w:tcPr>
          <w:p>
            <w:pPr>
              <w:spacing w:after="0"/>
              <w:rPr>
                <w:sz w:val="17"/>
                <w:szCs w:val="17"/>
                <w:color w:val="auto"/>
              </w:rPr>
            </w:pPr>
          </w:p>
        </w:tc>
        <w:tc>
          <w:tcPr>
            <w:tcW w:w="1080" w:type="dxa"/>
            <w:vAlign w:val="bottom"/>
            <w:tcBorders>
              <w:right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(4,180)</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(3,652)</w:t>
            </w:r>
          </w:p>
        </w:tc>
      </w:tr>
      <w:tr>
        <w:trPr>
          <w:trHeight w:val="23"/>
        </w:trPr>
        <w:tc>
          <w:tcPr>
            <w:tcW w:w="8120" w:type="dxa"/>
            <w:vAlign w:val="bottom"/>
            <w:tcBorders>
              <w:bottom w:val="single" w:sz="8" w:color="0077C0"/>
            </w:tcBorders>
          </w:tcPr>
          <w:p>
            <w:pPr>
              <w:spacing w:after="0"/>
              <w:rPr>
                <w:sz w:val="2"/>
                <w:szCs w:val="2"/>
                <w:color w:val="auto"/>
              </w:rPr>
            </w:pPr>
          </w:p>
        </w:tc>
        <w:tc>
          <w:tcPr>
            <w:tcW w:w="500" w:type="dxa"/>
            <w:vAlign w:val="bottom"/>
            <w:tcBorders>
              <w:bottom w:val="single" w:sz="8" w:color="0077C0"/>
            </w:tcBorders>
          </w:tcPr>
          <w:p>
            <w:pPr>
              <w:spacing w:after="0"/>
              <w:rPr>
                <w:sz w:val="2"/>
                <w:szCs w:val="2"/>
                <w:color w:val="auto"/>
              </w:rPr>
            </w:pPr>
          </w:p>
        </w:tc>
        <w:tc>
          <w:tcPr>
            <w:tcW w:w="1080" w:type="dxa"/>
            <w:vAlign w:val="bottom"/>
            <w:tcBorders>
              <w:bottom w:val="single" w:sz="8" w:color="0077C0"/>
              <w:right w:val="single" w:sz="8" w:color="0077C0"/>
            </w:tcBorders>
          </w:tcPr>
          <w:p>
            <w:pPr>
              <w:spacing w:after="0"/>
              <w:rPr>
                <w:sz w:val="2"/>
                <w:szCs w:val="2"/>
                <w:color w:val="auto"/>
              </w:rPr>
            </w:pPr>
          </w:p>
        </w:tc>
        <w:tc>
          <w:tcPr>
            <w:tcW w:w="380" w:type="dxa"/>
            <w:vAlign w:val="bottom"/>
            <w:tcBorders>
              <w:bottom w:val="single" w:sz="8" w:color="0077C0"/>
            </w:tcBorders>
          </w:tcPr>
          <w:p>
            <w:pPr>
              <w:spacing w:after="0"/>
              <w:rPr>
                <w:sz w:val="2"/>
                <w:szCs w:val="2"/>
                <w:color w:val="auto"/>
              </w:rPr>
            </w:pPr>
          </w:p>
        </w:tc>
        <w:tc>
          <w:tcPr>
            <w:tcW w:w="1160" w:type="dxa"/>
            <w:vAlign w:val="bottom"/>
            <w:tcBorders>
              <w:bottom w:val="single" w:sz="8" w:color="0077C0"/>
            </w:tcBorders>
          </w:tcPr>
          <w:p>
            <w:pPr>
              <w:spacing w:after="0"/>
              <w:rPr>
                <w:sz w:val="2"/>
                <w:szCs w:val="2"/>
                <w:color w:val="auto"/>
              </w:rPr>
            </w:pPr>
          </w:p>
        </w:tc>
      </w:tr>
      <w:tr>
        <w:trPr>
          <w:trHeight w:val="190"/>
        </w:trPr>
        <w:tc>
          <w:tcPr>
            <w:tcW w:w="812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deferred tax assets</w:t>
            </w:r>
          </w:p>
        </w:tc>
        <w:tc>
          <w:tcPr>
            <w:tcW w:w="500" w:type="dxa"/>
            <w:vAlign w:val="bottom"/>
            <w:tcBorders>
              <w:bottom w:val="single" w:sz="8" w:color="0077C0"/>
            </w:tcBorders>
          </w:tcPr>
          <w:p>
            <w:pPr>
              <w:spacing w:after="0"/>
              <w:rPr>
                <w:sz w:val="16"/>
                <w:szCs w:val="16"/>
                <w:color w:val="auto"/>
              </w:rPr>
            </w:pPr>
          </w:p>
        </w:tc>
        <w:tc>
          <w:tcPr>
            <w:tcW w:w="1080" w:type="dxa"/>
            <w:vAlign w:val="bottom"/>
            <w:tcBorders>
              <w:bottom w:val="single" w:sz="8" w:color="0077C0"/>
              <w:right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(31,594)</w:t>
            </w:r>
          </w:p>
        </w:tc>
        <w:tc>
          <w:tcPr>
            <w:tcW w:w="380" w:type="dxa"/>
            <w:vAlign w:val="bottom"/>
            <w:tcBorders>
              <w:bottom w:val="single" w:sz="8" w:color="0077C0"/>
            </w:tcBorders>
          </w:tcPr>
          <w:p>
            <w:pPr>
              <w:spacing w:after="0"/>
              <w:rPr>
                <w:sz w:val="16"/>
                <w:szCs w:val="16"/>
                <w:color w:val="auto"/>
              </w:rPr>
            </w:pPr>
          </w:p>
        </w:tc>
        <w:tc>
          <w:tcPr>
            <w:tcW w:w="11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(30,321)</w:t>
            </w:r>
          </w:p>
        </w:tc>
      </w:tr>
      <w:tr>
        <w:trPr>
          <w:trHeight w:val="196"/>
        </w:trPr>
        <w:tc>
          <w:tcPr>
            <w:tcW w:w="812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assets valuation allowance</w:t>
            </w:r>
          </w:p>
        </w:tc>
        <w:tc>
          <w:tcPr>
            <w:tcW w:w="500" w:type="dxa"/>
            <w:vAlign w:val="bottom"/>
            <w:tcBorders>
              <w:bottom w:val="single" w:sz="8" w:color="0077C0"/>
            </w:tcBorders>
          </w:tcPr>
          <w:p>
            <w:pPr>
              <w:spacing w:after="0"/>
              <w:rPr>
                <w:sz w:val="17"/>
                <w:szCs w:val="17"/>
                <w:color w:val="auto"/>
              </w:rPr>
            </w:pPr>
          </w:p>
        </w:tc>
        <w:tc>
          <w:tcPr>
            <w:tcW w:w="1080" w:type="dxa"/>
            <w:vAlign w:val="bottom"/>
            <w:tcBorders>
              <w:bottom w:val="single" w:sz="8" w:color="0077C0"/>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21,313</w:t>
            </w:r>
          </w:p>
        </w:tc>
        <w:tc>
          <w:tcPr>
            <w:tcW w:w="380" w:type="dxa"/>
            <w:vAlign w:val="bottom"/>
            <w:tcBorders>
              <w:bottom w:val="single" w:sz="8" w:color="0077C0"/>
            </w:tcBorders>
          </w:tcPr>
          <w:p>
            <w:pPr>
              <w:spacing w:after="0"/>
              <w:rPr>
                <w:sz w:val="17"/>
                <w:szCs w:val="17"/>
                <w:color w:val="auto"/>
              </w:rPr>
            </w:pPr>
          </w:p>
        </w:tc>
        <w:tc>
          <w:tcPr>
            <w:tcW w:w="11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20,416</w:t>
            </w:r>
          </w:p>
        </w:tc>
      </w:tr>
      <w:tr>
        <w:trPr>
          <w:trHeight w:val="196"/>
        </w:trPr>
        <w:tc>
          <w:tcPr>
            <w:tcW w:w="812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deferred income taxes, net</w:t>
            </w:r>
          </w:p>
        </w:tc>
        <w:tc>
          <w:tcPr>
            <w:tcW w:w="500" w:type="dxa"/>
            <w:vAlign w:val="bottom"/>
            <w:tcBorders>
              <w:bottom w:val="single" w:sz="8" w:color="0077C0"/>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0077C0"/>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15,621</w:t>
            </w:r>
          </w:p>
        </w:tc>
        <w:tc>
          <w:tcPr>
            <w:tcW w:w="380" w:type="dxa"/>
            <w:vAlign w:val="bottom"/>
            <w:tcBorders>
              <w:bottom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14,661</w:t>
            </w:r>
          </w:p>
        </w:tc>
      </w:tr>
    </w:tbl>
    <w:p>
      <w:pPr>
        <w:spacing w:after="0" w:line="9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Deferred tax liabilities increased by $1,336 from year-end 2023, driven by deferred tax impacts resulting from the asset sales in Canada and foreign exchange impacts. Deferred tax assets increased by $1,273 from year-end 2023. This increase was primarily related to increases in foreign tax credits and foreign exchange impacts, partially offset by decreases in tax loss carryforwards and other accrued liabilities.</w:t>
      </w:r>
    </w:p>
    <w:p>
      <w:pPr>
        <w:spacing w:after="0" w:line="4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overall valuation allowance, which increased by $897 from year-end 2023, relates to deferred tax assets for U.S. foreign tax credit carryforwards, tax loss carryforwards and temporary differences. The valuation allowance reduces the deferred tax assets to amounts that are, in management’s assessment, more likely than not to be realized. At the end of 2024, the company had gross tax loss carryforwards of approximately $9,231 and tax credit carryforwards of approximately $288, primarily related to various international tax jurisdictions. Whereas some of these tax loss carryforwards do not have an expiration date, others expire at various times from 2025 through 2043. U.S. foreign tax credit carryforwards of $15,261 will expire between 2025 and 2034.</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2024 and 2023, deferred taxes were classified on the Consolidated Balance Sheet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At December 31</w:t>
            </w:r>
          </w:p>
        </w:tc>
      </w:tr>
      <w:tr>
        <w:trPr>
          <w:trHeight w:val="23"/>
        </w:trPr>
        <w:tc>
          <w:tcPr>
            <w:tcW w:w="8120" w:type="dxa"/>
            <w:vAlign w:val="bottom"/>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1040" w:type="dxa"/>
            <w:vAlign w:val="bottom"/>
            <w:tcBorders>
              <w:bottom w:val="single" w:sz="8" w:color="0077C0"/>
            </w:tcBorders>
          </w:tcPr>
          <w:p>
            <w:pPr>
              <w:spacing w:after="0"/>
              <w:rPr>
                <w:sz w:val="2"/>
                <w:szCs w:val="2"/>
                <w:color w:val="auto"/>
              </w:rPr>
            </w:pPr>
          </w:p>
        </w:tc>
        <w:tc>
          <w:tcPr>
            <w:tcW w:w="380" w:type="dxa"/>
            <w:vAlign w:val="bottom"/>
            <w:tcBorders>
              <w:bottom w:val="single" w:sz="8" w:color="0077C0"/>
            </w:tcBorders>
          </w:tcPr>
          <w:p>
            <w:pPr>
              <w:spacing w:after="0"/>
              <w:rPr>
                <w:sz w:val="2"/>
                <w:szCs w:val="2"/>
                <w:color w:val="auto"/>
              </w:rPr>
            </w:pPr>
          </w:p>
        </w:tc>
        <w:tc>
          <w:tcPr>
            <w:tcW w:w="1160" w:type="dxa"/>
            <w:vAlign w:val="bottom"/>
            <w:tcBorders>
              <w:bottom w:val="single" w:sz="8" w:color="0077C0"/>
            </w:tcBorders>
          </w:tcPr>
          <w:p>
            <w:pPr>
              <w:spacing w:after="0"/>
              <w:rPr>
                <w:sz w:val="2"/>
                <w:szCs w:val="2"/>
                <w:color w:val="auto"/>
              </w:rPr>
            </w:pPr>
          </w:p>
        </w:tc>
      </w:tr>
      <w:tr>
        <w:trPr>
          <w:trHeight w:val="190"/>
        </w:trPr>
        <w:tc>
          <w:tcPr>
            <w:tcW w:w="8120" w:type="dxa"/>
            <w:vAlign w:val="bottom"/>
            <w:tcBorders>
              <w:bottom w:val="single" w:sz="8" w:color="0077C0"/>
            </w:tcBorders>
          </w:tcPr>
          <w:p>
            <w:pPr>
              <w:spacing w:after="0"/>
              <w:rPr>
                <w:sz w:val="16"/>
                <w:szCs w:val="16"/>
                <w:color w:val="auto"/>
              </w:rPr>
            </w:pPr>
          </w:p>
        </w:tc>
        <w:tc>
          <w:tcPr>
            <w:tcW w:w="540" w:type="dxa"/>
            <w:vAlign w:val="bottom"/>
            <w:tcBorders>
              <w:bottom w:val="single" w:sz="8" w:color="0077C0"/>
            </w:tcBorders>
          </w:tcPr>
          <w:p>
            <w:pPr>
              <w:spacing w:after="0"/>
              <w:rPr>
                <w:sz w:val="16"/>
                <w:szCs w:val="16"/>
                <w:color w:val="auto"/>
              </w:rPr>
            </w:pPr>
          </w:p>
        </w:tc>
        <w:tc>
          <w:tcPr>
            <w:tcW w:w="1040" w:type="dxa"/>
            <w:vAlign w:val="bottom"/>
            <w:tcBorders>
              <w:bottom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0077C0"/>
            </w:tcBorders>
          </w:tcPr>
          <w:p>
            <w:pPr>
              <w:spacing w:after="0"/>
              <w:rPr>
                <w:sz w:val="16"/>
                <w:szCs w:val="16"/>
                <w:color w:val="auto"/>
              </w:rPr>
            </w:pPr>
          </w:p>
        </w:tc>
        <w:tc>
          <w:tcPr>
            <w:tcW w:w="11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190"/>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charges and other assets</w:t>
            </w:r>
          </w:p>
        </w:tc>
        <w:tc>
          <w:tcPr>
            <w:tcW w:w="5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right w:val="single" w:sz="8" w:color="0077C0"/>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(3,516)</w:t>
            </w:r>
          </w:p>
        </w:tc>
        <w:tc>
          <w:tcPr>
            <w:tcW w:w="3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(4,169)</w:t>
            </w:r>
          </w:p>
        </w:tc>
      </w:tr>
      <w:tr>
        <w:trPr>
          <w:trHeight w:val="191"/>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deferred income taxes</w:t>
            </w:r>
          </w:p>
        </w:tc>
        <w:tc>
          <w:tcPr>
            <w:tcW w:w="540" w:type="dxa"/>
            <w:vAlign w:val="bottom"/>
          </w:tcPr>
          <w:p>
            <w:pPr>
              <w:spacing w:after="0"/>
              <w:rPr>
                <w:sz w:val="16"/>
                <w:szCs w:val="16"/>
                <w:color w:val="auto"/>
              </w:rPr>
            </w:pPr>
          </w:p>
        </w:tc>
        <w:tc>
          <w:tcPr>
            <w:tcW w:w="1040" w:type="dxa"/>
            <w:vAlign w:val="bottom"/>
            <w:tcBorders>
              <w:right w:val="single" w:sz="8" w:color="0077C0"/>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19,137</w:t>
            </w:r>
          </w:p>
        </w:tc>
        <w:tc>
          <w:tcPr>
            <w:tcW w:w="380" w:type="dxa"/>
            <w:vAlign w:val="bottom"/>
          </w:tcPr>
          <w:p>
            <w:pPr>
              <w:spacing w:after="0"/>
              <w:rPr>
                <w:sz w:val="16"/>
                <w:szCs w:val="16"/>
                <w:color w:val="auto"/>
              </w:rPr>
            </w:pPr>
          </w:p>
        </w:tc>
        <w:tc>
          <w:tcPr>
            <w:tcW w:w="116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18,830</w:t>
            </w:r>
          </w:p>
        </w:tc>
      </w:tr>
      <w:tr>
        <w:trPr>
          <w:trHeight w:val="23"/>
        </w:trPr>
        <w:tc>
          <w:tcPr>
            <w:tcW w:w="8120" w:type="dxa"/>
            <w:vAlign w:val="bottom"/>
            <w:tcBorders>
              <w:bottom w:val="single" w:sz="8" w:color="0077C0"/>
            </w:tcBorders>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1040" w:type="dxa"/>
            <w:vAlign w:val="bottom"/>
            <w:tcBorders>
              <w:bottom w:val="single" w:sz="8" w:color="0077C0"/>
              <w:right w:val="single" w:sz="8" w:color="0077C0"/>
            </w:tcBorders>
          </w:tcPr>
          <w:p>
            <w:pPr>
              <w:spacing w:after="0"/>
              <w:rPr>
                <w:sz w:val="2"/>
                <w:szCs w:val="2"/>
                <w:color w:val="auto"/>
              </w:rPr>
            </w:pPr>
          </w:p>
        </w:tc>
        <w:tc>
          <w:tcPr>
            <w:tcW w:w="380" w:type="dxa"/>
            <w:vAlign w:val="bottom"/>
            <w:tcBorders>
              <w:bottom w:val="single" w:sz="8" w:color="0077C0"/>
            </w:tcBorders>
          </w:tcPr>
          <w:p>
            <w:pPr>
              <w:spacing w:after="0"/>
              <w:rPr>
                <w:sz w:val="2"/>
                <w:szCs w:val="2"/>
                <w:color w:val="auto"/>
              </w:rPr>
            </w:pPr>
          </w:p>
        </w:tc>
        <w:tc>
          <w:tcPr>
            <w:tcW w:w="1160" w:type="dxa"/>
            <w:vAlign w:val="bottom"/>
            <w:tcBorders>
              <w:bottom w:val="single" w:sz="8" w:color="0077C0"/>
            </w:tcBorders>
          </w:tcPr>
          <w:p>
            <w:pPr>
              <w:spacing w:after="0"/>
              <w:rPr>
                <w:sz w:val="2"/>
                <w:szCs w:val="2"/>
                <w:color w:val="auto"/>
              </w:rPr>
            </w:pPr>
          </w:p>
        </w:tc>
      </w:tr>
      <w:tr>
        <w:trPr>
          <w:trHeight w:val="190"/>
        </w:trPr>
        <w:tc>
          <w:tcPr>
            <w:tcW w:w="812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deferred income taxes, net</w:t>
            </w:r>
          </w:p>
        </w:tc>
        <w:tc>
          <w:tcPr>
            <w:tcW w:w="540" w:type="dxa"/>
            <w:vAlign w:val="bottom"/>
            <w:tcBorders>
              <w:bottom w:val="single" w:sz="8" w:color="0077C0"/>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0077C0"/>
              <w:right w:val="single" w:sz="8" w:color="0077C0"/>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15,621</w:t>
            </w:r>
          </w:p>
        </w:tc>
        <w:tc>
          <w:tcPr>
            <w:tcW w:w="380" w:type="dxa"/>
            <w:vAlign w:val="bottom"/>
            <w:tcBorders>
              <w:bottom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0077C0"/>
            </w:tcBorders>
          </w:tcPr>
          <w:p>
            <w:pPr>
              <w:ind w:left="700"/>
              <w:spacing w:after="0"/>
              <w:rPr>
                <w:sz w:val="20"/>
                <w:szCs w:val="20"/>
                <w:color w:val="auto"/>
              </w:rPr>
            </w:pPr>
            <w:r>
              <w:rPr>
                <w:rFonts w:ascii="Times New Roman" w:cs="Times New Roman" w:eastAsia="Times New Roman" w:hAnsi="Times New Roman"/>
                <w:sz w:val="14"/>
                <w:szCs w:val="14"/>
                <w:color w:val="auto"/>
              </w:rPr>
              <w:t>14,661</w:t>
            </w:r>
          </w:p>
        </w:tc>
      </w:tr>
    </w:tbl>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taxes, including U.S. state and foreign withholding taxes, are not accrued for unremitted earnings of international operations that have been or are intended to be reinvested indefinitely, or where no taxable temporary differences exist that are attributable to an investment in a foreign entity. The indefinite reinvestment assertion continues to apply for the purpose of determining deferred tax liabilities for U.S. state and foreign withholding tax purposes. It is not practicable to estimate the amount of state and foreign withholding taxes that might be payable on the possible remittance of earnings that are intended to be reinvested indefinitely. The company does not anticipate incurring significant additional taxes on remittances of earnings that are not indefinitely reinvested.</w:t>
      </w:r>
    </w:p>
    <w:p>
      <w:pPr>
        <w:spacing w:after="0" w:line="5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Uncertain Income Tax Positions </w:t>
      </w:r>
      <w:r>
        <w:rPr>
          <w:rFonts w:ascii="Times New Roman" w:cs="Times New Roman" w:eastAsia="Times New Roman" w:hAnsi="Times New Roman"/>
          <w:sz w:val="18"/>
          <w:szCs w:val="18"/>
          <w:color w:val="000000"/>
        </w:rPr>
        <w:t>The company recognizes a tax benefit in the financial statements for an uncertain tax position only if management’s</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assessment is that the position is more likely than not (i.e., a likelihood greater than 50 percent) to be allowed by the tax jurisdiction based solely on the technical merits of the position. The term “tax position” in the accounting standards for income taxes refers to a position in a previously filed tax return or a position expected to be taken in a future tax return that is reflected in measuring current or deferred income tax assets and liabilities for interim or annual periods.</w:t>
      </w:r>
    </w:p>
    <w:p>
      <w:pPr>
        <w:spacing w:after="0" w:line="5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following table indicates the changes to the company’s unrecognized tax benefits for the years ended December 31, 2024, 2023 and 2022. The term “unrecognized tax benefits” in the accounting standards for income taxes refers to the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89" w:name="page90"/>
    <w:bookmarkEnd w:id="89"/>
    <w:p>
      <w:pPr>
        <w:ind w:left="20"/>
        <w:spacing w:after="0"/>
        <w:tabs>
          <w:tab w:leader="none" w:pos="9460" w:val="left"/>
        </w:tabs>
        <w:rPr>
          <w:sz w:val="20"/>
          <w:szCs w:val="20"/>
          <w:color w:val="auto"/>
        </w:rPr>
      </w:pPr>
      <w:r>
        <w:rPr>
          <w:rFonts w:ascii="Arial" w:cs="Arial" w:eastAsia="Arial" w:hAnsi="Arial"/>
          <w:sz w:val="14"/>
          <w:szCs w:val="14"/>
          <w:color w:val="0077C0"/>
        </w:rPr>
        <w:t>Notes to the Consolidated Financial Statements</w:t>
      </w:r>
      <w:r>
        <w:rPr>
          <w:sz w:val="20"/>
          <w:szCs w:val="20"/>
          <w:color w:val="auto"/>
        </w:rPr>
        <w:tab/>
      </w:r>
      <w:r>
        <w:rPr>
          <w:rFonts w:ascii="Arial" w:cs="Arial" w:eastAsia="Arial" w:hAnsi="Arial"/>
          <w:sz w:val="14"/>
          <w:szCs w:val="14"/>
          <w:color w:val="0077C0"/>
        </w:rPr>
        <w:t>Financial Table of Contents</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11"/>
          <w:szCs w:val="11"/>
          <w:color w:val="0077C0"/>
        </w:rPr>
        <w:t>Millions of dollars, except per-share amounts</w:t>
      </w:r>
    </w:p>
    <w:p>
      <w:pPr>
        <w:spacing w:after="0" w:line="200" w:lineRule="exact"/>
        <w:rPr>
          <w:sz w:val="20"/>
          <w:szCs w:val="20"/>
          <w:color w:val="auto"/>
        </w:rPr>
      </w:pPr>
    </w:p>
    <w:p>
      <w:pPr>
        <w:spacing w:after="0" w:line="37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differences between a tax position taken or expected to be taken in a tax return and the benefit measured and recognized in the financial statements. Interest and penalties are not included.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6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4960" w:type="dxa"/>
            <w:vAlign w:val="bottom"/>
            <w:tcBorders>
              <w:bottom w:val="single" w:sz="8" w:color="0077C0"/>
            </w:tcBorders>
          </w:tcPr>
          <w:p>
            <w:pPr>
              <w:spacing w:after="0"/>
              <w:rPr>
                <w:sz w:val="2"/>
                <w:szCs w:val="2"/>
                <w:color w:val="auto"/>
              </w:rPr>
            </w:pPr>
          </w:p>
        </w:tc>
        <w:tc>
          <w:tcPr>
            <w:tcW w:w="2180" w:type="dxa"/>
            <w:vAlign w:val="bottom"/>
            <w:tcBorders>
              <w:bottom w:val="single" w:sz="8" w:color="0077C0"/>
            </w:tcBorders>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r>
      <w:tr>
        <w:trPr>
          <w:trHeight w:val="184"/>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January 1</w:t>
            </w:r>
          </w:p>
        </w:tc>
        <w:tc>
          <w:tcPr>
            <w:tcW w:w="218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5,452</w:t>
            </w:r>
          </w:p>
        </w:tc>
        <w:tc>
          <w:tcPr>
            <w:tcW w:w="66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5,323</w:t>
            </w:r>
          </w:p>
        </w:tc>
        <w:tc>
          <w:tcPr>
            <w:tcW w:w="64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5,288</w:t>
            </w:r>
          </w:p>
        </w:tc>
      </w:tr>
      <w:tr>
        <w:trPr>
          <w:trHeight w:val="191"/>
        </w:trPr>
        <w:tc>
          <w:tcPr>
            <w:tcW w:w="4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 currency effects</w:t>
            </w:r>
          </w:p>
        </w:tc>
        <w:tc>
          <w:tcPr>
            <w:tcW w:w="2180" w:type="dxa"/>
            <w:vAlign w:val="bottom"/>
          </w:tcPr>
          <w:p>
            <w:pPr>
              <w:spacing w:after="0"/>
              <w:rPr>
                <w:sz w:val="16"/>
                <w:szCs w:val="16"/>
                <w:color w:val="auto"/>
              </w:rPr>
            </w:pPr>
          </w:p>
        </w:tc>
        <w:tc>
          <w:tcPr>
            <w:tcW w:w="100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w:t>
            </w:r>
          </w:p>
        </w:tc>
        <w:tc>
          <w:tcPr>
            <w:tcW w:w="6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3"/>
        </w:trPr>
        <w:tc>
          <w:tcPr>
            <w:tcW w:w="4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Additions based on tax positions taken in current year</w:t>
            </w:r>
          </w:p>
        </w:tc>
        <w:tc>
          <w:tcPr>
            <w:tcW w:w="2180" w:type="dxa"/>
            <w:vAlign w:val="bottom"/>
          </w:tcPr>
          <w:p>
            <w:pPr>
              <w:spacing w:after="0"/>
              <w:rPr>
                <w:sz w:val="17"/>
                <w:szCs w:val="17"/>
                <w:color w:val="auto"/>
              </w:rPr>
            </w:pPr>
          </w:p>
        </w:tc>
        <w:tc>
          <w:tcPr>
            <w:tcW w:w="100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236</w:t>
            </w:r>
          </w:p>
        </w:tc>
        <w:tc>
          <w:tcPr>
            <w:tcW w:w="6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248</w:t>
            </w:r>
          </w:p>
        </w:tc>
        <w:tc>
          <w:tcPr>
            <w:tcW w:w="6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03"/>
        </w:trPr>
        <w:tc>
          <w:tcPr>
            <w:tcW w:w="4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Additions for tax positions taken in prior years</w:t>
            </w:r>
          </w:p>
        </w:tc>
        <w:tc>
          <w:tcPr>
            <w:tcW w:w="2180" w:type="dxa"/>
            <w:vAlign w:val="bottom"/>
          </w:tcPr>
          <w:p>
            <w:pPr>
              <w:spacing w:after="0"/>
              <w:rPr>
                <w:sz w:val="17"/>
                <w:szCs w:val="17"/>
                <w:color w:val="auto"/>
              </w:rPr>
            </w:pPr>
          </w:p>
        </w:tc>
        <w:tc>
          <w:tcPr>
            <w:tcW w:w="100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101</w:t>
            </w:r>
          </w:p>
        </w:tc>
        <w:tc>
          <w:tcPr>
            <w:tcW w:w="6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265</w:t>
            </w:r>
          </w:p>
        </w:tc>
        <w:tc>
          <w:tcPr>
            <w:tcW w:w="6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r>
      <w:tr>
        <w:trPr>
          <w:trHeight w:val="203"/>
        </w:trPr>
        <w:tc>
          <w:tcPr>
            <w:tcW w:w="4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Reductions based on tax positions taken in current year</w:t>
            </w:r>
          </w:p>
        </w:tc>
        <w:tc>
          <w:tcPr>
            <w:tcW w:w="2180" w:type="dxa"/>
            <w:vAlign w:val="bottom"/>
          </w:tcPr>
          <w:p>
            <w:pPr>
              <w:spacing w:after="0"/>
              <w:rPr>
                <w:sz w:val="17"/>
                <w:szCs w:val="17"/>
                <w:color w:val="auto"/>
              </w:rPr>
            </w:pPr>
          </w:p>
        </w:tc>
        <w:tc>
          <w:tcPr>
            <w:tcW w:w="1000" w:type="dxa"/>
            <w:vAlign w:val="bottom"/>
            <w:tcBorders>
              <w:right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(54)</w:t>
            </w:r>
          </w:p>
        </w:tc>
        <w:tc>
          <w:tcPr>
            <w:tcW w:w="6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(104)</w:t>
            </w:r>
          </w:p>
        </w:tc>
        <w:tc>
          <w:tcPr>
            <w:tcW w:w="6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4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Reductions for tax positions taken in prior years</w:t>
            </w:r>
          </w:p>
        </w:tc>
        <w:tc>
          <w:tcPr>
            <w:tcW w:w="2180" w:type="dxa"/>
            <w:vAlign w:val="bottom"/>
          </w:tcPr>
          <w:p>
            <w:pPr>
              <w:spacing w:after="0"/>
              <w:rPr>
                <w:sz w:val="17"/>
                <w:szCs w:val="17"/>
                <w:color w:val="auto"/>
              </w:rPr>
            </w:pPr>
          </w:p>
        </w:tc>
        <w:tc>
          <w:tcPr>
            <w:tcW w:w="1000" w:type="dxa"/>
            <w:vAlign w:val="bottom"/>
            <w:tcBorders>
              <w:right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(883)</w:t>
            </w:r>
          </w:p>
        </w:tc>
        <w:tc>
          <w:tcPr>
            <w:tcW w:w="6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(251)</w:t>
            </w:r>
          </w:p>
        </w:tc>
        <w:tc>
          <w:tcPr>
            <w:tcW w:w="6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r>
      <w:tr>
        <w:trPr>
          <w:trHeight w:val="203"/>
        </w:trPr>
        <w:tc>
          <w:tcPr>
            <w:tcW w:w="4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Settlements with taxing authorities in current year</w:t>
            </w:r>
          </w:p>
        </w:tc>
        <w:tc>
          <w:tcPr>
            <w:tcW w:w="2180" w:type="dxa"/>
            <w:vAlign w:val="bottom"/>
          </w:tcPr>
          <w:p>
            <w:pPr>
              <w:spacing w:after="0"/>
              <w:rPr>
                <w:sz w:val="17"/>
                <w:szCs w:val="17"/>
                <w:color w:val="auto"/>
              </w:rPr>
            </w:pPr>
          </w:p>
        </w:tc>
        <w:tc>
          <w:tcPr>
            <w:tcW w:w="100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6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r>
      <w:tr>
        <w:trPr>
          <w:trHeight w:val="23"/>
        </w:trPr>
        <w:tc>
          <w:tcPr>
            <w:tcW w:w="4960" w:type="dxa"/>
            <w:vAlign w:val="bottom"/>
            <w:tcBorders>
              <w:bottom w:val="single" w:sz="8" w:color="0077C0"/>
            </w:tcBorders>
          </w:tcPr>
          <w:p>
            <w:pPr>
              <w:spacing w:after="0"/>
              <w:rPr>
                <w:sz w:val="2"/>
                <w:szCs w:val="2"/>
                <w:color w:val="auto"/>
              </w:rPr>
            </w:pPr>
          </w:p>
        </w:tc>
        <w:tc>
          <w:tcPr>
            <w:tcW w:w="2180" w:type="dxa"/>
            <w:vAlign w:val="bottom"/>
            <w:tcBorders>
              <w:bottom w:val="single" w:sz="8" w:color="0077C0"/>
            </w:tcBorders>
          </w:tcPr>
          <w:p>
            <w:pPr>
              <w:spacing w:after="0"/>
              <w:rPr>
                <w:sz w:val="2"/>
                <w:szCs w:val="2"/>
                <w:color w:val="auto"/>
              </w:rPr>
            </w:pPr>
          </w:p>
        </w:tc>
        <w:tc>
          <w:tcPr>
            <w:tcW w:w="1000" w:type="dxa"/>
            <w:vAlign w:val="bottom"/>
            <w:tcBorders>
              <w:bottom w:val="single" w:sz="8" w:color="0077C0"/>
              <w:right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r>
      <w:tr>
        <w:trPr>
          <w:trHeight w:val="190"/>
        </w:trPr>
        <w:tc>
          <w:tcPr>
            <w:tcW w:w="49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w:t>
            </w:r>
          </w:p>
        </w:tc>
        <w:tc>
          <w:tcPr>
            <w:tcW w:w="2180" w:type="dxa"/>
            <w:vAlign w:val="bottom"/>
            <w:tcBorders>
              <w:bottom w:val="single" w:sz="8" w:color="0077C0"/>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0077C0"/>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4,852</w:t>
            </w:r>
          </w:p>
        </w:tc>
        <w:tc>
          <w:tcPr>
            <w:tcW w:w="660" w:type="dxa"/>
            <w:vAlign w:val="bottom"/>
            <w:tcBorders>
              <w:bottom w:val="single" w:sz="8" w:color="0077C0"/>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5,452</w:t>
            </w:r>
          </w:p>
        </w:tc>
        <w:tc>
          <w:tcPr>
            <w:tcW w:w="640" w:type="dxa"/>
            <w:vAlign w:val="bottom"/>
            <w:tcBorders>
              <w:bottom w:val="single" w:sz="8" w:color="0077C0"/>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5,323</w:t>
            </w:r>
          </w:p>
        </w:tc>
      </w:tr>
    </w:tbl>
    <w:p>
      <w:pPr>
        <w:spacing w:after="0" w:line="13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Approximately 76 percent of the $4,852 of unrecognized tax benefits at December 31, 2024, would have an impact on the effective tax rate if subsequently recognized. Certain of these unrecognized tax benefits relate to tax carryforwards that may require a full valuation allowance at the time of any such recognition.</w:t>
      </w:r>
    </w:p>
    <w:p>
      <w:pPr>
        <w:spacing w:after="0" w:line="4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company and its subsidiaries are subject to income taxation and audits throughout the world. With certain exceptions, income tax examinations are completed through 2016 for the United States and 2007 for other major jurisdictions.</w:t>
      </w:r>
    </w:p>
    <w:p>
      <w:pPr>
        <w:spacing w:after="0" w:line="2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company engages in ongoing discussions with tax authorities regarding the resolution of tax matters in the various jurisdictions. Both the outcome of these tax matters and the timing of resolution and/or closure of the tax audits are highly uncertain. Of the amount of unrecognized tax benefits the company has identified as of December 31, 2024, it is reasonably possible that developments on tax matters in certain tax jurisdictions may result in decreases of approximately 68 percent within the next 12 months. Given the number of years that still remain subject to examination and the number of matters being examined in the various tax jurisdictions, the company is unable to estimate the range of possible adjustments to the balance of unrecognized tax benefits.</w:t>
      </w:r>
    </w:p>
    <w:p>
      <w:pPr>
        <w:spacing w:after="0" w:line="5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On the Consolidated Statement of Income, the company reports interest and penalties related to liabilities for uncertain tax positions as “Income Tax Expense (Benefit).” As of December 31, 2024, accrued expense of $268 for anticipated interest and penalties was included on the Consolidated Balance Sheet, compared with accrued expense of $229 as of year-end 2023. Income tax expense (benefit) associated with interest and penalties was $40, $124 and $152 in 2024, 2023 and 2022, respectively.</w:t>
      </w:r>
    </w:p>
    <w:p>
      <w:pPr>
        <w:spacing w:after="0" w:line="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FF0000"/>
        </w:rPr>
        <w:t>Taxes Other Than on Income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60" w:type="dxa"/>
            <w:vAlign w:val="bottom"/>
          </w:tcPr>
          <w:p>
            <w:pPr>
              <w:spacing w:after="0"/>
              <w:rPr>
                <w:sz w:val="17"/>
                <w:szCs w:val="17"/>
                <w:color w:val="auto"/>
              </w:rPr>
            </w:pPr>
          </w:p>
        </w:tc>
        <w:tc>
          <w:tcPr>
            <w:tcW w:w="580" w:type="dxa"/>
            <w:vAlign w:val="bottom"/>
            <w:tcBorders>
              <w:bottom w:val="single" w:sz="8" w:color="0077C0"/>
            </w:tcBorders>
          </w:tcPr>
          <w:p>
            <w:pPr>
              <w:spacing w:after="0"/>
              <w:rPr>
                <w:sz w:val="17"/>
                <w:szCs w:val="17"/>
                <w:color w:val="auto"/>
              </w:rPr>
            </w:pPr>
          </w:p>
        </w:tc>
        <w:tc>
          <w:tcPr>
            <w:tcW w:w="1000" w:type="dxa"/>
            <w:vAlign w:val="bottom"/>
            <w:tcBorders>
              <w:bottom w:val="single" w:sz="8" w:color="0077C0"/>
            </w:tcBorders>
          </w:tcPr>
          <w:p>
            <w:pPr>
              <w:spacing w:after="0"/>
              <w:rPr>
                <w:sz w:val="17"/>
                <w:szCs w:val="17"/>
                <w:color w:val="auto"/>
              </w:rPr>
            </w:pPr>
          </w:p>
        </w:tc>
        <w:tc>
          <w:tcPr>
            <w:tcW w:w="660" w:type="dxa"/>
            <w:vAlign w:val="bottom"/>
            <w:tcBorders>
              <w:bottom w:val="single" w:sz="8" w:color="0077C0"/>
            </w:tcBorders>
          </w:tcPr>
          <w:p>
            <w:pPr>
              <w:spacing w:after="0"/>
              <w:rPr>
                <w:sz w:val="17"/>
                <w:szCs w:val="17"/>
                <w:color w:val="auto"/>
              </w:rPr>
            </w:pPr>
          </w:p>
        </w:tc>
        <w:tc>
          <w:tcPr>
            <w:tcW w:w="920" w:type="dxa"/>
            <w:vAlign w:val="bottom"/>
            <w:tcBorders>
              <w:bottom w:val="single" w:sz="8" w:color="0077C0"/>
            </w:tcBorders>
          </w:tcPr>
          <w:p>
            <w:pPr>
              <w:spacing w:after="0"/>
              <w:rPr>
                <w:sz w:val="17"/>
                <w:szCs w:val="17"/>
                <w:color w:val="auto"/>
              </w:rPr>
            </w:pPr>
          </w:p>
        </w:tc>
        <w:tc>
          <w:tcPr>
            <w:tcW w:w="1520" w:type="dxa"/>
            <w:vAlign w:val="bottom"/>
            <w:tcBorders>
              <w:bottom w:val="single" w:sz="8" w:color="0077C0"/>
            </w:tcBorders>
            <w:gridSpan w:val="2"/>
          </w:tcPr>
          <w:p>
            <w:pPr>
              <w:jc w:val="right"/>
              <w:spacing w:after="0"/>
              <w:rPr>
                <w:sz w:val="20"/>
                <w:szCs w:val="20"/>
                <w:color w:val="auto"/>
              </w:rPr>
            </w:pPr>
            <w:r>
              <w:rPr>
                <w:rFonts w:ascii="Times New Roman" w:cs="Times New Roman" w:eastAsia="Times New Roman" w:hAnsi="Times New Roman"/>
                <w:sz w:val="14"/>
                <w:szCs w:val="14"/>
                <w:color w:val="auto"/>
              </w:rPr>
              <w:t>Year ended December 31</w:t>
            </w:r>
          </w:p>
        </w:tc>
      </w:tr>
      <w:tr>
        <w:trPr>
          <w:trHeight w:val="196"/>
        </w:trPr>
        <w:tc>
          <w:tcPr>
            <w:tcW w:w="6560" w:type="dxa"/>
            <w:vAlign w:val="bottom"/>
            <w:tcBorders>
              <w:bottom w:val="single" w:sz="8" w:color="0077C0"/>
            </w:tcBorders>
          </w:tcPr>
          <w:p>
            <w:pPr>
              <w:spacing w:after="0"/>
              <w:rPr>
                <w:sz w:val="17"/>
                <w:szCs w:val="17"/>
                <w:color w:val="auto"/>
              </w:rPr>
            </w:pPr>
          </w:p>
        </w:tc>
        <w:tc>
          <w:tcPr>
            <w:tcW w:w="580" w:type="dxa"/>
            <w:vAlign w:val="bottom"/>
            <w:tcBorders>
              <w:bottom w:val="single" w:sz="8" w:color="0077C0"/>
            </w:tcBorders>
          </w:tcPr>
          <w:p>
            <w:pPr>
              <w:spacing w:after="0"/>
              <w:rPr>
                <w:sz w:val="17"/>
                <w:szCs w:val="17"/>
                <w:color w:val="auto"/>
              </w:rPr>
            </w:pPr>
          </w:p>
        </w:tc>
        <w:tc>
          <w:tcPr>
            <w:tcW w:w="100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0077C0"/>
            </w:tcBorders>
          </w:tcPr>
          <w:p>
            <w:pPr>
              <w:spacing w:after="0"/>
              <w:rPr>
                <w:sz w:val="17"/>
                <w:szCs w:val="17"/>
                <w:color w:val="auto"/>
              </w:rPr>
            </w:pPr>
          </w:p>
        </w:tc>
        <w:tc>
          <w:tcPr>
            <w:tcW w:w="9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640" w:type="dxa"/>
            <w:vAlign w:val="bottom"/>
            <w:tcBorders>
              <w:bottom w:val="single" w:sz="8" w:color="0077C0"/>
            </w:tcBorders>
          </w:tcPr>
          <w:p>
            <w:pPr>
              <w:spacing w:after="0"/>
              <w:rPr>
                <w:sz w:val="17"/>
                <w:szCs w:val="17"/>
                <w:color w:val="auto"/>
              </w:rPr>
            </w:pPr>
          </w:p>
        </w:tc>
        <w:tc>
          <w:tcPr>
            <w:tcW w:w="8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r>
      <w:tr>
        <w:trPr>
          <w:trHeight w:val="188"/>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580" w:type="dxa"/>
            <w:vAlign w:val="bottom"/>
          </w:tcPr>
          <w:p>
            <w:pPr>
              <w:spacing w:after="0"/>
              <w:rPr>
                <w:sz w:val="16"/>
                <w:szCs w:val="16"/>
                <w:color w:val="auto"/>
              </w:rPr>
            </w:pPr>
          </w:p>
        </w:tc>
        <w:tc>
          <w:tcPr>
            <w:tcW w:w="1000" w:type="dxa"/>
            <w:vAlign w:val="bottom"/>
            <w:tcBorders>
              <w:right w:val="single" w:sz="8" w:color="0077C0"/>
            </w:tcBorders>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3"/>
        </w:trPr>
        <w:tc>
          <w:tcPr>
            <w:tcW w:w="6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Import duties and other levies</w:t>
            </w:r>
          </w:p>
        </w:tc>
        <w:tc>
          <w:tcPr>
            <w:tcW w:w="58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8</w:t>
            </w:r>
          </w:p>
        </w:tc>
        <w:tc>
          <w:tcPr>
            <w:tcW w:w="66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64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03"/>
        </w:trPr>
        <w:tc>
          <w:tcPr>
            <w:tcW w:w="6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Property and other miscellaneous taxes</w:t>
            </w:r>
          </w:p>
        </w:tc>
        <w:tc>
          <w:tcPr>
            <w:tcW w:w="580" w:type="dxa"/>
            <w:vAlign w:val="bottom"/>
          </w:tcPr>
          <w:p>
            <w:pPr>
              <w:spacing w:after="0"/>
              <w:rPr>
                <w:sz w:val="17"/>
                <w:szCs w:val="17"/>
                <w:color w:val="auto"/>
              </w:rPr>
            </w:pPr>
          </w:p>
        </w:tc>
        <w:tc>
          <w:tcPr>
            <w:tcW w:w="100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977</w:t>
            </w:r>
          </w:p>
        </w:tc>
        <w:tc>
          <w:tcPr>
            <w:tcW w:w="6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818</w:t>
            </w:r>
          </w:p>
        </w:tc>
        <w:tc>
          <w:tcPr>
            <w:tcW w:w="6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w:t>
            </w:r>
          </w:p>
        </w:tc>
      </w:tr>
      <w:tr>
        <w:trPr>
          <w:trHeight w:val="203"/>
        </w:trPr>
        <w:tc>
          <w:tcPr>
            <w:tcW w:w="6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Payroll taxes</w:t>
            </w:r>
          </w:p>
        </w:tc>
        <w:tc>
          <w:tcPr>
            <w:tcW w:w="580" w:type="dxa"/>
            <w:vAlign w:val="bottom"/>
          </w:tcPr>
          <w:p>
            <w:pPr>
              <w:spacing w:after="0"/>
              <w:rPr>
                <w:sz w:val="17"/>
                <w:szCs w:val="17"/>
                <w:color w:val="auto"/>
              </w:rPr>
            </w:pPr>
          </w:p>
        </w:tc>
        <w:tc>
          <w:tcPr>
            <w:tcW w:w="100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296</w:t>
            </w:r>
          </w:p>
        </w:tc>
        <w:tc>
          <w:tcPr>
            <w:tcW w:w="6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286</w:t>
            </w:r>
          </w:p>
        </w:tc>
        <w:tc>
          <w:tcPr>
            <w:tcW w:w="6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r>
      <w:tr>
        <w:trPr>
          <w:trHeight w:val="203"/>
        </w:trPr>
        <w:tc>
          <w:tcPr>
            <w:tcW w:w="6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Taxes on production</w:t>
            </w:r>
          </w:p>
        </w:tc>
        <w:tc>
          <w:tcPr>
            <w:tcW w:w="580" w:type="dxa"/>
            <w:vAlign w:val="bottom"/>
          </w:tcPr>
          <w:p>
            <w:pPr>
              <w:spacing w:after="0"/>
              <w:rPr>
                <w:sz w:val="17"/>
                <w:szCs w:val="17"/>
                <w:color w:val="auto"/>
              </w:rPr>
            </w:pPr>
          </w:p>
        </w:tc>
        <w:tc>
          <w:tcPr>
            <w:tcW w:w="100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842</w:t>
            </w:r>
          </w:p>
        </w:tc>
        <w:tc>
          <w:tcPr>
            <w:tcW w:w="6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801</w:t>
            </w:r>
          </w:p>
        </w:tc>
        <w:tc>
          <w:tcPr>
            <w:tcW w:w="6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w:t>
            </w:r>
          </w:p>
        </w:tc>
      </w:tr>
      <w:tr>
        <w:trPr>
          <w:trHeight w:val="23"/>
        </w:trPr>
        <w:tc>
          <w:tcPr>
            <w:tcW w:w="656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1000" w:type="dxa"/>
            <w:vAlign w:val="bottom"/>
            <w:tcBorders>
              <w:bottom w:val="single" w:sz="8" w:color="0077C0"/>
              <w:right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r>
      <w:tr>
        <w:trPr>
          <w:trHeight w:val="190"/>
        </w:trPr>
        <w:tc>
          <w:tcPr>
            <w:tcW w:w="65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United States</w:t>
            </w:r>
          </w:p>
        </w:tc>
        <w:tc>
          <w:tcPr>
            <w:tcW w:w="580" w:type="dxa"/>
            <w:vAlign w:val="bottom"/>
            <w:tcBorders>
              <w:bottom w:val="single" w:sz="8" w:color="0077C0"/>
            </w:tcBorders>
          </w:tcPr>
          <w:p>
            <w:pPr>
              <w:spacing w:after="0"/>
              <w:rPr>
                <w:sz w:val="16"/>
                <w:szCs w:val="16"/>
                <w:color w:val="auto"/>
              </w:rPr>
            </w:pPr>
          </w:p>
        </w:tc>
        <w:tc>
          <w:tcPr>
            <w:tcW w:w="1000" w:type="dxa"/>
            <w:vAlign w:val="bottom"/>
            <w:tcBorders>
              <w:bottom w:val="single" w:sz="8" w:color="0077C0"/>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2,123</w:t>
            </w:r>
          </w:p>
        </w:tc>
        <w:tc>
          <w:tcPr>
            <w:tcW w:w="660" w:type="dxa"/>
            <w:vAlign w:val="bottom"/>
            <w:tcBorders>
              <w:bottom w:val="single" w:sz="8" w:color="0077C0"/>
            </w:tcBorders>
          </w:tcPr>
          <w:p>
            <w:pPr>
              <w:spacing w:after="0"/>
              <w:rPr>
                <w:sz w:val="16"/>
                <w:szCs w:val="16"/>
                <w:color w:val="auto"/>
              </w:rPr>
            </w:pPr>
          </w:p>
        </w:tc>
        <w:tc>
          <w:tcPr>
            <w:tcW w:w="92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1,896</w:t>
            </w:r>
          </w:p>
        </w:tc>
        <w:tc>
          <w:tcPr>
            <w:tcW w:w="640" w:type="dxa"/>
            <w:vAlign w:val="bottom"/>
            <w:tcBorders>
              <w:bottom w:val="single" w:sz="8" w:color="0077C0"/>
            </w:tcBorders>
          </w:tcPr>
          <w:p>
            <w:pPr>
              <w:spacing w:after="0"/>
              <w:rPr>
                <w:sz w:val="16"/>
                <w:szCs w:val="16"/>
                <w:color w:val="auto"/>
              </w:rPr>
            </w:pPr>
          </w:p>
        </w:tc>
        <w:tc>
          <w:tcPr>
            <w:tcW w:w="8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1,856</w:t>
            </w:r>
          </w:p>
        </w:tc>
      </w:tr>
      <w:tr>
        <w:trPr>
          <w:trHeight w:val="188"/>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International</w:t>
            </w:r>
          </w:p>
        </w:tc>
        <w:tc>
          <w:tcPr>
            <w:tcW w:w="580" w:type="dxa"/>
            <w:vAlign w:val="bottom"/>
          </w:tcPr>
          <w:p>
            <w:pPr>
              <w:spacing w:after="0"/>
              <w:rPr>
                <w:sz w:val="16"/>
                <w:szCs w:val="16"/>
                <w:color w:val="auto"/>
              </w:rPr>
            </w:pPr>
          </w:p>
        </w:tc>
        <w:tc>
          <w:tcPr>
            <w:tcW w:w="1000" w:type="dxa"/>
            <w:vAlign w:val="bottom"/>
            <w:tcBorders>
              <w:right w:val="single" w:sz="8" w:color="0077C0"/>
            </w:tcBorders>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3"/>
        </w:trPr>
        <w:tc>
          <w:tcPr>
            <w:tcW w:w="6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Import duties and other levies</w:t>
            </w:r>
          </w:p>
        </w:tc>
        <w:tc>
          <w:tcPr>
            <w:tcW w:w="580" w:type="dxa"/>
            <w:vAlign w:val="bottom"/>
          </w:tcPr>
          <w:p>
            <w:pPr>
              <w:spacing w:after="0"/>
              <w:rPr>
                <w:sz w:val="16"/>
                <w:szCs w:val="16"/>
                <w:color w:val="auto"/>
              </w:rPr>
            </w:pPr>
          </w:p>
        </w:tc>
        <w:tc>
          <w:tcPr>
            <w:tcW w:w="100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90</w:t>
            </w:r>
          </w:p>
        </w:tc>
        <w:tc>
          <w:tcPr>
            <w:tcW w:w="66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72</w:t>
            </w:r>
          </w:p>
        </w:tc>
        <w:tc>
          <w:tcPr>
            <w:tcW w:w="6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203"/>
        </w:trPr>
        <w:tc>
          <w:tcPr>
            <w:tcW w:w="6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Property and other miscellaneous taxes</w:t>
            </w:r>
          </w:p>
        </w:tc>
        <w:tc>
          <w:tcPr>
            <w:tcW w:w="580" w:type="dxa"/>
            <w:vAlign w:val="bottom"/>
          </w:tcPr>
          <w:p>
            <w:pPr>
              <w:spacing w:after="0"/>
              <w:rPr>
                <w:sz w:val="17"/>
                <w:szCs w:val="17"/>
                <w:color w:val="auto"/>
              </w:rPr>
            </w:pPr>
          </w:p>
        </w:tc>
        <w:tc>
          <w:tcPr>
            <w:tcW w:w="100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2,283</w:t>
            </w:r>
          </w:p>
        </w:tc>
        <w:tc>
          <w:tcPr>
            <w:tcW w:w="6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2,004</w:t>
            </w:r>
          </w:p>
        </w:tc>
        <w:tc>
          <w:tcPr>
            <w:tcW w:w="6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1,789</w:t>
            </w:r>
          </w:p>
        </w:tc>
      </w:tr>
      <w:tr>
        <w:trPr>
          <w:trHeight w:val="203"/>
        </w:trPr>
        <w:tc>
          <w:tcPr>
            <w:tcW w:w="6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Payroll taxes</w:t>
            </w:r>
          </w:p>
        </w:tc>
        <w:tc>
          <w:tcPr>
            <w:tcW w:w="580" w:type="dxa"/>
            <w:vAlign w:val="bottom"/>
          </w:tcPr>
          <w:p>
            <w:pPr>
              <w:spacing w:after="0"/>
              <w:rPr>
                <w:sz w:val="17"/>
                <w:szCs w:val="17"/>
                <w:color w:val="auto"/>
              </w:rPr>
            </w:pPr>
          </w:p>
        </w:tc>
        <w:tc>
          <w:tcPr>
            <w:tcW w:w="100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125</w:t>
            </w:r>
          </w:p>
        </w:tc>
        <w:tc>
          <w:tcPr>
            <w:tcW w:w="6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121</w:t>
            </w:r>
          </w:p>
        </w:tc>
        <w:tc>
          <w:tcPr>
            <w:tcW w:w="6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r>
      <w:tr>
        <w:trPr>
          <w:trHeight w:val="203"/>
        </w:trPr>
        <w:tc>
          <w:tcPr>
            <w:tcW w:w="6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Taxes on production</w:t>
            </w:r>
          </w:p>
        </w:tc>
        <w:tc>
          <w:tcPr>
            <w:tcW w:w="580" w:type="dxa"/>
            <w:vAlign w:val="bottom"/>
          </w:tcPr>
          <w:p>
            <w:pPr>
              <w:spacing w:after="0"/>
              <w:rPr>
                <w:sz w:val="17"/>
                <w:szCs w:val="17"/>
                <w:color w:val="auto"/>
              </w:rPr>
            </w:pPr>
          </w:p>
        </w:tc>
        <w:tc>
          <w:tcPr>
            <w:tcW w:w="100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95</w:t>
            </w:r>
          </w:p>
        </w:tc>
        <w:tc>
          <w:tcPr>
            <w:tcW w:w="6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127</w:t>
            </w:r>
          </w:p>
        </w:tc>
        <w:tc>
          <w:tcPr>
            <w:tcW w:w="6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r>
      <w:tr>
        <w:trPr>
          <w:trHeight w:val="23"/>
        </w:trPr>
        <w:tc>
          <w:tcPr>
            <w:tcW w:w="656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1000" w:type="dxa"/>
            <w:vAlign w:val="bottom"/>
            <w:tcBorders>
              <w:bottom w:val="single" w:sz="8" w:color="0077C0"/>
              <w:right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r>
      <w:tr>
        <w:trPr>
          <w:trHeight w:val="190"/>
        </w:trPr>
        <w:tc>
          <w:tcPr>
            <w:tcW w:w="65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International</w:t>
            </w:r>
          </w:p>
        </w:tc>
        <w:tc>
          <w:tcPr>
            <w:tcW w:w="580" w:type="dxa"/>
            <w:vAlign w:val="bottom"/>
            <w:tcBorders>
              <w:bottom w:val="single" w:sz="8" w:color="0077C0"/>
            </w:tcBorders>
          </w:tcPr>
          <w:p>
            <w:pPr>
              <w:spacing w:after="0"/>
              <w:rPr>
                <w:sz w:val="16"/>
                <w:szCs w:val="16"/>
                <w:color w:val="auto"/>
              </w:rPr>
            </w:pPr>
          </w:p>
        </w:tc>
        <w:tc>
          <w:tcPr>
            <w:tcW w:w="1000" w:type="dxa"/>
            <w:vAlign w:val="bottom"/>
            <w:tcBorders>
              <w:bottom w:val="single" w:sz="8" w:color="0077C0"/>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2,593</w:t>
            </w:r>
          </w:p>
        </w:tc>
        <w:tc>
          <w:tcPr>
            <w:tcW w:w="660" w:type="dxa"/>
            <w:vAlign w:val="bottom"/>
            <w:tcBorders>
              <w:bottom w:val="single" w:sz="8" w:color="0077C0"/>
            </w:tcBorders>
          </w:tcPr>
          <w:p>
            <w:pPr>
              <w:spacing w:after="0"/>
              <w:rPr>
                <w:sz w:val="16"/>
                <w:szCs w:val="16"/>
                <w:color w:val="auto"/>
              </w:rPr>
            </w:pPr>
          </w:p>
        </w:tc>
        <w:tc>
          <w:tcPr>
            <w:tcW w:w="92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2,324</w:t>
            </w:r>
          </w:p>
        </w:tc>
        <w:tc>
          <w:tcPr>
            <w:tcW w:w="640" w:type="dxa"/>
            <w:vAlign w:val="bottom"/>
            <w:tcBorders>
              <w:bottom w:val="single" w:sz="8" w:color="0077C0"/>
            </w:tcBorders>
          </w:tcPr>
          <w:p>
            <w:pPr>
              <w:spacing w:after="0"/>
              <w:rPr>
                <w:sz w:val="16"/>
                <w:szCs w:val="16"/>
                <w:color w:val="auto"/>
              </w:rPr>
            </w:pPr>
          </w:p>
        </w:tc>
        <w:tc>
          <w:tcPr>
            <w:tcW w:w="8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2,176</w:t>
            </w:r>
          </w:p>
        </w:tc>
      </w:tr>
      <w:tr>
        <w:trPr>
          <w:trHeight w:val="196"/>
        </w:trPr>
        <w:tc>
          <w:tcPr>
            <w:tcW w:w="65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taxes other than on income</w:t>
            </w:r>
          </w:p>
        </w:tc>
        <w:tc>
          <w:tcPr>
            <w:tcW w:w="580" w:type="dxa"/>
            <w:vAlign w:val="bottom"/>
            <w:tcBorders>
              <w:bottom w:val="single" w:sz="8" w:color="0077C0"/>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0077C0"/>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4,716</w:t>
            </w:r>
          </w:p>
        </w:tc>
        <w:tc>
          <w:tcPr>
            <w:tcW w:w="660" w:type="dxa"/>
            <w:vAlign w:val="bottom"/>
            <w:tcBorders>
              <w:bottom w:val="single" w:sz="8" w:color="0077C0"/>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4,220</w:t>
            </w:r>
          </w:p>
        </w:tc>
        <w:tc>
          <w:tcPr>
            <w:tcW w:w="640" w:type="dxa"/>
            <w:vAlign w:val="bottom"/>
            <w:tcBorders>
              <w:bottom w:val="single" w:sz="8" w:color="0077C0"/>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4,032</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90" w:name="page91"/>
    <w:bookmarkEnd w:id="90"/>
    <w:tbl>
      <w:tblPr>
        <w:tblLayout w:type="fixed"/>
        <w:tblInd w:w="20" w:type="dxa"/>
        <w:tblCellMar>
          <w:top w:w="0" w:type="dxa"/>
          <w:left w:w="0" w:type="dxa"/>
          <w:bottom w:w="0" w:type="dxa"/>
          <w:right w:w="0" w:type="dxa"/>
        </w:tblCellMar>
      </w:tblPr>
      <w:tr>
        <w:trPr>
          <w:trHeight w:val="204"/>
        </w:trPr>
        <w:tc>
          <w:tcPr>
            <w:tcW w:w="6260" w:type="dxa"/>
            <w:vAlign w:val="bottom"/>
          </w:tcPr>
          <w:p>
            <w:pPr>
              <w:spacing w:after="0"/>
              <w:rPr>
                <w:sz w:val="20"/>
                <w:szCs w:val="20"/>
                <w:color w:val="auto"/>
              </w:rPr>
            </w:pPr>
            <w:r>
              <w:rPr>
                <w:rFonts w:ascii="Arial" w:cs="Arial" w:eastAsia="Arial" w:hAnsi="Arial"/>
                <w:sz w:val="14"/>
                <w:szCs w:val="14"/>
                <w:color w:val="0077C0"/>
              </w:rPr>
              <w:t>Notes to the Consolidated Financial Statements</w:t>
            </w:r>
          </w:p>
        </w:tc>
        <w:tc>
          <w:tcPr>
            <w:tcW w:w="4940" w:type="dxa"/>
            <w:vAlign w:val="bottom"/>
          </w:tcPr>
          <w:p>
            <w:pPr>
              <w:ind w:left="3200"/>
              <w:spacing w:after="0"/>
              <w:rPr>
                <w:sz w:val="20"/>
                <w:szCs w:val="20"/>
                <w:color w:val="auto"/>
              </w:rPr>
            </w:pPr>
            <w:r>
              <w:rPr>
                <w:rFonts w:ascii="Arial" w:cs="Arial" w:eastAsia="Arial" w:hAnsi="Arial"/>
                <w:sz w:val="14"/>
                <w:szCs w:val="14"/>
                <w:color w:val="0077C0"/>
              </w:rPr>
              <w:t>Financial Table of Contents</w:t>
            </w:r>
          </w:p>
        </w:tc>
      </w:tr>
      <w:tr>
        <w:trPr>
          <w:trHeight w:val="150"/>
        </w:trPr>
        <w:tc>
          <w:tcPr>
            <w:tcW w:w="6260" w:type="dxa"/>
            <w:vAlign w:val="bottom"/>
          </w:tcPr>
          <w:p>
            <w:pPr>
              <w:ind w:left="40"/>
              <w:spacing w:after="0"/>
              <w:rPr>
                <w:sz w:val="20"/>
                <w:szCs w:val="20"/>
                <w:color w:val="auto"/>
              </w:rPr>
            </w:pPr>
            <w:r>
              <w:rPr>
                <w:rFonts w:ascii="Arial" w:cs="Arial" w:eastAsia="Arial" w:hAnsi="Arial"/>
                <w:sz w:val="11"/>
                <w:szCs w:val="11"/>
                <w:color w:val="0077C0"/>
              </w:rPr>
              <w:t>Millions of dollars, except per-share amounts</w:t>
            </w:r>
          </w:p>
        </w:tc>
        <w:tc>
          <w:tcPr>
            <w:tcW w:w="494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18</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0077C0"/>
        </w:rPr>
        <w:t>Properties, Plant and Equipment</w:t>
      </w:r>
      <w:r>
        <w:rPr>
          <w:rFonts w:ascii="Arial" w:cs="Arial" w:eastAsia="Arial" w:hAnsi="Arial"/>
          <w:sz w:val="11"/>
          <w:szCs w:val="11"/>
          <w:color w:val="0077C0"/>
        </w:rPr>
        <w:t>1</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At December 31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Year ended December 31</w:t>
            </w:r>
          </w:p>
        </w:tc>
      </w:tr>
      <w:tr>
        <w:trPr>
          <w:trHeight w:val="23"/>
        </w:trPr>
        <w:tc>
          <w:tcPr>
            <w:tcW w:w="1540" w:type="dxa"/>
            <w:vAlign w:val="bottom"/>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120" w:type="dxa"/>
            <w:vAlign w:val="bottom"/>
            <w:tcBorders>
              <w:bottom w:val="single" w:sz="8" w:color="0077C0"/>
            </w:tcBorders>
          </w:tcPr>
          <w:p>
            <w:pPr>
              <w:spacing w:after="0"/>
              <w:rPr>
                <w:sz w:val="2"/>
                <w:szCs w:val="2"/>
                <w:color w:val="auto"/>
              </w:rPr>
            </w:pPr>
          </w:p>
        </w:tc>
        <w:tc>
          <w:tcPr>
            <w:tcW w:w="1520" w:type="dxa"/>
            <w:vAlign w:val="bottom"/>
            <w:tcBorders>
              <w:bottom w:val="single" w:sz="8" w:color="0077C0"/>
            </w:tcBorders>
            <w:gridSpan w:val="3"/>
          </w:tcPr>
          <w:p>
            <w:pPr>
              <w:spacing w:after="0"/>
              <w:rPr>
                <w:sz w:val="2"/>
                <w:szCs w:val="2"/>
                <w:color w:val="auto"/>
              </w:rPr>
            </w:pPr>
          </w:p>
        </w:tc>
        <w:tc>
          <w:tcPr>
            <w:tcW w:w="100" w:type="dxa"/>
            <w:vAlign w:val="bottom"/>
            <w:tcBorders>
              <w:bottom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1480" w:type="dxa"/>
            <w:vAlign w:val="bottom"/>
            <w:tcBorders>
              <w:bottom w:val="single" w:sz="8" w:color="0077C0"/>
            </w:tcBorders>
            <w:gridSpan w:val="3"/>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1320" w:type="dxa"/>
            <w:vAlign w:val="bottom"/>
            <w:tcBorders>
              <w:bottom w:val="single" w:sz="8" w:color="0077C0"/>
            </w:tcBorders>
            <w:gridSpan w:val="3"/>
          </w:tcPr>
          <w:p>
            <w:pPr>
              <w:spacing w:after="0"/>
              <w:rPr>
                <w:sz w:val="2"/>
                <w:szCs w:val="2"/>
                <w:color w:val="auto"/>
              </w:rPr>
            </w:pPr>
          </w:p>
        </w:tc>
        <w:tc>
          <w:tcPr>
            <w:tcW w:w="100" w:type="dxa"/>
            <w:vAlign w:val="bottom"/>
            <w:tcBorders>
              <w:bottom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140" w:type="dxa"/>
            <w:vAlign w:val="bottom"/>
            <w:tcBorders>
              <w:bottom w:val="single" w:sz="8" w:color="0077C0"/>
            </w:tcBorders>
          </w:tcPr>
          <w:p>
            <w:pPr>
              <w:spacing w:after="0"/>
              <w:rPr>
                <w:sz w:val="2"/>
                <w:szCs w:val="2"/>
                <w:color w:val="auto"/>
              </w:rPr>
            </w:pPr>
          </w:p>
        </w:tc>
        <w:tc>
          <w:tcPr>
            <w:tcW w:w="1380" w:type="dxa"/>
            <w:vAlign w:val="bottom"/>
            <w:tcBorders>
              <w:bottom w:val="single" w:sz="8" w:color="0077C0"/>
            </w:tcBorders>
            <w:gridSpan w:val="3"/>
          </w:tcPr>
          <w:p>
            <w:pPr>
              <w:spacing w:after="0"/>
              <w:rPr>
                <w:sz w:val="2"/>
                <w:szCs w:val="2"/>
                <w:color w:val="auto"/>
              </w:rPr>
            </w:pPr>
          </w:p>
        </w:tc>
      </w:tr>
      <w:tr>
        <w:trPr>
          <w:trHeight w:val="196"/>
        </w:trPr>
        <w:tc>
          <w:tcPr>
            <w:tcW w:w="1540" w:type="dxa"/>
            <w:vAlign w:val="bottom"/>
          </w:tcPr>
          <w:p>
            <w:pPr>
              <w:spacing w:after="0"/>
              <w:rPr>
                <w:sz w:val="17"/>
                <w:szCs w:val="17"/>
                <w:color w:val="auto"/>
              </w:rPr>
            </w:pPr>
          </w:p>
        </w:tc>
        <w:tc>
          <w:tcPr>
            <w:tcW w:w="180" w:type="dxa"/>
            <w:vAlign w:val="bottom"/>
            <w:tcBorders>
              <w:bottom w:val="single" w:sz="8" w:color="0077C0"/>
            </w:tcBorders>
          </w:tcPr>
          <w:p>
            <w:pPr>
              <w:spacing w:after="0"/>
              <w:rPr>
                <w:sz w:val="17"/>
                <w:szCs w:val="17"/>
                <w:color w:val="auto"/>
              </w:rPr>
            </w:pPr>
          </w:p>
        </w:tc>
        <w:tc>
          <w:tcPr>
            <w:tcW w:w="620" w:type="dxa"/>
            <w:vAlign w:val="bottom"/>
            <w:tcBorders>
              <w:bottom w:val="single" w:sz="8" w:color="0077C0"/>
            </w:tcBorders>
          </w:tcPr>
          <w:p>
            <w:pPr>
              <w:spacing w:after="0"/>
              <w:rPr>
                <w:sz w:val="17"/>
                <w:szCs w:val="17"/>
                <w:color w:val="auto"/>
              </w:rPr>
            </w:pPr>
          </w:p>
        </w:tc>
        <w:tc>
          <w:tcPr>
            <w:tcW w:w="120" w:type="dxa"/>
            <w:vAlign w:val="bottom"/>
            <w:tcBorders>
              <w:bottom w:val="single" w:sz="8" w:color="0077C0"/>
            </w:tcBorders>
          </w:tcPr>
          <w:p>
            <w:pPr>
              <w:spacing w:after="0"/>
              <w:rPr>
                <w:sz w:val="17"/>
                <w:szCs w:val="17"/>
                <w:color w:val="auto"/>
              </w:rPr>
            </w:pPr>
          </w:p>
        </w:tc>
        <w:tc>
          <w:tcPr>
            <w:tcW w:w="1520" w:type="dxa"/>
            <w:vAlign w:val="bottom"/>
            <w:tcBorders>
              <w:bottom w:val="single" w:sz="8" w:color="0077C0"/>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Gross Investment at Cost</w:t>
            </w:r>
          </w:p>
        </w:tc>
        <w:tc>
          <w:tcPr>
            <w:tcW w:w="100" w:type="dxa"/>
            <w:vAlign w:val="bottom"/>
          </w:tcPr>
          <w:p>
            <w:pPr>
              <w:spacing w:after="0"/>
              <w:rPr>
                <w:sz w:val="17"/>
                <w:szCs w:val="17"/>
                <w:color w:val="auto"/>
              </w:rPr>
            </w:pPr>
          </w:p>
        </w:tc>
        <w:tc>
          <w:tcPr>
            <w:tcW w:w="180" w:type="dxa"/>
            <w:vAlign w:val="bottom"/>
            <w:tcBorders>
              <w:bottom w:val="single" w:sz="8" w:color="0077C0"/>
            </w:tcBorders>
          </w:tcPr>
          <w:p>
            <w:pPr>
              <w:spacing w:after="0"/>
              <w:rPr>
                <w:sz w:val="17"/>
                <w:szCs w:val="17"/>
                <w:color w:val="auto"/>
              </w:rPr>
            </w:pPr>
          </w:p>
        </w:tc>
        <w:tc>
          <w:tcPr>
            <w:tcW w:w="620" w:type="dxa"/>
            <w:vAlign w:val="bottom"/>
            <w:tcBorders>
              <w:bottom w:val="single" w:sz="8" w:color="0077C0"/>
            </w:tcBorders>
          </w:tcPr>
          <w:p>
            <w:pPr>
              <w:spacing w:after="0"/>
              <w:rPr>
                <w:sz w:val="17"/>
                <w:szCs w:val="17"/>
                <w:color w:val="auto"/>
              </w:rPr>
            </w:pPr>
          </w:p>
        </w:tc>
        <w:tc>
          <w:tcPr>
            <w:tcW w:w="180" w:type="dxa"/>
            <w:vAlign w:val="bottom"/>
            <w:tcBorders>
              <w:bottom w:val="single" w:sz="8" w:color="0077C0"/>
            </w:tcBorders>
          </w:tcPr>
          <w:p>
            <w:pPr>
              <w:spacing w:after="0"/>
              <w:rPr>
                <w:sz w:val="17"/>
                <w:szCs w:val="17"/>
                <w:color w:val="auto"/>
              </w:rPr>
            </w:pPr>
          </w:p>
        </w:tc>
        <w:tc>
          <w:tcPr>
            <w:tcW w:w="1480" w:type="dxa"/>
            <w:vAlign w:val="bottom"/>
            <w:tcBorders>
              <w:bottom w:val="single" w:sz="8" w:color="0077C0"/>
            </w:tcBorders>
            <w:gridSpan w:val="3"/>
          </w:tcPr>
          <w:p>
            <w:pPr>
              <w:jc w:val="right"/>
              <w:spacing w:after="0"/>
              <w:rPr>
                <w:sz w:val="20"/>
                <w:szCs w:val="20"/>
                <w:color w:val="auto"/>
              </w:rPr>
            </w:pPr>
            <w:r>
              <w:rPr>
                <w:rFonts w:ascii="Times New Roman" w:cs="Times New Roman" w:eastAsia="Times New Roman" w:hAnsi="Times New Roman"/>
                <w:sz w:val="14"/>
                <w:szCs w:val="14"/>
                <w:color w:val="auto"/>
              </w:rPr>
              <w:t>Net Investment</w:t>
            </w:r>
          </w:p>
        </w:tc>
        <w:tc>
          <w:tcPr>
            <w:tcW w:w="80" w:type="dxa"/>
            <w:vAlign w:val="bottom"/>
          </w:tcPr>
          <w:p>
            <w:pPr>
              <w:spacing w:after="0"/>
              <w:rPr>
                <w:sz w:val="17"/>
                <w:szCs w:val="17"/>
                <w:color w:val="auto"/>
              </w:rPr>
            </w:pPr>
          </w:p>
        </w:tc>
        <w:tc>
          <w:tcPr>
            <w:tcW w:w="200" w:type="dxa"/>
            <w:vAlign w:val="bottom"/>
            <w:tcBorders>
              <w:bottom w:val="single" w:sz="8" w:color="0077C0"/>
            </w:tcBorders>
          </w:tcPr>
          <w:p>
            <w:pPr>
              <w:spacing w:after="0"/>
              <w:rPr>
                <w:sz w:val="17"/>
                <w:szCs w:val="17"/>
                <w:color w:val="auto"/>
              </w:rPr>
            </w:pPr>
          </w:p>
        </w:tc>
        <w:tc>
          <w:tcPr>
            <w:tcW w:w="540" w:type="dxa"/>
            <w:vAlign w:val="bottom"/>
            <w:tcBorders>
              <w:bottom w:val="single" w:sz="8" w:color="0077C0"/>
            </w:tcBorders>
          </w:tcPr>
          <w:p>
            <w:pPr>
              <w:spacing w:after="0"/>
              <w:rPr>
                <w:sz w:val="17"/>
                <w:szCs w:val="17"/>
                <w:color w:val="auto"/>
              </w:rPr>
            </w:pPr>
          </w:p>
        </w:tc>
        <w:tc>
          <w:tcPr>
            <w:tcW w:w="200" w:type="dxa"/>
            <w:vAlign w:val="bottom"/>
            <w:tcBorders>
              <w:bottom w:val="single" w:sz="8" w:color="0077C0"/>
            </w:tcBorders>
          </w:tcPr>
          <w:p>
            <w:pPr>
              <w:spacing w:after="0"/>
              <w:rPr>
                <w:sz w:val="17"/>
                <w:szCs w:val="17"/>
                <w:color w:val="auto"/>
              </w:rPr>
            </w:pPr>
          </w:p>
        </w:tc>
        <w:tc>
          <w:tcPr>
            <w:tcW w:w="1320" w:type="dxa"/>
            <w:vAlign w:val="bottom"/>
            <w:tcBorders>
              <w:bottom w:val="single" w:sz="8" w:color="0077C0"/>
            </w:tcBorders>
            <w:gridSpan w:val="3"/>
          </w:tcPr>
          <w:p>
            <w:pPr>
              <w:jc w:val="right"/>
              <w:spacing w:after="0" w:line="196" w:lineRule="exact"/>
              <w:rPr>
                <w:sz w:val="20"/>
                <w:szCs w:val="20"/>
                <w:color w:val="auto"/>
              </w:rPr>
            </w:pPr>
            <w:r>
              <w:rPr>
                <w:rFonts w:ascii="Times New Roman" w:cs="Times New Roman" w:eastAsia="Times New Roman" w:hAnsi="Times New Roman"/>
                <w:sz w:val="14"/>
                <w:szCs w:val="14"/>
                <w:color w:val="auto"/>
              </w:rPr>
              <w:t>Additions at Cost</w:t>
            </w:r>
            <w:r>
              <w:rPr>
                <w:rFonts w:ascii="Times New Roman" w:cs="Times New Roman" w:eastAsia="Times New Roman" w:hAnsi="Times New Roman"/>
                <w:sz w:val="18"/>
                <w:szCs w:val="18"/>
                <w:color w:val="auto"/>
                <w:vertAlign w:val="superscript"/>
              </w:rPr>
              <w:t>2</w:t>
            </w:r>
          </w:p>
        </w:tc>
        <w:tc>
          <w:tcPr>
            <w:tcW w:w="100" w:type="dxa"/>
            <w:vAlign w:val="bottom"/>
          </w:tcPr>
          <w:p>
            <w:pPr>
              <w:spacing w:after="0"/>
              <w:rPr>
                <w:sz w:val="17"/>
                <w:szCs w:val="17"/>
                <w:color w:val="auto"/>
              </w:rPr>
            </w:pPr>
          </w:p>
        </w:tc>
        <w:tc>
          <w:tcPr>
            <w:tcW w:w="180" w:type="dxa"/>
            <w:vAlign w:val="bottom"/>
            <w:tcBorders>
              <w:bottom w:val="single" w:sz="8" w:color="0077C0"/>
            </w:tcBorders>
          </w:tcPr>
          <w:p>
            <w:pPr>
              <w:spacing w:after="0"/>
              <w:rPr>
                <w:sz w:val="17"/>
                <w:szCs w:val="17"/>
                <w:color w:val="auto"/>
              </w:rPr>
            </w:pPr>
          </w:p>
        </w:tc>
        <w:tc>
          <w:tcPr>
            <w:tcW w:w="560" w:type="dxa"/>
            <w:vAlign w:val="bottom"/>
            <w:tcBorders>
              <w:bottom w:val="single" w:sz="8" w:color="0077C0"/>
            </w:tcBorders>
          </w:tcPr>
          <w:p>
            <w:pPr>
              <w:spacing w:after="0"/>
              <w:rPr>
                <w:sz w:val="17"/>
                <w:szCs w:val="17"/>
                <w:color w:val="auto"/>
              </w:rPr>
            </w:pPr>
          </w:p>
        </w:tc>
        <w:tc>
          <w:tcPr>
            <w:tcW w:w="140" w:type="dxa"/>
            <w:vAlign w:val="bottom"/>
            <w:tcBorders>
              <w:bottom w:val="single" w:sz="8" w:color="0077C0"/>
            </w:tcBorders>
          </w:tcPr>
          <w:p>
            <w:pPr>
              <w:spacing w:after="0"/>
              <w:rPr>
                <w:sz w:val="17"/>
                <w:szCs w:val="17"/>
                <w:color w:val="auto"/>
              </w:rPr>
            </w:pPr>
          </w:p>
        </w:tc>
        <w:tc>
          <w:tcPr>
            <w:tcW w:w="1380" w:type="dxa"/>
            <w:vAlign w:val="bottom"/>
            <w:tcBorders>
              <w:bottom w:val="single" w:sz="8" w:color="0077C0"/>
            </w:tcBorders>
            <w:gridSpan w:val="3"/>
          </w:tcPr>
          <w:p>
            <w:pPr>
              <w:jc w:val="right"/>
              <w:spacing w:after="0" w:line="196" w:lineRule="exact"/>
              <w:rPr>
                <w:sz w:val="20"/>
                <w:szCs w:val="20"/>
                <w:color w:val="auto"/>
              </w:rPr>
            </w:pPr>
            <w:r>
              <w:rPr>
                <w:rFonts w:ascii="Times New Roman" w:cs="Times New Roman" w:eastAsia="Times New Roman" w:hAnsi="Times New Roman"/>
                <w:sz w:val="14"/>
                <w:szCs w:val="14"/>
                <w:color w:val="auto"/>
              </w:rPr>
              <w:t>Depreciation Expense</w:t>
            </w:r>
            <w:r>
              <w:rPr>
                <w:rFonts w:ascii="Times New Roman" w:cs="Times New Roman" w:eastAsia="Times New Roman" w:hAnsi="Times New Roman"/>
                <w:sz w:val="18"/>
                <w:szCs w:val="18"/>
                <w:color w:val="auto"/>
                <w:vertAlign w:val="superscript"/>
              </w:rPr>
              <w:t>3</w:t>
            </w:r>
          </w:p>
        </w:tc>
      </w:tr>
      <w:tr>
        <w:trPr>
          <w:trHeight w:val="190"/>
        </w:trPr>
        <w:tc>
          <w:tcPr>
            <w:tcW w:w="1540" w:type="dxa"/>
            <w:vAlign w:val="bottom"/>
            <w:tcBorders>
              <w:bottom w:val="single" w:sz="8" w:color="0077C0"/>
            </w:tcBorders>
          </w:tcPr>
          <w:p>
            <w:pPr>
              <w:spacing w:after="0"/>
              <w:rPr>
                <w:sz w:val="16"/>
                <w:szCs w:val="16"/>
                <w:color w:val="auto"/>
              </w:rPr>
            </w:pPr>
          </w:p>
        </w:tc>
        <w:tc>
          <w:tcPr>
            <w:tcW w:w="18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0077C0"/>
            </w:tcBorders>
          </w:tcPr>
          <w:p>
            <w:pPr>
              <w:spacing w:after="0"/>
              <w:rPr>
                <w:sz w:val="16"/>
                <w:szCs w:val="16"/>
                <w:color w:val="auto"/>
              </w:rPr>
            </w:pPr>
          </w:p>
        </w:tc>
        <w:tc>
          <w:tcPr>
            <w:tcW w:w="7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8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0077C0"/>
            </w:tcBorders>
          </w:tcPr>
          <w:p>
            <w:pPr>
              <w:spacing w:after="0"/>
              <w:rPr>
                <w:sz w:val="16"/>
                <w:szCs w:val="16"/>
                <w:color w:val="auto"/>
              </w:rPr>
            </w:pPr>
          </w:p>
        </w:tc>
        <w:tc>
          <w:tcPr>
            <w:tcW w:w="18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80" w:type="dxa"/>
            <w:vAlign w:val="bottom"/>
            <w:tcBorders>
              <w:bottom w:val="single" w:sz="8" w:color="0077C0"/>
            </w:tcBorders>
          </w:tcPr>
          <w:p>
            <w:pPr>
              <w:spacing w:after="0"/>
              <w:rPr>
                <w:sz w:val="16"/>
                <w:szCs w:val="16"/>
                <w:color w:val="auto"/>
              </w:rPr>
            </w:pPr>
          </w:p>
        </w:tc>
        <w:tc>
          <w:tcPr>
            <w:tcW w:w="6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bottom w:val="single" w:sz="8" w:color="0077C0"/>
            </w:tcBorders>
          </w:tcPr>
          <w:p>
            <w:pPr>
              <w:spacing w:after="0"/>
              <w:rPr>
                <w:sz w:val="16"/>
                <w:szCs w:val="16"/>
                <w:color w:val="auto"/>
              </w:rPr>
            </w:pPr>
          </w:p>
        </w:tc>
        <w:tc>
          <w:tcPr>
            <w:tcW w:w="200" w:type="dxa"/>
            <w:vAlign w:val="bottom"/>
            <w:tcBorders>
              <w:bottom w:val="single" w:sz="8" w:color="0077C0"/>
            </w:tcBorders>
          </w:tcPr>
          <w:p>
            <w:pPr>
              <w:spacing w:after="0"/>
              <w:rPr>
                <w:sz w:val="16"/>
                <w:szCs w:val="16"/>
                <w:color w:val="auto"/>
              </w:rPr>
            </w:pPr>
          </w:p>
        </w:tc>
        <w:tc>
          <w:tcPr>
            <w:tcW w:w="5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0077C0"/>
            </w:tcBorders>
          </w:tcPr>
          <w:p>
            <w:pPr>
              <w:spacing w:after="0"/>
              <w:rPr>
                <w:sz w:val="16"/>
                <w:szCs w:val="16"/>
                <w:color w:val="auto"/>
              </w:rPr>
            </w:pPr>
          </w:p>
        </w:tc>
        <w:tc>
          <w:tcPr>
            <w:tcW w:w="5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200" w:type="dxa"/>
            <w:vAlign w:val="bottom"/>
            <w:tcBorders>
              <w:bottom w:val="single" w:sz="8" w:color="0077C0"/>
            </w:tcBorders>
          </w:tcPr>
          <w:p>
            <w:pPr>
              <w:spacing w:after="0"/>
              <w:rPr>
                <w:sz w:val="16"/>
                <w:szCs w:val="16"/>
                <w:color w:val="auto"/>
              </w:rPr>
            </w:pPr>
          </w:p>
        </w:tc>
        <w:tc>
          <w:tcPr>
            <w:tcW w:w="5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0077C0"/>
            </w:tcBorders>
          </w:tcPr>
          <w:p>
            <w:pPr>
              <w:spacing w:after="0"/>
              <w:rPr>
                <w:sz w:val="16"/>
                <w:szCs w:val="16"/>
                <w:color w:val="auto"/>
              </w:rPr>
            </w:pPr>
          </w:p>
        </w:tc>
        <w:tc>
          <w:tcPr>
            <w:tcW w:w="180" w:type="dxa"/>
            <w:vAlign w:val="bottom"/>
            <w:tcBorders>
              <w:bottom w:val="single" w:sz="8" w:color="0077C0"/>
            </w:tcBorders>
          </w:tcPr>
          <w:p>
            <w:pPr>
              <w:spacing w:after="0"/>
              <w:rPr>
                <w:sz w:val="16"/>
                <w:szCs w:val="16"/>
                <w:color w:val="auto"/>
              </w:rPr>
            </w:pPr>
          </w:p>
        </w:tc>
        <w:tc>
          <w:tcPr>
            <w:tcW w:w="5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200" w:type="dxa"/>
            <w:vAlign w:val="bottom"/>
            <w:tcBorders>
              <w:bottom w:val="single" w:sz="8" w:color="0077C0"/>
            </w:tcBorders>
          </w:tcPr>
          <w:p>
            <w:pPr>
              <w:spacing w:after="0"/>
              <w:rPr>
                <w:sz w:val="16"/>
                <w:szCs w:val="16"/>
                <w:color w:val="auto"/>
              </w:rPr>
            </w:pPr>
          </w:p>
        </w:tc>
        <w:tc>
          <w:tcPr>
            <w:tcW w:w="5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r>
      <w:tr>
        <w:trPr>
          <w:trHeight w:val="188"/>
        </w:trPr>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Upstream</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Borders>
              <w:right w:val="single" w:sz="8" w:color="0077C0"/>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Borders>
              <w:right w:val="single" w:sz="8" w:color="0077C0"/>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Borders>
              <w:right w:val="single" w:sz="8" w:color="0077C0"/>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93"/>
        </w:trPr>
        <w:tc>
          <w:tcPr>
            <w:tcW w:w="1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124,439</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117,955</w:t>
            </w:r>
          </w:p>
        </w:tc>
        <w:tc>
          <w:tcPr>
            <w:tcW w:w="1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96,590</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52,428</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50,390</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37,031</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9,591</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20,408</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6,461</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7,562</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7,666</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5,012</w:t>
            </w:r>
          </w:p>
        </w:tc>
      </w:tr>
      <w:tr>
        <w:trPr>
          <w:trHeight w:val="203"/>
        </w:trPr>
        <w:tc>
          <w:tcPr>
            <w:tcW w:w="1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International</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176,401</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183,996</w:t>
            </w:r>
          </w:p>
        </w:tc>
        <w:tc>
          <w:tcPr>
            <w:tcW w:w="180" w:type="dxa"/>
            <w:vAlign w:val="bottom"/>
          </w:tcPr>
          <w:p>
            <w:pPr>
              <w:spacing w:after="0"/>
              <w:rPr>
                <w:sz w:val="17"/>
                <w:szCs w:val="17"/>
                <w:color w:val="auto"/>
              </w:rPr>
            </w:pPr>
          </w:p>
        </w:tc>
        <w:tc>
          <w:tcPr>
            <w:tcW w:w="64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188,556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76,642</w:t>
            </w:r>
          </w:p>
        </w:tc>
        <w:tc>
          <w:tcPr>
            <w:tcW w:w="18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84,561</w:t>
            </w:r>
          </w:p>
        </w:tc>
        <w:tc>
          <w:tcPr>
            <w:tcW w:w="180" w:type="dxa"/>
            <w:vAlign w:val="bottom"/>
          </w:tcPr>
          <w:p>
            <w:pPr>
              <w:spacing w:after="0"/>
              <w:rPr>
                <w:sz w:val="17"/>
                <w:szCs w:val="17"/>
                <w:color w:val="auto"/>
              </w:rPr>
            </w:pPr>
          </w:p>
        </w:tc>
        <w:tc>
          <w:tcPr>
            <w:tcW w:w="66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88,549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4,426</w:t>
            </w: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4,130</w:t>
            </w:r>
          </w:p>
        </w:tc>
        <w:tc>
          <w:tcPr>
            <w:tcW w:w="200" w:type="dxa"/>
            <w:vAlign w:val="bottom"/>
          </w:tcPr>
          <w:p>
            <w:pPr>
              <w:spacing w:after="0"/>
              <w:rPr>
                <w:sz w:val="17"/>
                <w:szCs w:val="17"/>
                <w:color w:val="auto"/>
              </w:rPr>
            </w:pPr>
          </w:p>
        </w:tc>
        <w:tc>
          <w:tcPr>
            <w:tcW w:w="58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2,599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7,935</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8,109</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9,830</w:t>
            </w:r>
          </w:p>
        </w:tc>
      </w:tr>
      <w:tr>
        <w:trPr>
          <w:trHeight w:val="23"/>
        </w:trPr>
        <w:tc>
          <w:tcPr>
            <w:tcW w:w="1540" w:type="dxa"/>
            <w:vAlign w:val="bottom"/>
            <w:tcBorders>
              <w:bottom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12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640" w:type="dxa"/>
            <w:vAlign w:val="bottom"/>
            <w:tcBorders>
              <w:bottom w:val="single" w:sz="8" w:color="0077C0"/>
              <w:right w:val="single" w:sz="8" w:color="0077C0"/>
            </w:tcBorders>
          </w:tcPr>
          <w:p>
            <w:pPr>
              <w:spacing w:after="0"/>
              <w:rPr>
                <w:sz w:val="2"/>
                <w:szCs w:val="2"/>
                <w:color w:val="auto"/>
              </w:rPr>
            </w:pPr>
          </w:p>
        </w:tc>
        <w:tc>
          <w:tcPr>
            <w:tcW w:w="100" w:type="dxa"/>
            <w:vAlign w:val="bottom"/>
            <w:tcBorders>
              <w:bottom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660" w:type="dxa"/>
            <w:vAlign w:val="bottom"/>
            <w:tcBorders>
              <w:bottom w:val="single" w:sz="8" w:color="0077C0"/>
              <w:right w:val="single" w:sz="8" w:color="0077C0"/>
            </w:tcBorders>
          </w:tcPr>
          <w:p>
            <w:pPr>
              <w:spacing w:after="0"/>
              <w:rPr>
                <w:sz w:val="2"/>
                <w:szCs w:val="2"/>
                <w:color w:val="auto"/>
              </w:rPr>
            </w:pPr>
          </w:p>
        </w:tc>
        <w:tc>
          <w:tcPr>
            <w:tcW w:w="8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580" w:type="dxa"/>
            <w:vAlign w:val="bottom"/>
            <w:tcBorders>
              <w:bottom w:val="single" w:sz="8" w:color="0077C0"/>
              <w:right w:val="single" w:sz="8" w:color="0077C0"/>
            </w:tcBorders>
          </w:tcPr>
          <w:p>
            <w:pPr>
              <w:spacing w:after="0"/>
              <w:rPr>
                <w:sz w:val="2"/>
                <w:szCs w:val="2"/>
                <w:color w:val="auto"/>
              </w:rPr>
            </w:pPr>
          </w:p>
        </w:tc>
        <w:tc>
          <w:tcPr>
            <w:tcW w:w="100" w:type="dxa"/>
            <w:vAlign w:val="bottom"/>
            <w:tcBorders>
              <w:bottom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14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r>
      <w:tr>
        <w:trPr>
          <w:trHeight w:val="190"/>
        </w:trPr>
        <w:tc>
          <w:tcPr>
            <w:tcW w:w="154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Upstream</w:t>
            </w:r>
          </w:p>
        </w:tc>
        <w:tc>
          <w:tcPr>
            <w:tcW w:w="18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300,840</w:t>
            </w:r>
          </w:p>
        </w:tc>
        <w:tc>
          <w:tcPr>
            <w:tcW w:w="120" w:type="dxa"/>
            <w:vAlign w:val="bottom"/>
            <w:tcBorders>
              <w:bottom w:val="single" w:sz="8" w:color="0077C0"/>
            </w:tcBorders>
          </w:tcPr>
          <w:p>
            <w:pPr>
              <w:spacing w:after="0"/>
              <w:rPr>
                <w:sz w:val="16"/>
                <w:szCs w:val="16"/>
                <w:color w:val="auto"/>
              </w:rPr>
            </w:pPr>
          </w:p>
        </w:tc>
        <w:tc>
          <w:tcPr>
            <w:tcW w:w="7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301,951</w:t>
            </w:r>
          </w:p>
        </w:tc>
        <w:tc>
          <w:tcPr>
            <w:tcW w:w="18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285,146</w:t>
            </w:r>
          </w:p>
        </w:tc>
        <w:tc>
          <w:tcPr>
            <w:tcW w:w="100" w:type="dxa"/>
            <w:vAlign w:val="bottom"/>
            <w:tcBorders>
              <w:bottom w:val="single" w:sz="8" w:color="0077C0"/>
            </w:tcBorders>
          </w:tcPr>
          <w:p>
            <w:pPr>
              <w:spacing w:after="0"/>
              <w:rPr>
                <w:sz w:val="16"/>
                <w:szCs w:val="16"/>
                <w:color w:val="auto"/>
              </w:rPr>
            </w:pPr>
          </w:p>
        </w:tc>
        <w:tc>
          <w:tcPr>
            <w:tcW w:w="18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129,070</w:t>
            </w:r>
          </w:p>
        </w:tc>
        <w:tc>
          <w:tcPr>
            <w:tcW w:w="18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134,951</w:t>
            </w:r>
          </w:p>
        </w:tc>
        <w:tc>
          <w:tcPr>
            <w:tcW w:w="180" w:type="dxa"/>
            <w:vAlign w:val="bottom"/>
            <w:tcBorders>
              <w:bottom w:val="single" w:sz="8" w:color="0077C0"/>
            </w:tcBorders>
          </w:tcPr>
          <w:p>
            <w:pPr>
              <w:spacing w:after="0"/>
              <w:rPr>
                <w:sz w:val="16"/>
                <w:szCs w:val="16"/>
                <w:color w:val="auto"/>
              </w:rPr>
            </w:pPr>
          </w:p>
        </w:tc>
        <w:tc>
          <w:tcPr>
            <w:tcW w:w="66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125,580</w:t>
            </w:r>
          </w:p>
        </w:tc>
        <w:tc>
          <w:tcPr>
            <w:tcW w:w="80" w:type="dxa"/>
            <w:vAlign w:val="bottom"/>
            <w:tcBorders>
              <w:bottom w:val="single" w:sz="8" w:color="0077C0"/>
            </w:tcBorders>
          </w:tcPr>
          <w:p>
            <w:pPr>
              <w:spacing w:after="0"/>
              <w:rPr>
                <w:sz w:val="16"/>
                <w:szCs w:val="16"/>
                <w:color w:val="auto"/>
              </w:rPr>
            </w:pPr>
          </w:p>
        </w:tc>
        <w:tc>
          <w:tcPr>
            <w:tcW w:w="200" w:type="dxa"/>
            <w:vAlign w:val="bottom"/>
            <w:tcBorders>
              <w:bottom w:val="single" w:sz="8" w:color="0077C0"/>
            </w:tcBorders>
          </w:tcPr>
          <w:p>
            <w:pPr>
              <w:spacing w:after="0"/>
              <w:rPr>
                <w:sz w:val="16"/>
                <w:szCs w:val="16"/>
                <w:color w:val="auto"/>
              </w:rPr>
            </w:pPr>
          </w:p>
        </w:tc>
        <w:tc>
          <w:tcPr>
            <w:tcW w:w="5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14,017</w:t>
            </w:r>
          </w:p>
        </w:tc>
        <w:tc>
          <w:tcPr>
            <w:tcW w:w="200" w:type="dxa"/>
            <w:vAlign w:val="bottom"/>
            <w:tcBorders>
              <w:bottom w:val="single" w:sz="8" w:color="0077C0"/>
            </w:tcBorders>
          </w:tcPr>
          <w:p>
            <w:pPr>
              <w:spacing w:after="0"/>
              <w:rPr>
                <w:sz w:val="16"/>
                <w:szCs w:val="16"/>
                <w:color w:val="auto"/>
              </w:rPr>
            </w:pPr>
          </w:p>
        </w:tc>
        <w:tc>
          <w:tcPr>
            <w:tcW w:w="5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24,538</w:t>
            </w:r>
          </w:p>
        </w:tc>
        <w:tc>
          <w:tcPr>
            <w:tcW w:w="200" w:type="dxa"/>
            <w:vAlign w:val="bottom"/>
            <w:tcBorders>
              <w:bottom w:val="single" w:sz="8" w:color="0077C0"/>
            </w:tcBorders>
          </w:tcPr>
          <w:p>
            <w:pPr>
              <w:spacing w:after="0"/>
              <w:rPr>
                <w:sz w:val="16"/>
                <w:szCs w:val="16"/>
                <w:color w:val="auto"/>
              </w:rPr>
            </w:pPr>
          </w:p>
        </w:tc>
        <w:tc>
          <w:tcPr>
            <w:tcW w:w="58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9,060</w:t>
            </w:r>
          </w:p>
        </w:tc>
        <w:tc>
          <w:tcPr>
            <w:tcW w:w="100" w:type="dxa"/>
            <w:vAlign w:val="bottom"/>
            <w:tcBorders>
              <w:bottom w:val="single" w:sz="8" w:color="0077C0"/>
            </w:tcBorders>
          </w:tcPr>
          <w:p>
            <w:pPr>
              <w:spacing w:after="0"/>
              <w:rPr>
                <w:sz w:val="16"/>
                <w:szCs w:val="16"/>
                <w:color w:val="auto"/>
              </w:rPr>
            </w:pPr>
          </w:p>
        </w:tc>
        <w:tc>
          <w:tcPr>
            <w:tcW w:w="180" w:type="dxa"/>
            <w:vAlign w:val="bottom"/>
            <w:tcBorders>
              <w:bottom w:val="single" w:sz="8" w:color="0077C0"/>
            </w:tcBorders>
          </w:tcPr>
          <w:p>
            <w:pPr>
              <w:spacing w:after="0"/>
              <w:rPr>
                <w:sz w:val="16"/>
                <w:szCs w:val="16"/>
                <w:color w:val="auto"/>
              </w:rPr>
            </w:pPr>
          </w:p>
        </w:tc>
        <w:tc>
          <w:tcPr>
            <w:tcW w:w="5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15,497</w:t>
            </w:r>
          </w:p>
        </w:tc>
        <w:tc>
          <w:tcPr>
            <w:tcW w:w="14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15,775</w:t>
            </w:r>
          </w:p>
        </w:tc>
        <w:tc>
          <w:tcPr>
            <w:tcW w:w="200" w:type="dxa"/>
            <w:vAlign w:val="bottom"/>
            <w:tcBorders>
              <w:bottom w:val="single" w:sz="8" w:color="0077C0"/>
            </w:tcBorders>
          </w:tcPr>
          <w:p>
            <w:pPr>
              <w:spacing w:after="0"/>
              <w:rPr>
                <w:sz w:val="16"/>
                <w:szCs w:val="16"/>
                <w:color w:val="auto"/>
              </w:rPr>
            </w:pPr>
          </w:p>
        </w:tc>
        <w:tc>
          <w:tcPr>
            <w:tcW w:w="5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14,842</w:t>
            </w:r>
          </w:p>
        </w:tc>
      </w:tr>
      <w:tr>
        <w:trPr>
          <w:trHeight w:val="188"/>
        </w:trPr>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Downstream</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Borders>
              <w:right w:val="single" w:sz="8" w:color="0077C0"/>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Borders>
              <w:right w:val="single" w:sz="8" w:color="0077C0"/>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Borders>
              <w:right w:val="single" w:sz="8" w:color="0077C0"/>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93"/>
        </w:trPr>
        <w:tc>
          <w:tcPr>
            <w:tcW w:w="1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32,336</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31,192</w:t>
            </w:r>
          </w:p>
        </w:tc>
        <w:tc>
          <w:tcPr>
            <w:tcW w:w="180" w:type="dxa"/>
            <w:vAlign w:val="bottom"/>
          </w:tcPr>
          <w:p>
            <w:pPr>
              <w:spacing w:after="0"/>
              <w:rPr>
                <w:sz w:val="16"/>
                <w:szCs w:val="16"/>
                <w:color w:val="auto"/>
              </w:rPr>
            </w:pPr>
          </w:p>
        </w:tc>
        <w:tc>
          <w:tcPr>
            <w:tcW w:w="64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29,802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13,667</w:t>
            </w:r>
          </w:p>
        </w:tc>
        <w:tc>
          <w:tcPr>
            <w:tcW w:w="18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13,521</w:t>
            </w:r>
          </w:p>
        </w:tc>
        <w:tc>
          <w:tcPr>
            <w:tcW w:w="180" w:type="dxa"/>
            <w:vAlign w:val="bottom"/>
          </w:tcPr>
          <w:p>
            <w:pPr>
              <w:spacing w:after="0"/>
              <w:rPr>
                <w:sz w:val="16"/>
                <w:szCs w:val="16"/>
                <w:color w:val="auto"/>
              </w:rPr>
            </w:pPr>
          </w:p>
        </w:tc>
        <w:tc>
          <w:tcPr>
            <w:tcW w:w="66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12,827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1,217</w:t>
            </w:r>
          </w:p>
        </w:tc>
        <w:tc>
          <w:tcPr>
            <w:tcW w:w="2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1,623</w:t>
            </w:r>
          </w:p>
        </w:tc>
        <w:tc>
          <w:tcPr>
            <w:tcW w:w="200" w:type="dxa"/>
            <w:vAlign w:val="bottom"/>
          </w:tcPr>
          <w:p>
            <w:pPr>
              <w:spacing w:after="0"/>
              <w:rPr>
                <w:sz w:val="16"/>
                <w:szCs w:val="16"/>
                <w:color w:val="auto"/>
              </w:rPr>
            </w:pPr>
          </w:p>
        </w:tc>
        <w:tc>
          <w:tcPr>
            <w:tcW w:w="58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2,742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1,091</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w:t>
            </w: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w:t>
            </w:r>
          </w:p>
        </w:tc>
      </w:tr>
      <w:tr>
        <w:trPr>
          <w:trHeight w:val="203"/>
        </w:trPr>
        <w:tc>
          <w:tcPr>
            <w:tcW w:w="1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International</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8,331</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8,401</w:t>
            </w:r>
          </w:p>
        </w:tc>
        <w:tc>
          <w:tcPr>
            <w:tcW w:w="180" w:type="dxa"/>
            <w:vAlign w:val="bottom"/>
          </w:tcPr>
          <w:p>
            <w:pPr>
              <w:spacing w:after="0"/>
              <w:rPr>
                <w:sz w:val="17"/>
                <w:szCs w:val="17"/>
                <w:color w:val="auto"/>
              </w:rPr>
            </w:pPr>
          </w:p>
        </w:tc>
        <w:tc>
          <w:tcPr>
            <w:tcW w:w="64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8,281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2,946</w:t>
            </w:r>
          </w:p>
        </w:tc>
        <w:tc>
          <w:tcPr>
            <w:tcW w:w="18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3,122</w:t>
            </w:r>
          </w:p>
        </w:tc>
        <w:tc>
          <w:tcPr>
            <w:tcW w:w="180" w:type="dxa"/>
            <w:vAlign w:val="bottom"/>
          </w:tcPr>
          <w:p>
            <w:pPr>
              <w:spacing w:after="0"/>
              <w:rPr>
                <w:sz w:val="17"/>
                <w:szCs w:val="17"/>
                <w:color w:val="auto"/>
              </w:rPr>
            </w:pPr>
          </w:p>
        </w:tc>
        <w:tc>
          <w:tcPr>
            <w:tcW w:w="66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3,226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245</w:t>
            </w: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200" w:type="dxa"/>
            <w:vAlign w:val="bottom"/>
          </w:tcPr>
          <w:p>
            <w:pPr>
              <w:spacing w:after="0"/>
              <w:rPr>
                <w:sz w:val="17"/>
                <w:szCs w:val="17"/>
                <w:color w:val="auto"/>
              </w:rPr>
            </w:pPr>
          </w:p>
        </w:tc>
        <w:tc>
          <w:tcPr>
            <w:tcW w:w="58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360</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r>
      <w:tr>
        <w:trPr>
          <w:trHeight w:val="23"/>
        </w:trPr>
        <w:tc>
          <w:tcPr>
            <w:tcW w:w="1540" w:type="dxa"/>
            <w:vAlign w:val="bottom"/>
            <w:tcBorders>
              <w:bottom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12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640" w:type="dxa"/>
            <w:vAlign w:val="bottom"/>
            <w:tcBorders>
              <w:bottom w:val="single" w:sz="8" w:color="0077C0"/>
              <w:right w:val="single" w:sz="8" w:color="0077C0"/>
            </w:tcBorders>
          </w:tcPr>
          <w:p>
            <w:pPr>
              <w:spacing w:after="0"/>
              <w:rPr>
                <w:sz w:val="2"/>
                <w:szCs w:val="2"/>
                <w:color w:val="auto"/>
              </w:rPr>
            </w:pPr>
          </w:p>
        </w:tc>
        <w:tc>
          <w:tcPr>
            <w:tcW w:w="100" w:type="dxa"/>
            <w:vAlign w:val="bottom"/>
            <w:tcBorders>
              <w:bottom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660" w:type="dxa"/>
            <w:vAlign w:val="bottom"/>
            <w:tcBorders>
              <w:bottom w:val="single" w:sz="8" w:color="0077C0"/>
              <w:right w:val="single" w:sz="8" w:color="0077C0"/>
            </w:tcBorders>
          </w:tcPr>
          <w:p>
            <w:pPr>
              <w:spacing w:after="0"/>
              <w:rPr>
                <w:sz w:val="2"/>
                <w:szCs w:val="2"/>
                <w:color w:val="auto"/>
              </w:rPr>
            </w:pPr>
          </w:p>
        </w:tc>
        <w:tc>
          <w:tcPr>
            <w:tcW w:w="8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580" w:type="dxa"/>
            <w:vAlign w:val="bottom"/>
            <w:tcBorders>
              <w:bottom w:val="single" w:sz="8" w:color="0077C0"/>
              <w:right w:val="single" w:sz="8" w:color="0077C0"/>
            </w:tcBorders>
          </w:tcPr>
          <w:p>
            <w:pPr>
              <w:spacing w:after="0"/>
              <w:rPr>
                <w:sz w:val="2"/>
                <w:szCs w:val="2"/>
                <w:color w:val="auto"/>
              </w:rPr>
            </w:pPr>
          </w:p>
        </w:tc>
        <w:tc>
          <w:tcPr>
            <w:tcW w:w="100" w:type="dxa"/>
            <w:vAlign w:val="bottom"/>
            <w:tcBorders>
              <w:bottom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14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r>
      <w:tr>
        <w:trPr>
          <w:trHeight w:val="190"/>
        </w:trPr>
        <w:tc>
          <w:tcPr>
            <w:tcW w:w="154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Downstream</w:t>
            </w:r>
          </w:p>
        </w:tc>
        <w:tc>
          <w:tcPr>
            <w:tcW w:w="18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40,667</w:t>
            </w:r>
          </w:p>
        </w:tc>
        <w:tc>
          <w:tcPr>
            <w:tcW w:w="120" w:type="dxa"/>
            <w:vAlign w:val="bottom"/>
            <w:tcBorders>
              <w:bottom w:val="single" w:sz="8" w:color="0077C0"/>
            </w:tcBorders>
          </w:tcPr>
          <w:p>
            <w:pPr>
              <w:spacing w:after="0"/>
              <w:rPr>
                <w:sz w:val="16"/>
                <w:szCs w:val="16"/>
                <w:color w:val="auto"/>
              </w:rPr>
            </w:pPr>
          </w:p>
        </w:tc>
        <w:tc>
          <w:tcPr>
            <w:tcW w:w="7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39,593</w:t>
            </w:r>
          </w:p>
        </w:tc>
        <w:tc>
          <w:tcPr>
            <w:tcW w:w="18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38,083</w:t>
            </w:r>
          </w:p>
        </w:tc>
        <w:tc>
          <w:tcPr>
            <w:tcW w:w="100" w:type="dxa"/>
            <w:vAlign w:val="bottom"/>
            <w:tcBorders>
              <w:bottom w:val="single" w:sz="8" w:color="0077C0"/>
            </w:tcBorders>
          </w:tcPr>
          <w:p>
            <w:pPr>
              <w:spacing w:after="0"/>
              <w:rPr>
                <w:sz w:val="16"/>
                <w:szCs w:val="16"/>
                <w:color w:val="auto"/>
              </w:rPr>
            </w:pPr>
          </w:p>
        </w:tc>
        <w:tc>
          <w:tcPr>
            <w:tcW w:w="18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16,613</w:t>
            </w:r>
          </w:p>
        </w:tc>
        <w:tc>
          <w:tcPr>
            <w:tcW w:w="18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16,643</w:t>
            </w:r>
          </w:p>
        </w:tc>
        <w:tc>
          <w:tcPr>
            <w:tcW w:w="180" w:type="dxa"/>
            <w:vAlign w:val="bottom"/>
            <w:tcBorders>
              <w:bottom w:val="single" w:sz="8" w:color="0077C0"/>
            </w:tcBorders>
          </w:tcPr>
          <w:p>
            <w:pPr>
              <w:spacing w:after="0"/>
              <w:rPr>
                <w:sz w:val="16"/>
                <w:szCs w:val="16"/>
                <w:color w:val="auto"/>
              </w:rPr>
            </w:pPr>
          </w:p>
        </w:tc>
        <w:tc>
          <w:tcPr>
            <w:tcW w:w="66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16,053</w:t>
            </w:r>
          </w:p>
        </w:tc>
        <w:tc>
          <w:tcPr>
            <w:tcW w:w="80" w:type="dxa"/>
            <w:vAlign w:val="bottom"/>
            <w:tcBorders>
              <w:bottom w:val="single" w:sz="8" w:color="0077C0"/>
            </w:tcBorders>
          </w:tcPr>
          <w:p>
            <w:pPr>
              <w:spacing w:after="0"/>
              <w:rPr>
                <w:sz w:val="16"/>
                <w:szCs w:val="16"/>
                <w:color w:val="auto"/>
              </w:rPr>
            </w:pPr>
          </w:p>
        </w:tc>
        <w:tc>
          <w:tcPr>
            <w:tcW w:w="200" w:type="dxa"/>
            <w:vAlign w:val="bottom"/>
            <w:tcBorders>
              <w:bottom w:val="single" w:sz="8" w:color="0077C0"/>
            </w:tcBorders>
          </w:tcPr>
          <w:p>
            <w:pPr>
              <w:spacing w:after="0"/>
              <w:rPr>
                <w:sz w:val="16"/>
                <w:szCs w:val="16"/>
                <w:color w:val="auto"/>
              </w:rPr>
            </w:pPr>
          </w:p>
        </w:tc>
        <w:tc>
          <w:tcPr>
            <w:tcW w:w="5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1,462</w:t>
            </w:r>
          </w:p>
        </w:tc>
        <w:tc>
          <w:tcPr>
            <w:tcW w:w="200" w:type="dxa"/>
            <w:vAlign w:val="bottom"/>
            <w:tcBorders>
              <w:bottom w:val="single" w:sz="8" w:color="0077C0"/>
            </w:tcBorders>
          </w:tcPr>
          <w:p>
            <w:pPr>
              <w:spacing w:after="0"/>
              <w:rPr>
                <w:sz w:val="16"/>
                <w:szCs w:val="16"/>
                <w:color w:val="auto"/>
              </w:rPr>
            </w:pPr>
          </w:p>
        </w:tc>
        <w:tc>
          <w:tcPr>
            <w:tcW w:w="5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1,860</w:t>
            </w:r>
          </w:p>
        </w:tc>
        <w:tc>
          <w:tcPr>
            <w:tcW w:w="200" w:type="dxa"/>
            <w:vAlign w:val="bottom"/>
            <w:tcBorders>
              <w:bottom w:val="single" w:sz="8" w:color="0077C0"/>
            </w:tcBorders>
          </w:tcPr>
          <w:p>
            <w:pPr>
              <w:spacing w:after="0"/>
              <w:rPr>
                <w:sz w:val="16"/>
                <w:szCs w:val="16"/>
                <w:color w:val="auto"/>
              </w:rPr>
            </w:pPr>
          </w:p>
        </w:tc>
        <w:tc>
          <w:tcPr>
            <w:tcW w:w="58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2,988</w:t>
            </w:r>
          </w:p>
        </w:tc>
        <w:tc>
          <w:tcPr>
            <w:tcW w:w="100" w:type="dxa"/>
            <w:vAlign w:val="bottom"/>
            <w:tcBorders>
              <w:bottom w:val="single" w:sz="8" w:color="0077C0"/>
            </w:tcBorders>
          </w:tcPr>
          <w:p>
            <w:pPr>
              <w:spacing w:after="0"/>
              <w:rPr>
                <w:sz w:val="16"/>
                <w:szCs w:val="16"/>
                <w:color w:val="auto"/>
              </w:rPr>
            </w:pPr>
          </w:p>
        </w:tc>
        <w:tc>
          <w:tcPr>
            <w:tcW w:w="180" w:type="dxa"/>
            <w:vAlign w:val="bottom"/>
            <w:tcBorders>
              <w:bottom w:val="single" w:sz="8" w:color="0077C0"/>
            </w:tcBorders>
          </w:tcPr>
          <w:p>
            <w:pPr>
              <w:spacing w:after="0"/>
              <w:rPr>
                <w:sz w:val="16"/>
                <w:szCs w:val="16"/>
                <w:color w:val="auto"/>
              </w:rPr>
            </w:pPr>
          </w:p>
        </w:tc>
        <w:tc>
          <w:tcPr>
            <w:tcW w:w="5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1,451</w:t>
            </w:r>
          </w:p>
        </w:tc>
        <w:tc>
          <w:tcPr>
            <w:tcW w:w="14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1,232</w:t>
            </w:r>
          </w:p>
        </w:tc>
        <w:tc>
          <w:tcPr>
            <w:tcW w:w="200" w:type="dxa"/>
            <w:vAlign w:val="bottom"/>
            <w:tcBorders>
              <w:bottom w:val="single" w:sz="8" w:color="0077C0"/>
            </w:tcBorders>
          </w:tcPr>
          <w:p>
            <w:pPr>
              <w:spacing w:after="0"/>
              <w:rPr>
                <w:sz w:val="16"/>
                <w:szCs w:val="16"/>
                <w:color w:val="auto"/>
              </w:rPr>
            </w:pPr>
          </w:p>
        </w:tc>
        <w:tc>
          <w:tcPr>
            <w:tcW w:w="5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1,224</w:t>
            </w:r>
          </w:p>
        </w:tc>
      </w:tr>
      <w:tr>
        <w:trPr>
          <w:trHeight w:val="188"/>
        </w:trPr>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 Other</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Borders>
              <w:right w:val="single" w:sz="8" w:color="0077C0"/>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Borders>
              <w:right w:val="single" w:sz="8" w:color="0077C0"/>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Borders>
              <w:right w:val="single" w:sz="8" w:color="0077C0"/>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93"/>
        </w:trPr>
        <w:tc>
          <w:tcPr>
            <w:tcW w:w="1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4,304</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4,390</w:t>
            </w:r>
          </w:p>
        </w:tc>
        <w:tc>
          <w:tcPr>
            <w:tcW w:w="180" w:type="dxa"/>
            <w:vAlign w:val="bottom"/>
          </w:tcPr>
          <w:p>
            <w:pPr>
              <w:spacing w:after="0"/>
              <w:rPr>
                <w:sz w:val="16"/>
                <w:szCs w:val="16"/>
                <w:color w:val="auto"/>
              </w:rPr>
            </w:pPr>
          </w:p>
        </w:tc>
        <w:tc>
          <w:tcPr>
            <w:tcW w:w="64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4,402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2,082</w:t>
            </w:r>
          </w:p>
        </w:tc>
        <w:tc>
          <w:tcPr>
            <w:tcW w:w="18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1,991</w:t>
            </w:r>
          </w:p>
        </w:tc>
        <w:tc>
          <w:tcPr>
            <w:tcW w:w="180" w:type="dxa"/>
            <w:vAlign w:val="bottom"/>
          </w:tcPr>
          <w:p>
            <w:pPr>
              <w:spacing w:after="0"/>
              <w:rPr>
                <w:sz w:val="16"/>
                <w:szCs w:val="16"/>
                <w:color w:val="auto"/>
              </w:rPr>
            </w:pPr>
          </w:p>
        </w:tc>
        <w:tc>
          <w:tcPr>
            <w:tcW w:w="66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1,931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355</w:t>
            </w:r>
          </w:p>
        </w:tc>
        <w:tc>
          <w:tcPr>
            <w:tcW w:w="2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200" w:type="dxa"/>
            <w:vAlign w:val="bottom"/>
          </w:tcPr>
          <w:p>
            <w:pPr>
              <w:spacing w:after="0"/>
              <w:rPr>
                <w:sz w:val="16"/>
                <w:szCs w:val="16"/>
                <w:color w:val="auto"/>
              </w:rPr>
            </w:pPr>
          </w:p>
        </w:tc>
        <w:tc>
          <w:tcPr>
            <w:tcW w:w="58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328</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r>
      <w:tr>
        <w:trPr>
          <w:trHeight w:val="203"/>
        </w:trPr>
        <w:tc>
          <w:tcPr>
            <w:tcW w:w="1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International</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122</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80" w:type="dxa"/>
            <w:vAlign w:val="bottom"/>
          </w:tcPr>
          <w:p>
            <w:pPr>
              <w:spacing w:after="0"/>
              <w:rPr>
                <w:sz w:val="17"/>
                <w:szCs w:val="17"/>
                <w:color w:val="auto"/>
              </w:rPr>
            </w:pPr>
          </w:p>
        </w:tc>
        <w:tc>
          <w:tcPr>
            <w:tcW w:w="64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w:t>
            </w:r>
          </w:p>
        </w:tc>
        <w:tc>
          <w:tcPr>
            <w:tcW w:w="18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w:t>
            </w:r>
          </w:p>
        </w:tc>
        <w:tc>
          <w:tcPr>
            <w:tcW w:w="180" w:type="dxa"/>
            <w:vAlign w:val="bottom"/>
          </w:tcPr>
          <w:p>
            <w:pPr>
              <w:spacing w:after="0"/>
              <w:rPr>
                <w:sz w:val="17"/>
                <w:szCs w:val="17"/>
                <w:color w:val="auto"/>
              </w:rPr>
            </w:pPr>
          </w:p>
        </w:tc>
        <w:tc>
          <w:tcPr>
            <w:tcW w:w="66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0" w:type="dxa"/>
            <w:vAlign w:val="bottom"/>
          </w:tcPr>
          <w:p>
            <w:pPr>
              <w:spacing w:after="0"/>
              <w:rPr>
                <w:sz w:val="17"/>
                <w:szCs w:val="17"/>
                <w:color w:val="auto"/>
              </w:rPr>
            </w:pPr>
          </w:p>
        </w:tc>
        <w:tc>
          <w:tcPr>
            <w:tcW w:w="58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3"/>
        </w:trPr>
        <w:tc>
          <w:tcPr>
            <w:tcW w:w="1540" w:type="dxa"/>
            <w:vAlign w:val="bottom"/>
            <w:tcBorders>
              <w:bottom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12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640" w:type="dxa"/>
            <w:vAlign w:val="bottom"/>
            <w:tcBorders>
              <w:bottom w:val="single" w:sz="8" w:color="0077C0"/>
              <w:right w:val="single" w:sz="8" w:color="0077C0"/>
            </w:tcBorders>
          </w:tcPr>
          <w:p>
            <w:pPr>
              <w:spacing w:after="0"/>
              <w:rPr>
                <w:sz w:val="2"/>
                <w:szCs w:val="2"/>
                <w:color w:val="auto"/>
              </w:rPr>
            </w:pPr>
          </w:p>
        </w:tc>
        <w:tc>
          <w:tcPr>
            <w:tcW w:w="100" w:type="dxa"/>
            <w:vAlign w:val="bottom"/>
            <w:tcBorders>
              <w:bottom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660" w:type="dxa"/>
            <w:vAlign w:val="bottom"/>
            <w:tcBorders>
              <w:bottom w:val="single" w:sz="8" w:color="0077C0"/>
              <w:right w:val="single" w:sz="8" w:color="0077C0"/>
            </w:tcBorders>
          </w:tcPr>
          <w:p>
            <w:pPr>
              <w:spacing w:after="0"/>
              <w:rPr>
                <w:sz w:val="2"/>
                <w:szCs w:val="2"/>
                <w:color w:val="auto"/>
              </w:rPr>
            </w:pPr>
          </w:p>
        </w:tc>
        <w:tc>
          <w:tcPr>
            <w:tcW w:w="8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580" w:type="dxa"/>
            <w:vAlign w:val="bottom"/>
            <w:tcBorders>
              <w:bottom w:val="single" w:sz="8" w:color="0077C0"/>
              <w:right w:val="single" w:sz="8" w:color="0077C0"/>
            </w:tcBorders>
          </w:tcPr>
          <w:p>
            <w:pPr>
              <w:spacing w:after="0"/>
              <w:rPr>
                <w:sz w:val="2"/>
                <w:szCs w:val="2"/>
                <w:color w:val="auto"/>
              </w:rPr>
            </w:pPr>
          </w:p>
        </w:tc>
        <w:tc>
          <w:tcPr>
            <w:tcW w:w="100" w:type="dxa"/>
            <w:vAlign w:val="bottom"/>
            <w:tcBorders>
              <w:bottom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14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r>
      <w:tr>
        <w:trPr>
          <w:trHeight w:val="190"/>
        </w:trPr>
        <w:tc>
          <w:tcPr>
            <w:tcW w:w="154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All Other</w:t>
            </w:r>
          </w:p>
        </w:tc>
        <w:tc>
          <w:tcPr>
            <w:tcW w:w="18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4,426</w:t>
            </w:r>
          </w:p>
        </w:tc>
        <w:tc>
          <w:tcPr>
            <w:tcW w:w="120" w:type="dxa"/>
            <w:vAlign w:val="bottom"/>
            <w:tcBorders>
              <w:bottom w:val="single" w:sz="8" w:color="0077C0"/>
            </w:tcBorders>
          </w:tcPr>
          <w:p>
            <w:pPr>
              <w:spacing w:after="0"/>
              <w:rPr>
                <w:sz w:val="16"/>
                <w:szCs w:val="16"/>
                <w:color w:val="auto"/>
              </w:rPr>
            </w:pPr>
          </w:p>
        </w:tc>
        <w:tc>
          <w:tcPr>
            <w:tcW w:w="7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4,537</w:t>
            </w:r>
          </w:p>
        </w:tc>
        <w:tc>
          <w:tcPr>
            <w:tcW w:w="18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4,556</w:t>
            </w:r>
          </w:p>
        </w:tc>
        <w:tc>
          <w:tcPr>
            <w:tcW w:w="100" w:type="dxa"/>
            <w:vAlign w:val="bottom"/>
            <w:tcBorders>
              <w:bottom w:val="single" w:sz="8" w:color="0077C0"/>
            </w:tcBorders>
          </w:tcPr>
          <w:p>
            <w:pPr>
              <w:spacing w:after="0"/>
              <w:rPr>
                <w:sz w:val="16"/>
                <w:szCs w:val="16"/>
                <w:color w:val="auto"/>
              </w:rPr>
            </w:pPr>
          </w:p>
        </w:tc>
        <w:tc>
          <w:tcPr>
            <w:tcW w:w="18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2,116</w:t>
            </w:r>
          </w:p>
        </w:tc>
        <w:tc>
          <w:tcPr>
            <w:tcW w:w="18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2,025</w:t>
            </w:r>
          </w:p>
        </w:tc>
        <w:tc>
          <w:tcPr>
            <w:tcW w:w="180" w:type="dxa"/>
            <w:vAlign w:val="bottom"/>
            <w:tcBorders>
              <w:bottom w:val="single" w:sz="8" w:color="0077C0"/>
            </w:tcBorders>
          </w:tcPr>
          <w:p>
            <w:pPr>
              <w:spacing w:after="0"/>
              <w:rPr>
                <w:sz w:val="16"/>
                <w:szCs w:val="16"/>
                <w:color w:val="auto"/>
              </w:rPr>
            </w:pPr>
          </w:p>
        </w:tc>
        <w:tc>
          <w:tcPr>
            <w:tcW w:w="66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1,958</w:t>
            </w:r>
          </w:p>
        </w:tc>
        <w:tc>
          <w:tcPr>
            <w:tcW w:w="80" w:type="dxa"/>
            <w:vAlign w:val="bottom"/>
            <w:tcBorders>
              <w:bottom w:val="single" w:sz="8" w:color="0077C0"/>
            </w:tcBorders>
          </w:tcPr>
          <w:p>
            <w:pPr>
              <w:spacing w:after="0"/>
              <w:rPr>
                <w:sz w:val="16"/>
                <w:szCs w:val="16"/>
                <w:color w:val="auto"/>
              </w:rPr>
            </w:pPr>
          </w:p>
        </w:tc>
        <w:tc>
          <w:tcPr>
            <w:tcW w:w="200" w:type="dxa"/>
            <w:vAlign w:val="bottom"/>
            <w:tcBorders>
              <w:bottom w:val="single" w:sz="8" w:color="0077C0"/>
            </w:tcBorders>
          </w:tcPr>
          <w:p>
            <w:pPr>
              <w:spacing w:after="0"/>
              <w:rPr>
                <w:sz w:val="16"/>
                <w:szCs w:val="16"/>
                <w:color w:val="auto"/>
              </w:rPr>
            </w:pPr>
          </w:p>
        </w:tc>
        <w:tc>
          <w:tcPr>
            <w:tcW w:w="5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362</w:t>
            </w:r>
          </w:p>
        </w:tc>
        <w:tc>
          <w:tcPr>
            <w:tcW w:w="200" w:type="dxa"/>
            <w:vAlign w:val="bottom"/>
            <w:tcBorders>
              <w:bottom w:val="single" w:sz="8" w:color="0077C0"/>
            </w:tcBorders>
          </w:tcPr>
          <w:p>
            <w:pPr>
              <w:spacing w:after="0"/>
              <w:rPr>
                <w:sz w:val="16"/>
                <w:szCs w:val="16"/>
                <w:color w:val="auto"/>
              </w:rPr>
            </w:pPr>
          </w:p>
        </w:tc>
        <w:tc>
          <w:tcPr>
            <w:tcW w:w="5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200" w:type="dxa"/>
            <w:vAlign w:val="bottom"/>
            <w:tcBorders>
              <w:bottom w:val="single" w:sz="8" w:color="0077C0"/>
            </w:tcBorders>
          </w:tcPr>
          <w:p>
            <w:pPr>
              <w:spacing w:after="0"/>
              <w:rPr>
                <w:sz w:val="16"/>
                <w:szCs w:val="16"/>
                <w:color w:val="auto"/>
              </w:rPr>
            </w:pPr>
          </w:p>
        </w:tc>
        <w:tc>
          <w:tcPr>
            <w:tcW w:w="58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tcBorders>
              <w:bottom w:val="single" w:sz="8" w:color="0077C0"/>
            </w:tcBorders>
          </w:tcPr>
          <w:p>
            <w:pPr>
              <w:spacing w:after="0"/>
              <w:rPr>
                <w:sz w:val="16"/>
                <w:szCs w:val="16"/>
                <w:color w:val="auto"/>
              </w:rPr>
            </w:pPr>
          </w:p>
        </w:tc>
        <w:tc>
          <w:tcPr>
            <w:tcW w:w="180" w:type="dxa"/>
            <w:vAlign w:val="bottom"/>
            <w:tcBorders>
              <w:bottom w:val="single" w:sz="8" w:color="0077C0"/>
            </w:tcBorders>
          </w:tcPr>
          <w:p>
            <w:pPr>
              <w:spacing w:after="0"/>
              <w:rPr>
                <w:sz w:val="16"/>
                <w:szCs w:val="16"/>
                <w:color w:val="auto"/>
              </w:rPr>
            </w:pPr>
          </w:p>
        </w:tc>
        <w:tc>
          <w:tcPr>
            <w:tcW w:w="5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334</w:t>
            </w:r>
          </w:p>
        </w:tc>
        <w:tc>
          <w:tcPr>
            <w:tcW w:w="14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200" w:type="dxa"/>
            <w:vAlign w:val="bottom"/>
            <w:tcBorders>
              <w:bottom w:val="single" w:sz="8" w:color="0077C0"/>
            </w:tcBorders>
          </w:tcPr>
          <w:p>
            <w:pPr>
              <w:spacing w:after="0"/>
              <w:rPr>
                <w:sz w:val="16"/>
                <w:szCs w:val="16"/>
                <w:color w:val="auto"/>
              </w:rPr>
            </w:pPr>
          </w:p>
        </w:tc>
        <w:tc>
          <w:tcPr>
            <w:tcW w:w="5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253</w:t>
            </w:r>
          </w:p>
        </w:tc>
      </w:tr>
      <w:tr>
        <w:trPr>
          <w:trHeight w:val="190"/>
        </w:trPr>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United States</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161,079</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153,537</w:t>
            </w:r>
          </w:p>
        </w:tc>
        <w:tc>
          <w:tcPr>
            <w:tcW w:w="180" w:type="dxa"/>
            <w:vAlign w:val="bottom"/>
          </w:tcPr>
          <w:p>
            <w:pPr>
              <w:spacing w:after="0"/>
              <w:rPr>
                <w:sz w:val="16"/>
                <w:szCs w:val="16"/>
                <w:color w:val="auto"/>
              </w:rPr>
            </w:pPr>
          </w:p>
        </w:tc>
        <w:tc>
          <w:tcPr>
            <w:tcW w:w="64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130,794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68,177</w:t>
            </w:r>
          </w:p>
        </w:tc>
        <w:tc>
          <w:tcPr>
            <w:tcW w:w="18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65,902</w:t>
            </w:r>
          </w:p>
        </w:tc>
        <w:tc>
          <w:tcPr>
            <w:tcW w:w="180" w:type="dxa"/>
            <w:vAlign w:val="bottom"/>
          </w:tcPr>
          <w:p>
            <w:pPr>
              <w:spacing w:after="0"/>
              <w:rPr>
                <w:sz w:val="16"/>
                <w:szCs w:val="16"/>
                <w:color w:val="auto"/>
              </w:rPr>
            </w:pPr>
          </w:p>
        </w:tc>
        <w:tc>
          <w:tcPr>
            <w:tcW w:w="66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51,789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11,163</w:t>
            </w:r>
          </w:p>
        </w:tc>
        <w:tc>
          <w:tcPr>
            <w:tcW w:w="2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22,342</w:t>
            </w:r>
          </w:p>
        </w:tc>
        <w:tc>
          <w:tcPr>
            <w:tcW w:w="200" w:type="dxa"/>
            <w:vAlign w:val="bottom"/>
          </w:tcPr>
          <w:p>
            <w:pPr>
              <w:spacing w:after="0"/>
              <w:rPr>
                <w:sz w:val="16"/>
                <w:szCs w:val="16"/>
                <w:color w:val="auto"/>
              </w:rPr>
            </w:pPr>
          </w:p>
        </w:tc>
        <w:tc>
          <w:tcPr>
            <w:tcW w:w="58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9,433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8,981</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8,910</w:t>
            </w: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6,172</w:t>
            </w:r>
          </w:p>
        </w:tc>
      </w:tr>
      <w:tr>
        <w:trPr>
          <w:trHeight w:val="191"/>
        </w:trPr>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International</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184,854</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192,544</w:t>
            </w:r>
          </w:p>
        </w:tc>
        <w:tc>
          <w:tcPr>
            <w:tcW w:w="180" w:type="dxa"/>
            <w:vAlign w:val="bottom"/>
          </w:tcPr>
          <w:p>
            <w:pPr>
              <w:spacing w:after="0"/>
              <w:rPr>
                <w:sz w:val="16"/>
                <w:szCs w:val="16"/>
                <w:color w:val="auto"/>
              </w:rPr>
            </w:pPr>
          </w:p>
        </w:tc>
        <w:tc>
          <w:tcPr>
            <w:tcW w:w="64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196,991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79,622</w:t>
            </w:r>
          </w:p>
        </w:tc>
        <w:tc>
          <w:tcPr>
            <w:tcW w:w="18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87,717</w:t>
            </w:r>
          </w:p>
        </w:tc>
        <w:tc>
          <w:tcPr>
            <w:tcW w:w="180" w:type="dxa"/>
            <w:vAlign w:val="bottom"/>
          </w:tcPr>
          <w:p>
            <w:pPr>
              <w:spacing w:after="0"/>
              <w:rPr>
                <w:sz w:val="16"/>
                <w:szCs w:val="16"/>
                <w:color w:val="auto"/>
              </w:rPr>
            </w:pPr>
          </w:p>
        </w:tc>
        <w:tc>
          <w:tcPr>
            <w:tcW w:w="66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91,802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4,678</w:t>
            </w:r>
          </w:p>
        </w:tc>
        <w:tc>
          <w:tcPr>
            <w:tcW w:w="2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4,382</w:t>
            </w:r>
          </w:p>
        </w:tc>
        <w:tc>
          <w:tcPr>
            <w:tcW w:w="200" w:type="dxa"/>
            <w:vAlign w:val="bottom"/>
          </w:tcPr>
          <w:p>
            <w:pPr>
              <w:spacing w:after="0"/>
              <w:rPr>
                <w:sz w:val="16"/>
                <w:szCs w:val="16"/>
                <w:color w:val="auto"/>
              </w:rPr>
            </w:pPr>
          </w:p>
        </w:tc>
        <w:tc>
          <w:tcPr>
            <w:tcW w:w="58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2,857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8,301</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8,416</w:t>
            </w: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10,147</w:t>
            </w:r>
          </w:p>
        </w:tc>
      </w:tr>
      <w:tr>
        <w:trPr>
          <w:trHeight w:val="23"/>
        </w:trPr>
        <w:tc>
          <w:tcPr>
            <w:tcW w:w="1540" w:type="dxa"/>
            <w:vAlign w:val="bottom"/>
            <w:tcBorders>
              <w:bottom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12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640" w:type="dxa"/>
            <w:vAlign w:val="bottom"/>
            <w:tcBorders>
              <w:bottom w:val="single" w:sz="8" w:color="0077C0"/>
              <w:right w:val="single" w:sz="8" w:color="0077C0"/>
            </w:tcBorders>
          </w:tcPr>
          <w:p>
            <w:pPr>
              <w:spacing w:after="0"/>
              <w:rPr>
                <w:sz w:val="2"/>
                <w:szCs w:val="2"/>
                <w:color w:val="auto"/>
              </w:rPr>
            </w:pPr>
          </w:p>
        </w:tc>
        <w:tc>
          <w:tcPr>
            <w:tcW w:w="100" w:type="dxa"/>
            <w:vAlign w:val="bottom"/>
            <w:tcBorders>
              <w:bottom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660" w:type="dxa"/>
            <w:vAlign w:val="bottom"/>
            <w:tcBorders>
              <w:bottom w:val="single" w:sz="8" w:color="0077C0"/>
              <w:right w:val="single" w:sz="8" w:color="0077C0"/>
            </w:tcBorders>
          </w:tcPr>
          <w:p>
            <w:pPr>
              <w:spacing w:after="0"/>
              <w:rPr>
                <w:sz w:val="2"/>
                <w:szCs w:val="2"/>
                <w:color w:val="auto"/>
              </w:rPr>
            </w:pPr>
          </w:p>
        </w:tc>
        <w:tc>
          <w:tcPr>
            <w:tcW w:w="8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580" w:type="dxa"/>
            <w:vAlign w:val="bottom"/>
            <w:tcBorders>
              <w:bottom w:val="single" w:sz="8" w:color="0077C0"/>
              <w:right w:val="single" w:sz="8" w:color="0077C0"/>
            </w:tcBorders>
          </w:tcPr>
          <w:p>
            <w:pPr>
              <w:spacing w:after="0"/>
              <w:rPr>
                <w:sz w:val="2"/>
                <w:szCs w:val="2"/>
                <w:color w:val="auto"/>
              </w:rPr>
            </w:pPr>
          </w:p>
        </w:tc>
        <w:tc>
          <w:tcPr>
            <w:tcW w:w="100" w:type="dxa"/>
            <w:vAlign w:val="bottom"/>
            <w:tcBorders>
              <w:bottom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14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r>
      <w:tr>
        <w:trPr>
          <w:trHeight w:val="190"/>
        </w:trPr>
        <w:tc>
          <w:tcPr>
            <w:tcW w:w="154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345,933</w:t>
            </w:r>
          </w:p>
        </w:tc>
        <w:tc>
          <w:tcPr>
            <w:tcW w:w="1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346,081</w:t>
            </w:r>
          </w:p>
        </w:tc>
        <w:tc>
          <w:tcPr>
            <w:tcW w:w="180" w:type="dxa"/>
            <w:vAlign w:val="bottom"/>
            <w:tcBorders>
              <w:bottom w:val="single" w:sz="8" w:color="0077C0"/>
            </w:tcBorders>
          </w:tcPr>
          <w:p>
            <w:pPr>
              <w:jc w:val="center"/>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327,785</w:t>
            </w:r>
          </w:p>
        </w:tc>
        <w:tc>
          <w:tcPr>
            <w:tcW w:w="280" w:type="dxa"/>
            <w:vAlign w:val="bottom"/>
            <w:tcBorders>
              <w:bottom w:val="single" w:sz="8" w:color="0077C0"/>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147,799</w:t>
            </w:r>
          </w:p>
        </w:tc>
        <w:tc>
          <w:tcPr>
            <w:tcW w:w="18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153,619</w:t>
            </w:r>
          </w:p>
        </w:tc>
        <w:tc>
          <w:tcPr>
            <w:tcW w:w="18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143,591</w:t>
            </w:r>
          </w:p>
        </w:tc>
        <w:tc>
          <w:tcPr>
            <w:tcW w:w="280" w:type="dxa"/>
            <w:vAlign w:val="bottom"/>
            <w:tcBorders>
              <w:bottom w:val="single" w:sz="8" w:color="0077C0"/>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15,841</w:t>
            </w:r>
          </w:p>
        </w:tc>
        <w:tc>
          <w:tcPr>
            <w:tcW w:w="20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26,724</w:t>
            </w:r>
          </w:p>
        </w:tc>
        <w:tc>
          <w:tcPr>
            <w:tcW w:w="20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12,290</w:t>
            </w:r>
          </w:p>
        </w:tc>
        <w:tc>
          <w:tcPr>
            <w:tcW w:w="280" w:type="dxa"/>
            <w:vAlign w:val="bottom"/>
            <w:tcBorders>
              <w:bottom w:val="single" w:sz="8" w:color="0077C0"/>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17,282</w:t>
            </w:r>
          </w:p>
        </w:tc>
        <w:tc>
          <w:tcPr>
            <w:tcW w:w="1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17,326</w:t>
            </w:r>
          </w:p>
        </w:tc>
        <w:tc>
          <w:tcPr>
            <w:tcW w:w="20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16,319</w:t>
            </w:r>
          </w:p>
        </w:tc>
      </w:tr>
    </w:tbl>
    <w:p>
      <w:pPr>
        <w:spacing w:after="0" w:line="76" w:lineRule="exact"/>
        <w:rPr>
          <w:sz w:val="20"/>
          <w:szCs w:val="20"/>
          <w:color w:val="auto"/>
        </w:rPr>
      </w:pPr>
    </w:p>
    <w:p>
      <w:pPr>
        <w:ind w:left="180" w:right="440" w:hanging="172"/>
        <w:spacing w:after="0" w:line="222" w:lineRule="auto"/>
        <w:tabs>
          <w:tab w:leader="none" w:pos="167" w:val="left"/>
        </w:tabs>
        <w:numPr>
          <w:ilvl w:val="0"/>
          <w:numId w:val="5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Other than the United States and Australia, no other country accounted for 10 percent or more of the company’s net properties, plant and equipment (PP&amp;E) in 2024. Australia had PP&amp;E of $38,969, $41,409 and $44,012 in 2024, 2023 and 2022, respectively. Gross Investment at Cost and Additions at Cost for 2023 each include $10,487 associated with the PDC acquisition.</w:t>
      </w:r>
    </w:p>
    <w:p>
      <w:pPr>
        <w:ind w:left="160" w:hanging="152"/>
        <w:spacing w:after="0" w:line="195" w:lineRule="auto"/>
        <w:tabs>
          <w:tab w:leader="none" w:pos="160" w:val="left"/>
        </w:tabs>
        <w:numPr>
          <w:ilvl w:val="0"/>
          <w:numId w:val="5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Net of dry hole expense related to prior years’ expenditures of $98, $110 and $177 in 2024, 2023 and 2022, respectively.</w:t>
      </w:r>
    </w:p>
    <w:p>
      <w:pPr>
        <w:ind w:left="160" w:hanging="152"/>
        <w:spacing w:after="0" w:line="197" w:lineRule="auto"/>
        <w:tabs>
          <w:tab w:leader="none" w:pos="160" w:val="left"/>
        </w:tabs>
        <w:numPr>
          <w:ilvl w:val="0"/>
          <w:numId w:val="5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Depreciation expense includes accretion expense of $586, $593 and $560 in 2024, 2023 and 2022, respectively, and impairments and write-offs of $500, $2,180 and $950 in 2024, 2023 and 2022,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19</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0077C0"/>
        </w:rPr>
        <w:t>Short-Term Debt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At December 31</w:t>
            </w:r>
          </w:p>
        </w:tc>
        <w:tc>
          <w:tcPr>
            <w:tcW w:w="0" w:type="dxa"/>
            <w:vAlign w:val="bottom"/>
          </w:tcPr>
          <w:p>
            <w:pPr>
              <w:spacing w:after="0"/>
              <w:rPr>
                <w:sz w:val="1"/>
                <w:szCs w:val="1"/>
                <w:color w:val="auto"/>
              </w:rPr>
            </w:pPr>
          </w:p>
        </w:tc>
      </w:tr>
      <w:tr>
        <w:trPr>
          <w:trHeight w:val="23"/>
        </w:trPr>
        <w:tc>
          <w:tcPr>
            <w:tcW w:w="8120" w:type="dxa"/>
            <w:vAlign w:val="bottom"/>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1020" w:type="dxa"/>
            <w:vAlign w:val="bottom"/>
            <w:tcBorders>
              <w:bottom w:val="single" w:sz="8" w:color="0077C0"/>
            </w:tcBorders>
          </w:tcPr>
          <w:p>
            <w:pPr>
              <w:spacing w:after="0"/>
              <w:rPr>
                <w:sz w:val="2"/>
                <w:szCs w:val="2"/>
                <w:color w:val="auto"/>
              </w:rPr>
            </w:pPr>
          </w:p>
        </w:tc>
        <w:tc>
          <w:tcPr>
            <w:tcW w:w="400" w:type="dxa"/>
            <w:vAlign w:val="bottom"/>
            <w:tcBorders>
              <w:bottom w:val="single" w:sz="8" w:color="0077C0"/>
            </w:tcBorders>
          </w:tcPr>
          <w:p>
            <w:pPr>
              <w:spacing w:after="0"/>
              <w:rPr>
                <w:sz w:val="2"/>
                <w:szCs w:val="2"/>
                <w:color w:val="auto"/>
              </w:rPr>
            </w:pPr>
          </w:p>
        </w:tc>
        <w:tc>
          <w:tcPr>
            <w:tcW w:w="116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20" w:type="dxa"/>
            <w:vAlign w:val="bottom"/>
            <w:tcBorders>
              <w:bottom w:val="single" w:sz="8" w:color="0077C0"/>
            </w:tcBorders>
          </w:tcPr>
          <w:p>
            <w:pPr>
              <w:spacing w:after="0"/>
              <w:rPr>
                <w:sz w:val="16"/>
                <w:szCs w:val="16"/>
                <w:color w:val="auto"/>
              </w:rPr>
            </w:pPr>
          </w:p>
        </w:tc>
        <w:tc>
          <w:tcPr>
            <w:tcW w:w="540" w:type="dxa"/>
            <w:vAlign w:val="bottom"/>
            <w:tcBorders>
              <w:bottom w:val="single" w:sz="8" w:color="0077C0"/>
            </w:tcBorders>
          </w:tcPr>
          <w:p>
            <w:pPr>
              <w:spacing w:after="0"/>
              <w:rPr>
                <w:sz w:val="16"/>
                <w:szCs w:val="16"/>
                <w:color w:val="auto"/>
              </w:rPr>
            </w:pPr>
          </w:p>
        </w:tc>
        <w:tc>
          <w:tcPr>
            <w:tcW w:w="102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0077C0"/>
            </w:tcBorders>
          </w:tcPr>
          <w:p>
            <w:pPr>
              <w:spacing w:after="0"/>
              <w:rPr>
                <w:sz w:val="16"/>
                <w:szCs w:val="16"/>
                <w:color w:val="auto"/>
              </w:rPr>
            </w:pPr>
          </w:p>
        </w:tc>
        <w:tc>
          <w:tcPr>
            <w:tcW w:w="11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90"/>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paper</w:t>
            </w:r>
          </w:p>
        </w:tc>
        <w:tc>
          <w:tcPr>
            <w:tcW w:w="5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5,386</w:t>
            </w:r>
          </w:p>
        </w:tc>
        <w:tc>
          <w:tcPr>
            <w:tcW w:w="4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payable to banks and others with originating terms of one year or less</w:t>
            </w:r>
          </w:p>
        </w:tc>
        <w:tc>
          <w:tcPr>
            <w:tcW w:w="54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131</w:t>
            </w:r>
          </w:p>
        </w:tc>
        <w:tc>
          <w:tcPr>
            <w:tcW w:w="4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0" w:type="dxa"/>
            <w:vAlign w:val="bottom"/>
          </w:tcPr>
          <w:p>
            <w:pPr>
              <w:spacing w:after="0"/>
              <w:rPr>
                <w:sz w:val="1"/>
                <w:szCs w:val="1"/>
                <w:color w:val="auto"/>
              </w:rPr>
            </w:pPr>
          </w:p>
        </w:tc>
      </w:tr>
      <w:tr>
        <w:trPr>
          <w:trHeight w:val="215"/>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maturities of long-term debt</w:t>
            </w:r>
            <w:r>
              <w:rPr>
                <w:rFonts w:ascii="Times New Roman" w:cs="Times New Roman" w:eastAsia="Times New Roman" w:hAnsi="Times New Roman"/>
                <w:sz w:val="18"/>
                <w:szCs w:val="18"/>
                <w:color w:val="auto"/>
                <w:vertAlign w:val="superscript"/>
              </w:rPr>
              <w:t>*</w:t>
            </w:r>
          </w:p>
        </w:tc>
        <w:tc>
          <w:tcPr>
            <w:tcW w:w="540" w:type="dxa"/>
            <w:vAlign w:val="bottom"/>
          </w:tcPr>
          <w:p>
            <w:pPr>
              <w:spacing w:after="0"/>
              <w:rPr>
                <w:sz w:val="18"/>
                <w:szCs w:val="18"/>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4,012</w:t>
            </w: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1,667</w:t>
            </w:r>
          </w:p>
        </w:tc>
        <w:tc>
          <w:tcPr>
            <w:tcW w:w="0" w:type="dxa"/>
            <w:vAlign w:val="bottom"/>
          </w:tcPr>
          <w:p>
            <w:pPr>
              <w:spacing w:after="0"/>
              <w:rPr>
                <w:sz w:val="1"/>
                <w:szCs w:val="1"/>
                <w:color w:val="auto"/>
              </w:rPr>
            </w:pPr>
          </w:p>
        </w:tc>
      </w:tr>
      <w:tr>
        <w:trPr>
          <w:trHeight w:val="190"/>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maturities of long-term finance leases</w:t>
            </w:r>
          </w:p>
        </w:tc>
        <w:tc>
          <w:tcPr>
            <w:tcW w:w="54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58</w:t>
            </w:r>
          </w:p>
        </w:tc>
        <w:tc>
          <w:tcPr>
            <w:tcW w:w="4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203"/>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Redeemable long-term obligations</w:t>
            </w:r>
          </w:p>
        </w:tc>
        <w:tc>
          <w:tcPr>
            <w:tcW w:w="540" w:type="dxa"/>
            <w:vAlign w:val="bottom"/>
          </w:tcPr>
          <w:p>
            <w:pPr>
              <w:spacing w:after="0"/>
              <w:rPr>
                <w:sz w:val="17"/>
                <w:szCs w:val="17"/>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3,069</w:t>
            </w:r>
          </w:p>
        </w:tc>
        <w:tc>
          <w:tcPr>
            <w:tcW w:w="4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2,876</w:t>
            </w:r>
          </w:p>
        </w:tc>
        <w:tc>
          <w:tcPr>
            <w:tcW w:w="0" w:type="dxa"/>
            <w:vAlign w:val="bottom"/>
          </w:tcPr>
          <w:p>
            <w:pPr>
              <w:spacing w:after="0"/>
              <w:rPr>
                <w:sz w:val="1"/>
                <w:szCs w:val="1"/>
                <w:color w:val="auto"/>
              </w:rPr>
            </w:pPr>
          </w:p>
        </w:tc>
      </w:tr>
      <w:tr>
        <w:trPr>
          <w:trHeight w:val="23"/>
        </w:trPr>
        <w:tc>
          <w:tcPr>
            <w:tcW w:w="81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Subtotal</w:t>
            </w:r>
          </w:p>
        </w:tc>
        <w:tc>
          <w:tcPr>
            <w:tcW w:w="540" w:type="dxa"/>
            <w:vAlign w:val="bottom"/>
            <w:tcBorders>
              <w:bottom w:val="single" w:sz="8" w:color="0077C0"/>
            </w:tcBorders>
          </w:tcPr>
          <w:p>
            <w:pPr>
              <w:spacing w:after="0"/>
              <w:rPr>
                <w:sz w:val="2"/>
                <w:szCs w:val="2"/>
                <w:color w:val="auto"/>
              </w:rPr>
            </w:pPr>
          </w:p>
        </w:tc>
        <w:tc>
          <w:tcPr>
            <w:tcW w:w="1020" w:type="dxa"/>
            <w:vAlign w:val="bottom"/>
            <w:tcBorders>
              <w:bottom w:val="single" w:sz="8" w:color="0077C0"/>
            </w:tcBorders>
          </w:tcPr>
          <w:p>
            <w:pPr>
              <w:spacing w:after="0"/>
              <w:rPr>
                <w:sz w:val="2"/>
                <w:szCs w:val="2"/>
                <w:color w:val="auto"/>
              </w:rPr>
            </w:pPr>
          </w:p>
        </w:tc>
        <w:tc>
          <w:tcPr>
            <w:tcW w:w="400" w:type="dxa"/>
            <w:vAlign w:val="bottom"/>
            <w:tcBorders>
              <w:bottom w:val="single" w:sz="8" w:color="0077C0"/>
            </w:tcBorders>
          </w:tcPr>
          <w:p>
            <w:pPr>
              <w:spacing w:after="0"/>
              <w:rPr>
                <w:sz w:val="2"/>
                <w:szCs w:val="2"/>
                <w:color w:val="auto"/>
              </w:rPr>
            </w:pPr>
          </w:p>
        </w:tc>
        <w:tc>
          <w:tcPr>
            <w:tcW w:w="116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12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12,656</w:t>
            </w:r>
          </w:p>
        </w:tc>
        <w:tc>
          <w:tcPr>
            <w:tcW w:w="4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5,072</w:t>
            </w:r>
          </w:p>
        </w:tc>
        <w:tc>
          <w:tcPr>
            <w:tcW w:w="0" w:type="dxa"/>
            <w:vAlign w:val="bottom"/>
          </w:tcPr>
          <w:p>
            <w:pPr>
              <w:spacing w:after="0"/>
              <w:rPr>
                <w:sz w:val="1"/>
                <w:szCs w:val="1"/>
                <w:color w:val="auto"/>
              </w:rPr>
            </w:pPr>
          </w:p>
        </w:tc>
      </w:tr>
      <w:tr>
        <w:trPr>
          <w:trHeight w:val="191"/>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Reclassified to long-term debt</w:t>
            </w:r>
          </w:p>
        </w:tc>
        <w:tc>
          <w:tcPr>
            <w:tcW w:w="540" w:type="dxa"/>
            <w:vAlign w:val="bottom"/>
          </w:tcPr>
          <w:p>
            <w:pPr>
              <w:spacing w:after="0"/>
              <w:rPr>
                <w:sz w:val="16"/>
                <w:szCs w:val="16"/>
                <w:color w:val="auto"/>
              </w:rPr>
            </w:pP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(8,250)</w:t>
            </w:r>
          </w:p>
        </w:tc>
        <w:tc>
          <w:tcPr>
            <w:tcW w:w="4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(4,543)</w:t>
            </w:r>
          </w:p>
        </w:tc>
        <w:tc>
          <w:tcPr>
            <w:tcW w:w="0" w:type="dxa"/>
            <w:vAlign w:val="bottom"/>
          </w:tcPr>
          <w:p>
            <w:pPr>
              <w:spacing w:after="0"/>
              <w:rPr>
                <w:sz w:val="1"/>
                <w:szCs w:val="1"/>
                <w:color w:val="auto"/>
              </w:rPr>
            </w:pPr>
          </w:p>
        </w:tc>
      </w:tr>
      <w:tr>
        <w:trPr>
          <w:trHeight w:val="23"/>
        </w:trPr>
        <w:tc>
          <w:tcPr>
            <w:tcW w:w="8120" w:type="dxa"/>
            <w:vAlign w:val="bottom"/>
            <w:tcBorders>
              <w:bottom w:val="single" w:sz="8" w:color="0077C0"/>
            </w:tcBorders>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1020" w:type="dxa"/>
            <w:vAlign w:val="bottom"/>
            <w:tcBorders>
              <w:bottom w:val="single" w:sz="8" w:color="0077C0"/>
            </w:tcBorders>
          </w:tcPr>
          <w:p>
            <w:pPr>
              <w:spacing w:after="0"/>
              <w:rPr>
                <w:sz w:val="2"/>
                <w:szCs w:val="2"/>
                <w:color w:val="auto"/>
              </w:rPr>
            </w:pPr>
          </w:p>
        </w:tc>
        <w:tc>
          <w:tcPr>
            <w:tcW w:w="400" w:type="dxa"/>
            <w:vAlign w:val="bottom"/>
            <w:tcBorders>
              <w:bottom w:val="single" w:sz="8" w:color="0077C0"/>
            </w:tcBorders>
          </w:tcPr>
          <w:p>
            <w:pPr>
              <w:spacing w:after="0"/>
              <w:rPr>
                <w:sz w:val="2"/>
                <w:szCs w:val="2"/>
                <w:color w:val="auto"/>
              </w:rPr>
            </w:pPr>
          </w:p>
        </w:tc>
        <w:tc>
          <w:tcPr>
            <w:tcW w:w="116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short-term debt</w:t>
            </w:r>
          </w:p>
        </w:tc>
        <w:tc>
          <w:tcPr>
            <w:tcW w:w="5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4,406</w:t>
            </w:r>
          </w:p>
        </w:tc>
        <w:tc>
          <w:tcPr>
            <w:tcW w:w="4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-1045845</wp:posOffset>
            </wp:positionV>
            <wp:extent cx="7132320" cy="10629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062990"/>
                    </a:xfrm>
                    <a:prstGeom prst="rect">
                      <a:avLst/>
                    </a:prstGeom>
                    <a:noFill/>
                  </pic:spPr>
                </pic:pic>
              </a:graphicData>
            </a:graphic>
          </wp:anchor>
        </w:drawing>
      </w:r>
    </w:p>
    <w:p>
      <w:pPr>
        <w:ind w:left="100" w:hanging="74"/>
        <w:spacing w:after="0" w:line="224" w:lineRule="auto"/>
        <w:tabs>
          <w:tab w:leader="none" w:pos="100" w:val="left"/>
        </w:tabs>
        <w:numPr>
          <w:ilvl w:val="0"/>
          <w:numId w:val="5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Inclusive of unamortized premiums of $0 at December 31, 2024 and $17 at December 31, 2023.</w:t>
      </w:r>
    </w:p>
    <w:p>
      <w:pPr>
        <w:spacing w:after="0" w:line="14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Redeemable long-term obligations consist primarily of tax-exempt variable-rate put bonds that are included as current liabilities because they become redeemable at the option of the bondholders during the year following the balance sheet date.</w:t>
      </w:r>
    </w:p>
    <w:p>
      <w:pPr>
        <w:spacing w:after="0" w:line="2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company may periodically enter into interest rate swaps on a portion of its short-term debt. At December 31, 2024, the company had no interest rate swaps on short-term debt.</w:t>
      </w:r>
    </w:p>
    <w:p>
      <w:pPr>
        <w:spacing w:after="0" w:line="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2024, the company had $8,250 in 364-day committed credit facilities with various major banks that enable the refinancing of short-term obligations. The credit facilities allow the company the option to convert outstanding short-term obligations into a term loan for a period of up to one year from the facilities termination date. This supports commercial paper borrowing and can also be used for general corporate purposes. The company’s practice has been to replace expiring commitments with new commitments on substantially the same terms, maintaining levels management believes appropriate. Any borrowings under these facilities would be unsecured indebtedness at interest rates based on the Secured Overnight Financing Rate (SOFR), or an average of base lending rates published by specified banks and on terms reflecting the company’s strong credit rating. No borrowings were outstanding under these facilities at December 31, 2024.</w:t>
      </w:r>
    </w:p>
    <w:p>
      <w:pPr>
        <w:spacing w:after="0" w:line="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 classified $8,250 and $4,543 of short-term debt as long-term at December 31, 2024 and 2023, respectively. Settlement of these obligations is not expected to require the use of working capital within one year, as the company had the intent and the ability, as evidenced by committed credit facilities, to continue refinancing them.</w:t>
      </w:r>
    </w:p>
    <w:p>
      <w:pPr>
        <w:sectPr>
          <w:pgSz w:w="11900" w:h="16838" w:orient="portrait"/>
          <w:cols w:equalWidth="0" w:num="1">
            <w:col w:w="11240"/>
          </w:cols>
          <w:pgMar w:left="320" w:top="184" w:right="3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91" w:name="page92"/>
    <w:bookmarkEnd w:id="91"/>
    <w:p>
      <w:pPr>
        <w:ind w:left="20"/>
        <w:spacing w:after="0"/>
        <w:tabs>
          <w:tab w:leader="none" w:pos="9460" w:val="left"/>
        </w:tabs>
        <w:rPr>
          <w:sz w:val="20"/>
          <w:szCs w:val="20"/>
          <w:color w:val="auto"/>
        </w:rPr>
      </w:pPr>
      <w:r>
        <w:rPr>
          <w:rFonts w:ascii="Arial" w:cs="Arial" w:eastAsia="Arial" w:hAnsi="Arial"/>
          <w:sz w:val="14"/>
          <w:szCs w:val="14"/>
          <w:color w:val="0077C0"/>
        </w:rPr>
        <w:t>Notes to the Consolidated Financial Statements</w:t>
      </w:r>
      <w:r>
        <w:rPr>
          <w:sz w:val="20"/>
          <w:szCs w:val="20"/>
          <w:color w:val="auto"/>
        </w:rPr>
        <w:tab/>
      </w:r>
      <w:r>
        <w:rPr>
          <w:rFonts w:ascii="Arial" w:cs="Arial" w:eastAsia="Arial" w:hAnsi="Arial"/>
          <w:sz w:val="14"/>
          <w:szCs w:val="14"/>
          <w:color w:val="0077C0"/>
        </w:rPr>
        <w:t>Financial Table of Contents</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11"/>
          <w:szCs w:val="11"/>
          <w:color w:val="0077C0"/>
        </w:rPr>
        <w:t>Millions of dollars, except per-share amounts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20</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0077C0"/>
        </w:rPr>
        <w:t>Long-Term Debt</w:t>
      </w:r>
    </w:p>
    <w:p>
      <w:pPr>
        <w:spacing w:after="0" w:line="1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Total long-term debt including finance lease liabilities at December 31, 2024, was $20,135. The company’s long-term debt outstanding at year-end 2024 and 2023 was as follows:</w:t>
      </w:r>
    </w:p>
    <w:tbl>
      <w:tblPr>
        <w:tblLayout w:type="fixed"/>
        <w:tblInd w:w="0" w:type="dxa"/>
        <w:tblCellMar>
          <w:top w:w="0" w:type="dxa"/>
          <w:left w:w="0" w:type="dxa"/>
          <w:bottom w:w="0" w:type="dxa"/>
          <w:right w:w="0" w:type="dxa"/>
        </w:tblCellMar>
      </w:tblPr>
      <w:tr>
        <w:trPr>
          <w:trHeight w:val="188"/>
        </w:trPr>
        <w:tc>
          <w:tcPr>
            <w:tcW w:w="44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At December 31</w:t>
            </w: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Borders>
              <w:bottom w:val="single" w:sz="8" w:color="0077C0"/>
            </w:tcBorders>
          </w:tcPr>
          <w:p>
            <w:pPr>
              <w:spacing w:after="0"/>
              <w:rPr>
                <w:sz w:val="2"/>
                <w:szCs w:val="2"/>
                <w:color w:val="auto"/>
              </w:rPr>
            </w:pPr>
          </w:p>
        </w:tc>
        <w:tc>
          <w:tcPr>
            <w:tcW w:w="1100" w:type="dxa"/>
            <w:vAlign w:val="bottom"/>
            <w:tcBorders>
              <w:bottom w:val="single" w:sz="8" w:color="0077C0"/>
            </w:tcBorders>
          </w:tcPr>
          <w:p>
            <w:pPr>
              <w:spacing w:after="0"/>
              <w:rPr>
                <w:sz w:val="2"/>
                <w:szCs w:val="2"/>
                <w:color w:val="auto"/>
              </w:rPr>
            </w:pPr>
          </w:p>
        </w:tc>
        <w:tc>
          <w:tcPr>
            <w:tcW w:w="380" w:type="dxa"/>
            <w:vAlign w:val="bottom"/>
            <w:tcBorders>
              <w:bottom w:val="single" w:sz="8" w:color="0077C0"/>
            </w:tcBorders>
          </w:tcPr>
          <w:p>
            <w:pPr>
              <w:spacing w:after="0"/>
              <w:rPr>
                <w:sz w:val="2"/>
                <w:szCs w:val="2"/>
                <w:color w:val="auto"/>
              </w:rPr>
            </w:pPr>
          </w:p>
        </w:tc>
        <w:tc>
          <w:tcPr>
            <w:tcW w:w="118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4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80" w:type="dxa"/>
            <w:vAlign w:val="bottom"/>
            <w:tcBorders>
              <w:bottom w:val="single" w:sz="8" w:color="0077C0"/>
            </w:tcBorders>
          </w:tcPr>
          <w:p>
            <w:pPr>
              <w:spacing w:after="0"/>
              <w:rPr>
                <w:sz w:val="16"/>
                <w:szCs w:val="16"/>
                <w:color w:val="auto"/>
              </w:rPr>
            </w:pPr>
          </w:p>
        </w:tc>
        <w:tc>
          <w:tcPr>
            <w:tcW w:w="110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0077C0"/>
            </w:tcBorders>
          </w:tcPr>
          <w:p>
            <w:pPr>
              <w:spacing w:after="0"/>
              <w:rPr>
                <w:sz w:val="16"/>
                <w:szCs w:val="16"/>
                <w:color w:val="auto"/>
              </w:rPr>
            </w:pPr>
          </w:p>
        </w:tc>
        <w:tc>
          <w:tcPr>
            <w:tcW w:w="11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23"/>
        </w:trPr>
        <w:tc>
          <w:tcPr>
            <w:tcW w:w="4400" w:type="dxa"/>
            <w:vAlign w:val="bottom"/>
          </w:tcPr>
          <w:p>
            <w:pPr>
              <w:spacing w:after="0"/>
              <w:rPr>
                <w:sz w:val="10"/>
                <w:szCs w:val="10"/>
                <w:color w:val="auto"/>
              </w:rPr>
            </w:pPr>
          </w:p>
        </w:tc>
        <w:tc>
          <w:tcPr>
            <w:tcW w:w="1880" w:type="dxa"/>
            <w:vAlign w:val="bottom"/>
          </w:tcPr>
          <w:p>
            <w:pPr>
              <w:jc w:val="center"/>
              <w:spacing w:after="0" w:line="123" w:lineRule="exact"/>
              <w:rPr>
                <w:sz w:val="20"/>
                <w:szCs w:val="20"/>
                <w:color w:val="auto"/>
              </w:rPr>
            </w:pPr>
            <w:r>
              <w:rPr>
                <w:rFonts w:ascii="Times New Roman" w:cs="Times New Roman" w:eastAsia="Times New Roman" w:hAnsi="Times New Roman"/>
                <w:sz w:val="14"/>
                <w:szCs w:val="14"/>
                <w:color w:val="auto"/>
              </w:rPr>
              <w:t>Weighted Average Interest</w:t>
            </w:r>
          </w:p>
        </w:tc>
        <w:tc>
          <w:tcPr>
            <w:tcW w:w="1820" w:type="dxa"/>
            <w:vAlign w:val="bottom"/>
          </w:tcPr>
          <w:p>
            <w:pPr>
              <w:ind w:left="160"/>
              <w:spacing w:after="0" w:line="123" w:lineRule="exact"/>
              <w:rPr>
                <w:sz w:val="20"/>
                <w:szCs w:val="20"/>
                <w:color w:val="auto"/>
              </w:rPr>
            </w:pPr>
            <w:r>
              <w:rPr>
                <w:rFonts w:ascii="Times New Roman" w:cs="Times New Roman" w:eastAsia="Times New Roman" w:hAnsi="Times New Roman"/>
                <w:sz w:val="14"/>
                <w:szCs w:val="14"/>
                <w:color w:val="auto"/>
              </w:rPr>
              <w:t>Range of Interest Rates</w:t>
            </w:r>
          </w:p>
        </w:tc>
        <w:tc>
          <w:tcPr>
            <w:tcW w:w="480" w:type="dxa"/>
            <w:vAlign w:val="bottom"/>
          </w:tcPr>
          <w:p>
            <w:pPr>
              <w:spacing w:after="0"/>
              <w:rPr>
                <w:sz w:val="10"/>
                <w:szCs w:val="10"/>
                <w:color w:val="auto"/>
              </w:rPr>
            </w:pPr>
          </w:p>
        </w:tc>
        <w:tc>
          <w:tcPr>
            <w:tcW w:w="11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38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Principal</w:t>
            </w:r>
          </w:p>
        </w:tc>
        <w:tc>
          <w:tcPr>
            <w:tcW w:w="0" w:type="dxa"/>
            <w:vAlign w:val="bottom"/>
          </w:tcPr>
          <w:p>
            <w:pPr>
              <w:spacing w:after="0"/>
              <w:rPr>
                <w:sz w:val="1"/>
                <w:szCs w:val="1"/>
                <w:color w:val="auto"/>
              </w:rPr>
            </w:pPr>
          </w:p>
        </w:tc>
      </w:tr>
      <w:tr>
        <w:trPr>
          <w:trHeight w:val="201"/>
        </w:trPr>
        <w:tc>
          <w:tcPr>
            <w:tcW w:w="4400" w:type="dxa"/>
            <w:vAlign w:val="bottom"/>
            <w:tcBorders>
              <w:bottom w:val="single" w:sz="8" w:color="0077C0"/>
            </w:tcBorders>
          </w:tcPr>
          <w:p>
            <w:pPr>
              <w:spacing w:after="0"/>
              <w:rPr>
                <w:sz w:val="17"/>
                <w:szCs w:val="17"/>
                <w:color w:val="auto"/>
              </w:rPr>
            </w:pPr>
          </w:p>
        </w:tc>
        <w:tc>
          <w:tcPr>
            <w:tcW w:w="1880" w:type="dxa"/>
            <w:vAlign w:val="bottom"/>
            <w:tcBorders>
              <w:bottom w:val="single" w:sz="8" w:color="0077C0"/>
            </w:tcBorders>
          </w:tcPr>
          <w:p>
            <w:pPr>
              <w:jc w:val="center"/>
              <w:spacing w:after="0" w:line="201" w:lineRule="exact"/>
              <w:rPr>
                <w:sz w:val="20"/>
                <w:szCs w:val="20"/>
                <w:color w:val="auto"/>
              </w:rPr>
            </w:pPr>
            <w:r>
              <w:rPr>
                <w:rFonts w:ascii="Times New Roman" w:cs="Times New Roman" w:eastAsia="Times New Roman" w:hAnsi="Times New Roman"/>
                <w:sz w:val="14"/>
                <w:szCs w:val="14"/>
                <w:color w:val="auto"/>
                <w:w w:val="99"/>
              </w:rPr>
              <w:t>Rate (%)</w:t>
            </w:r>
            <w:r>
              <w:rPr>
                <w:rFonts w:ascii="Times New Roman" w:cs="Times New Roman" w:eastAsia="Times New Roman" w:hAnsi="Times New Roman"/>
                <w:sz w:val="18"/>
                <w:szCs w:val="18"/>
                <w:color w:val="auto"/>
                <w:w w:val="99"/>
                <w:vertAlign w:val="superscript"/>
              </w:rPr>
              <w:t>1</w:t>
            </w:r>
          </w:p>
        </w:tc>
        <w:tc>
          <w:tcPr>
            <w:tcW w:w="1820" w:type="dxa"/>
            <w:vAlign w:val="bottom"/>
            <w:tcBorders>
              <w:bottom w:val="single" w:sz="8" w:color="0077C0"/>
            </w:tcBorders>
          </w:tcPr>
          <w:p>
            <w:pPr>
              <w:jc w:val="center"/>
              <w:ind w:right="88"/>
              <w:spacing w:after="0" w:line="201" w:lineRule="exact"/>
              <w:rPr>
                <w:sz w:val="20"/>
                <w:szCs w:val="20"/>
                <w:color w:val="auto"/>
              </w:rPr>
            </w:pPr>
            <w:r>
              <w:rPr>
                <w:rFonts w:ascii="Times New Roman" w:cs="Times New Roman" w:eastAsia="Times New Roman" w:hAnsi="Times New Roman"/>
                <w:sz w:val="14"/>
                <w:szCs w:val="14"/>
                <w:color w:val="auto"/>
                <w:w w:val="96"/>
              </w:rPr>
              <w:t>(%)</w:t>
            </w:r>
            <w:r>
              <w:rPr>
                <w:rFonts w:ascii="Times New Roman" w:cs="Times New Roman" w:eastAsia="Times New Roman" w:hAnsi="Times New Roman"/>
                <w:sz w:val="18"/>
                <w:szCs w:val="18"/>
                <w:color w:val="auto"/>
                <w:w w:val="96"/>
                <w:vertAlign w:val="superscript"/>
              </w:rPr>
              <w:t>2</w:t>
            </w:r>
          </w:p>
        </w:tc>
        <w:tc>
          <w:tcPr>
            <w:tcW w:w="480" w:type="dxa"/>
            <w:vAlign w:val="bottom"/>
            <w:tcBorders>
              <w:bottom w:val="single" w:sz="8" w:color="0077C0"/>
            </w:tcBorders>
          </w:tcPr>
          <w:p>
            <w:pPr>
              <w:spacing w:after="0"/>
              <w:rPr>
                <w:sz w:val="17"/>
                <w:szCs w:val="17"/>
                <w:color w:val="auto"/>
              </w:rPr>
            </w:pPr>
          </w:p>
        </w:tc>
        <w:tc>
          <w:tcPr>
            <w:tcW w:w="1100" w:type="dxa"/>
            <w:vAlign w:val="bottom"/>
            <w:tcBorders>
              <w:bottom w:val="single" w:sz="8" w:color="0077C0"/>
            </w:tcBorders>
            <w:vMerge w:val="continue"/>
          </w:tcPr>
          <w:p>
            <w:pPr>
              <w:spacing w:after="0"/>
              <w:rPr>
                <w:sz w:val="17"/>
                <w:szCs w:val="17"/>
                <w:color w:val="auto"/>
              </w:rPr>
            </w:pPr>
          </w:p>
        </w:tc>
        <w:tc>
          <w:tcPr>
            <w:tcW w:w="380" w:type="dxa"/>
            <w:vAlign w:val="bottom"/>
            <w:tcBorders>
              <w:bottom w:val="single" w:sz="8" w:color="0077C0"/>
            </w:tcBorders>
          </w:tcPr>
          <w:p>
            <w:pPr>
              <w:spacing w:after="0"/>
              <w:rPr>
                <w:sz w:val="17"/>
                <w:szCs w:val="17"/>
                <w:color w:val="auto"/>
              </w:rPr>
            </w:pPr>
          </w:p>
        </w:tc>
        <w:tc>
          <w:tcPr>
            <w:tcW w:w="1180" w:type="dxa"/>
            <w:vAlign w:val="bottom"/>
            <w:tcBorders>
              <w:bottom w:val="single" w:sz="8" w:color="0077C0"/>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due 2025</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1.724</w:t>
            </w:r>
          </w:p>
        </w:tc>
        <w:tc>
          <w:tcPr>
            <w:tcW w:w="182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0.687 - 3.326</w:t>
            </w:r>
          </w:p>
        </w:tc>
        <w:tc>
          <w:tcPr>
            <w:tcW w:w="480" w:type="dxa"/>
            <w:vAlign w:val="bottom"/>
          </w:tcPr>
          <w:p>
            <w:pPr>
              <w:spacing w:after="0"/>
              <w:rPr>
                <w:sz w:val="15"/>
                <w:szCs w:val="15"/>
                <w:color w:val="auto"/>
              </w:rPr>
            </w:pPr>
          </w:p>
        </w:tc>
        <w:tc>
          <w:tcPr>
            <w:tcW w:w="110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4,000</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0" w:type="dxa"/>
            <w:vAlign w:val="bottom"/>
          </w:tcPr>
          <w:p>
            <w:pPr>
              <w:spacing w:after="0"/>
              <w:rPr>
                <w:sz w:val="1"/>
                <w:szCs w:val="1"/>
                <w:color w:val="auto"/>
              </w:rPr>
            </w:pPr>
          </w:p>
        </w:tc>
      </w:tr>
      <w:tr>
        <w:trPr>
          <w:trHeight w:val="191"/>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due 2026</w:t>
            </w:r>
          </w:p>
        </w:tc>
        <w:tc>
          <w:tcPr>
            <w:tcW w:w="1880" w:type="dxa"/>
            <w:vAlign w:val="bottom"/>
          </w:tcPr>
          <w:p>
            <w:pPr>
              <w:spacing w:after="0"/>
              <w:rPr>
                <w:sz w:val="16"/>
                <w:szCs w:val="16"/>
                <w:color w:val="auto"/>
              </w:rPr>
            </w:pPr>
          </w:p>
        </w:tc>
        <w:tc>
          <w:tcPr>
            <w:tcW w:w="182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2.954</w:t>
            </w:r>
          </w:p>
        </w:tc>
        <w:tc>
          <w:tcPr>
            <w:tcW w:w="480" w:type="dxa"/>
            <w:vAlign w:val="bottom"/>
          </w:tcPr>
          <w:p>
            <w:pPr>
              <w:spacing w:after="0"/>
              <w:rPr>
                <w:sz w:val="16"/>
                <w:szCs w:val="16"/>
                <w:color w:val="auto"/>
              </w:rPr>
            </w:pPr>
          </w:p>
        </w:tc>
        <w:tc>
          <w:tcPr>
            <w:tcW w:w="110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2,250</w:t>
            </w: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w:t>
            </w:r>
          </w:p>
        </w:tc>
        <w:tc>
          <w:tcPr>
            <w:tcW w:w="0" w:type="dxa"/>
            <w:vAlign w:val="bottom"/>
          </w:tcPr>
          <w:p>
            <w:pPr>
              <w:spacing w:after="0"/>
              <w:rPr>
                <w:sz w:val="1"/>
                <w:szCs w:val="1"/>
                <w:color w:val="auto"/>
              </w:rPr>
            </w:pPr>
          </w:p>
        </w:tc>
      </w:tr>
      <w:tr>
        <w:trPr>
          <w:trHeight w:val="203"/>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due 2027</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2.379</w:t>
            </w:r>
          </w:p>
        </w:tc>
        <w:tc>
          <w:tcPr>
            <w:tcW w:w="182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1.018 - 8.000</w:t>
            </w:r>
          </w:p>
        </w:tc>
        <w:tc>
          <w:tcPr>
            <w:tcW w:w="480" w:type="dxa"/>
            <w:vAlign w:val="bottom"/>
          </w:tcPr>
          <w:p>
            <w:pPr>
              <w:spacing w:after="0"/>
              <w:rPr>
                <w:sz w:val="17"/>
                <w:szCs w:val="17"/>
                <w:color w:val="auto"/>
              </w:rPr>
            </w:pPr>
          </w:p>
        </w:tc>
        <w:tc>
          <w:tcPr>
            <w:tcW w:w="110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2,000</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203"/>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due 2028</w:t>
            </w:r>
          </w:p>
        </w:tc>
        <w:tc>
          <w:tcPr>
            <w:tcW w:w="1880" w:type="dxa"/>
            <w:vAlign w:val="bottom"/>
          </w:tcPr>
          <w:p>
            <w:pPr>
              <w:spacing w:after="0"/>
              <w:rPr>
                <w:sz w:val="17"/>
                <w:szCs w:val="17"/>
                <w:color w:val="auto"/>
              </w:rPr>
            </w:pPr>
          </w:p>
        </w:tc>
        <w:tc>
          <w:tcPr>
            <w:tcW w:w="182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3.850</w:t>
            </w:r>
          </w:p>
        </w:tc>
        <w:tc>
          <w:tcPr>
            <w:tcW w:w="480" w:type="dxa"/>
            <w:vAlign w:val="bottom"/>
          </w:tcPr>
          <w:p>
            <w:pPr>
              <w:spacing w:after="0"/>
              <w:rPr>
                <w:sz w:val="17"/>
                <w:szCs w:val="17"/>
                <w:color w:val="auto"/>
              </w:rPr>
            </w:pPr>
          </w:p>
        </w:tc>
        <w:tc>
          <w:tcPr>
            <w:tcW w:w="110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600</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0" w:type="dxa"/>
            <w:vAlign w:val="bottom"/>
          </w:tcPr>
          <w:p>
            <w:pPr>
              <w:spacing w:after="0"/>
              <w:rPr>
                <w:sz w:val="1"/>
                <w:szCs w:val="1"/>
                <w:color w:val="auto"/>
              </w:rPr>
            </w:pPr>
          </w:p>
        </w:tc>
      </w:tr>
      <w:tr>
        <w:trPr>
          <w:trHeight w:val="203"/>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due 2029</w:t>
            </w:r>
          </w:p>
        </w:tc>
        <w:tc>
          <w:tcPr>
            <w:tcW w:w="1880" w:type="dxa"/>
            <w:vAlign w:val="bottom"/>
          </w:tcPr>
          <w:p>
            <w:pPr>
              <w:spacing w:after="0"/>
              <w:rPr>
                <w:sz w:val="17"/>
                <w:szCs w:val="17"/>
                <w:color w:val="auto"/>
              </w:rPr>
            </w:pPr>
          </w:p>
        </w:tc>
        <w:tc>
          <w:tcPr>
            <w:tcW w:w="182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3.250</w:t>
            </w:r>
          </w:p>
        </w:tc>
        <w:tc>
          <w:tcPr>
            <w:tcW w:w="480" w:type="dxa"/>
            <w:vAlign w:val="bottom"/>
          </w:tcPr>
          <w:p>
            <w:pPr>
              <w:spacing w:after="0"/>
              <w:rPr>
                <w:sz w:val="17"/>
                <w:szCs w:val="17"/>
                <w:color w:val="auto"/>
              </w:rPr>
            </w:pPr>
          </w:p>
        </w:tc>
        <w:tc>
          <w:tcPr>
            <w:tcW w:w="110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500</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203"/>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due 2030</w:t>
            </w:r>
          </w:p>
        </w:tc>
        <w:tc>
          <w:tcPr>
            <w:tcW w:w="1880" w:type="dxa"/>
            <w:vAlign w:val="bottom"/>
          </w:tcPr>
          <w:p>
            <w:pPr>
              <w:spacing w:after="0"/>
              <w:rPr>
                <w:sz w:val="17"/>
                <w:szCs w:val="17"/>
                <w:color w:val="auto"/>
              </w:rPr>
            </w:pPr>
          </w:p>
        </w:tc>
        <w:tc>
          <w:tcPr>
            <w:tcW w:w="182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2.236</w:t>
            </w:r>
          </w:p>
        </w:tc>
        <w:tc>
          <w:tcPr>
            <w:tcW w:w="480" w:type="dxa"/>
            <w:vAlign w:val="bottom"/>
          </w:tcPr>
          <w:p>
            <w:pPr>
              <w:spacing w:after="0"/>
              <w:rPr>
                <w:sz w:val="17"/>
                <w:szCs w:val="17"/>
                <w:color w:val="auto"/>
              </w:rPr>
            </w:pPr>
          </w:p>
        </w:tc>
        <w:tc>
          <w:tcPr>
            <w:tcW w:w="110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1,500</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0" w:type="dxa"/>
            <w:vAlign w:val="bottom"/>
          </w:tcPr>
          <w:p>
            <w:pPr>
              <w:spacing w:after="0"/>
              <w:rPr>
                <w:sz w:val="1"/>
                <w:szCs w:val="1"/>
                <w:color w:val="auto"/>
              </w:rPr>
            </w:pPr>
          </w:p>
        </w:tc>
      </w:tr>
      <w:tr>
        <w:trPr>
          <w:trHeight w:val="203"/>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Debentures due 2031</w:t>
            </w:r>
          </w:p>
        </w:tc>
        <w:tc>
          <w:tcPr>
            <w:tcW w:w="1880" w:type="dxa"/>
            <w:vAlign w:val="bottom"/>
          </w:tcPr>
          <w:p>
            <w:pPr>
              <w:spacing w:after="0"/>
              <w:rPr>
                <w:sz w:val="17"/>
                <w:szCs w:val="17"/>
                <w:color w:val="auto"/>
              </w:rPr>
            </w:pPr>
          </w:p>
        </w:tc>
        <w:tc>
          <w:tcPr>
            <w:tcW w:w="182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8.625</w:t>
            </w:r>
          </w:p>
        </w:tc>
        <w:tc>
          <w:tcPr>
            <w:tcW w:w="480" w:type="dxa"/>
            <w:vAlign w:val="bottom"/>
          </w:tcPr>
          <w:p>
            <w:pPr>
              <w:spacing w:after="0"/>
              <w:rPr>
                <w:sz w:val="17"/>
                <w:szCs w:val="17"/>
                <w:color w:val="auto"/>
              </w:rPr>
            </w:pPr>
          </w:p>
        </w:tc>
        <w:tc>
          <w:tcPr>
            <w:tcW w:w="110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102</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203"/>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Debentures due 2032</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8.416</w:t>
            </w:r>
          </w:p>
        </w:tc>
        <w:tc>
          <w:tcPr>
            <w:tcW w:w="182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8.000 - 8.625</w:t>
            </w:r>
          </w:p>
        </w:tc>
        <w:tc>
          <w:tcPr>
            <w:tcW w:w="480" w:type="dxa"/>
            <w:vAlign w:val="bottom"/>
          </w:tcPr>
          <w:p>
            <w:pPr>
              <w:spacing w:after="0"/>
              <w:rPr>
                <w:sz w:val="17"/>
                <w:szCs w:val="17"/>
                <w:color w:val="auto"/>
              </w:rPr>
            </w:pPr>
          </w:p>
        </w:tc>
        <w:tc>
          <w:tcPr>
            <w:tcW w:w="110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183</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203"/>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due 2040</w:t>
            </w:r>
          </w:p>
        </w:tc>
        <w:tc>
          <w:tcPr>
            <w:tcW w:w="1880" w:type="dxa"/>
            <w:vAlign w:val="bottom"/>
          </w:tcPr>
          <w:p>
            <w:pPr>
              <w:spacing w:after="0"/>
              <w:rPr>
                <w:sz w:val="17"/>
                <w:szCs w:val="17"/>
                <w:color w:val="auto"/>
              </w:rPr>
            </w:pPr>
          </w:p>
        </w:tc>
        <w:tc>
          <w:tcPr>
            <w:tcW w:w="182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2.978</w:t>
            </w:r>
          </w:p>
        </w:tc>
        <w:tc>
          <w:tcPr>
            <w:tcW w:w="480" w:type="dxa"/>
            <w:vAlign w:val="bottom"/>
          </w:tcPr>
          <w:p>
            <w:pPr>
              <w:spacing w:after="0"/>
              <w:rPr>
                <w:sz w:val="17"/>
                <w:szCs w:val="17"/>
                <w:color w:val="auto"/>
              </w:rPr>
            </w:pPr>
          </w:p>
        </w:tc>
        <w:tc>
          <w:tcPr>
            <w:tcW w:w="110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293</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0" w:type="dxa"/>
            <w:vAlign w:val="bottom"/>
          </w:tcPr>
          <w:p>
            <w:pPr>
              <w:spacing w:after="0"/>
              <w:rPr>
                <w:sz w:val="1"/>
                <w:szCs w:val="1"/>
                <w:color w:val="auto"/>
              </w:rPr>
            </w:pPr>
          </w:p>
        </w:tc>
      </w:tr>
      <w:tr>
        <w:trPr>
          <w:trHeight w:val="203"/>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due 2041</w:t>
            </w:r>
          </w:p>
        </w:tc>
        <w:tc>
          <w:tcPr>
            <w:tcW w:w="1880" w:type="dxa"/>
            <w:vAlign w:val="bottom"/>
          </w:tcPr>
          <w:p>
            <w:pPr>
              <w:spacing w:after="0"/>
              <w:rPr>
                <w:sz w:val="17"/>
                <w:szCs w:val="17"/>
                <w:color w:val="auto"/>
              </w:rPr>
            </w:pPr>
          </w:p>
        </w:tc>
        <w:tc>
          <w:tcPr>
            <w:tcW w:w="182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6.000</w:t>
            </w:r>
          </w:p>
        </w:tc>
        <w:tc>
          <w:tcPr>
            <w:tcW w:w="480" w:type="dxa"/>
            <w:vAlign w:val="bottom"/>
          </w:tcPr>
          <w:p>
            <w:pPr>
              <w:spacing w:after="0"/>
              <w:rPr>
                <w:sz w:val="17"/>
                <w:szCs w:val="17"/>
                <w:color w:val="auto"/>
              </w:rPr>
            </w:pPr>
          </w:p>
        </w:tc>
        <w:tc>
          <w:tcPr>
            <w:tcW w:w="110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397</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0" w:type="dxa"/>
            <w:vAlign w:val="bottom"/>
          </w:tcPr>
          <w:p>
            <w:pPr>
              <w:spacing w:after="0"/>
              <w:rPr>
                <w:sz w:val="1"/>
                <w:szCs w:val="1"/>
                <w:color w:val="auto"/>
              </w:rPr>
            </w:pPr>
          </w:p>
        </w:tc>
      </w:tr>
      <w:tr>
        <w:trPr>
          <w:trHeight w:val="203"/>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due 2043</w:t>
            </w:r>
          </w:p>
        </w:tc>
        <w:tc>
          <w:tcPr>
            <w:tcW w:w="1880" w:type="dxa"/>
            <w:vAlign w:val="bottom"/>
          </w:tcPr>
          <w:p>
            <w:pPr>
              <w:spacing w:after="0"/>
              <w:rPr>
                <w:sz w:val="17"/>
                <w:szCs w:val="17"/>
                <w:color w:val="auto"/>
              </w:rPr>
            </w:pPr>
          </w:p>
        </w:tc>
        <w:tc>
          <w:tcPr>
            <w:tcW w:w="182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5.250</w:t>
            </w:r>
          </w:p>
        </w:tc>
        <w:tc>
          <w:tcPr>
            <w:tcW w:w="480" w:type="dxa"/>
            <w:vAlign w:val="bottom"/>
          </w:tcPr>
          <w:p>
            <w:pPr>
              <w:spacing w:after="0"/>
              <w:rPr>
                <w:sz w:val="17"/>
                <w:szCs w:val="17"/>
                <w:color w:val="auto"/>
              </w:rPr>
            </w:pPr>
          </w:p>
        </w:tc>
        <w:tc>
          <w:tcPr>
            <w:tcW w:w="110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330</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0" w:type="dxa"/>
            <w:vAlign w:val="bottom"/>
          </w:tcPr>
          <w:p>
            <w:pPr>
              <w:spacing w:after="0"/>
              <w:rPr>
                <w:sz w:val="1"/>
                <w:szCs w:val="1"/>
                <w:color w:val="auto"/>
              </w:rPr>
            </w:pPr>
          </w:p>
        </w:tc>
      </w:tr>
      <w:tr>
        <w:trPr>
          <w:trHeight w:val="203"/>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due 2044</w:t>
            </w:r>
          </w:p>
        </w:tc>
        <w:tc>
          <w:tcPr>
            <w:tcW w:w="1880" w:type="dxa"/>
            <w:vAlign w:val="bottom"/>
          </w:tcPr>
          <w:p>
            <w:pPr>
              <w:spacing w:after="0"/>
              <w:rPr>
                <w:sz w:val="17"/>
                <w:szCs w:val="17"/>
                <w:color w:val="auto"/>
              </w:rPr>
            </w:pPr>
          </w:p>
        </w:tc>
        <w:tc>
          <w:tcPr>
            <w:tcW w:w="182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5.050</w:t>
            </w:r>
          </w:p>
        </w:tc>
        <w:tc>
          <w:tcPr>
            <w:tcW w:w="480" w:type="dxa"/>
            <w:vAlign w:val="bottom"/>
          </w:tcPr>
          <w:p>
            <w:pPr>
              <w:spacing w:after="0"/>
              <w:rPr>
                <w:sz w:val="17"/>
                <w:szCs w:val="17"/>
                <w:color w:val="auto"/>
              </w:rPr>
            </w:pPr>
          </w:p>
        </w:tc>
        <w:tc>
          <w:tcPr>
            <w:tcW w:w="110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222</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0" w:type="dxa"/>
            <w:vAlign w:val="bottom"/>
          </w:tcPr>
          <w:p>
            <w:pPr>
              <w:spacing w:after="0"/>
              <w:rPr>
                <w:sz w:val="1"/>
                <w:szCs w:val="1"/>
                <w:color w:val="auto"/>
              </w:rPr>
            </w:pPr>
          </w:p>
        </w:tc>
      </w:tr>
      <w:tr>
        <w:trPr>
          <w:trHeight w:val="203"/>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due 2047</w:t>
            </w:r>
          </w:p>
        </w:tc>
        <w:tc>
          <w:tcPr>
            <w:tcW w:w="1880" w:type="dxa"/>
            <w:vAlign w:val="bottom"/>
          </w:tcPr>
          <w:p>
            <w:pPr>
              <w:spacing w:after="0"/>
              <w:rPr>
                <w:sz w:val="17"/>
                <w:szCs w:val="17"/>
                <w:color w:val="auto"/>
              </w:rPr>
            </w:pPr>
          </w:p>
        </w:tc>
        <w:tc>
          <w:tcPr>
            <w:tcW w:w="182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4.950</w:t>
            </w:r>
          </w:p>
        </w:tc>
        <w:tc>
          <w:tcPr>
            <w:tcW w:w="480" w:type="dxa"/>
            <w:vAlign w:val="bottom"/>
          </w:tcPr>
          <w:p>
            <w:pPr>
              <w:spacing w:after="0"/>
              <w:rPr>
                <w:sz w:val="17"/>
                <w:szCs w:val="17"/>
                <w:color w:val="auto"/>
              </w:rPr>
            </w:pPr>
          </w:p>
        </w:tc>
        <w:tc>
          <w:tcPr>
            <w:tcW w:w="110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187</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0" w:type="dxa"/>
            <w:vAlign w:val="bottom"/>
          </w:tcPr>
          <w:p>
            <w:pPr>
              <w:spacing w:after="0"/>
              <w:rPr>
                <w:sz w:val="1"/>
                <w:szCs w:val="1"/>
                <w:color w:val="auto"/>
              </w:rPr>
            </w:pPr>
          </w:p>
        </w:tc>
      </w:tr>
      <w:tr>
        <w:trPr>
          <w:trHeight w:val="203"/>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due 2049</w:t>
            </w:r>
          </w:p>
        </w:tc>
        <w:tc>
          <w:tcPr>
            <w:tcW w:w="1880" w:type="dxa"/>
            <w:vAlign w:val="bottom"/>
          </w:tcPr>
          <w:p>
            <w:pPr>
              <w:spacing w:after="0"/>
              <w:rPr>
                <w:sz w:val="17"/>
                <w:szCs w:val="17"/>
                <w:color w:val="auto"/>
              </w:rPr>
            </w:pPr>
          </w:p>
        </w:tc>
        <w:tc>
          <w:tcPr>
            <w:tcW w:w="182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4.200</w:t>
            </w:r>
          </w:p>
        </w:tc>
        <w:tc>
          <w:tcPr>
            <w:tcW w:w="480" w:type="dxa"/>
            <w:vAlign w:val="bottom"/>
          </w:tcPr>
          <w:p>
            <w:pPr>
              <w:spacing w:after="0"/>
              <w:rPr>
                <w:sz w:val="17"/>
                <w:szCs w:val="17"/>
                <w:color w:val="auto"/>
              </w:rPr>
            </w:pPr>
          </w:p>
        </w:tc>
        <w:tc>
          <w:tcPr>
            <w:tcW w:w="110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237</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0" w:type="dxa"/>
            <w:vAlign w:val="bottom"/>
          </w:tcPr>
          <w:p>
            <w:pPr>
              <w:spacing w:after="0"/>
              <w:rPr>
                <w:sz w:val="1"/>
                <w:szCs w:val="1"/>
                <w:color w:val="auto"/>
              </w:rPr>
            </w:pPr>
          </w:p>
        </w:tc>
      </w:tr>
      <w:tr>
        <w:trPr>
          <w:trHeight w:val="203"/>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due 2050</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2.763</w:t>
            </w:r>
          </w:p>
        </w:tc>
        <w:tc>
          <w:tcPr>
            <w:tcW w:w="182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2.343 - 3.078</w:t>
            </w:r>
          </w:p>
        </w:tc>
        <w:tc>
          <w:tcPr>
            <w:tcW w:w="480" w:type="dxa"/>
            <w:vAlign w:val="bottom"/>
          </w:tcPr>
          <w:p>
            <w:pPr>
              <w:spacing w:after="0"/>
              <w:rPr>
                <w:sz w:val="17"/>
                <w:szCs w:val="17"/>
                <w:color w:val="auto"/>
              </w:rPr>
            </w:pPr>
          </w:p>
        </w:tc>
        <w:tc>
          <w:tcPr>
            <w:tcW w:w="110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1,750</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w:t>
            </w:r>
          </w:p>
        </w:tc>
        <w:tc>
          <w:tcPr>
            <w:tcW w:w="0" w:type="dxa"/>
            <w:vAlign w:val="bottom"/>
          </w:tcPr>
          <w:p>
            <w:pPr>
              <w:spacing w:after="0"/>
              <w:rPr>
                <w:sz w:val="1"/>
                <w:szCs w:val="1"/>
                <w:color w:val="auto"/>
              </w:rPr>
            </w:pPr>
          </w:p>
        </w:tc>
      </w:tr>
      <w:tr>
        <w:trPr>
          <w:trHeight w:val="203"/>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Debentures due 2097</w:t>
            </w:r>
          </w:p>
        </w:tc>
        <w:tc>
          <w:tcPr>
            <w:tcW w:w="1880" w:type="dxa"/>
            <w:vAlign w:val="bottom"/>
          </w:tcPr>
          <w:p>
            <w:pPr>
              <w:spacing w:after="0"/>
              <w:rPr>
                <w:sz w:val="17"/>
                <w:szCs w:val="17"/>
                <w:color w:val="auto"/>
              </w:rPr>
            </w:pPr>
          </w:p>
        </w:tc>
        <w:tc>
          <w:tcPr>
            <w:tcW w:w="182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7.250</w:t>
            </w:r>
          </w:p>
        </w:tc>
        <w:tc>
          <w:tcPr>
            <w:tcW w:w="480" w:type="dxa"/>
            <w:vAlign w:val="bottom"/>
          </w:tcPr>
          <w:p>
            <w:pPr>
              <w:spacing w:after="0"/>
              <w:rPr>
                <w:sz w:val="17"/>
                <w:szCs w:val="17"/>
                <w:color w:val="auto"/>
              </w:rPr>
            </w:pPr>
          </w:p>
        </w:tc>
        <w:tc>
          <w:tcPr>
            <w:tcW w:w="110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60</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203"/>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Bank loans due 2025 to 2027</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3.321</w:t>
            </w:r>
          </w:p>
        </w:tc>
        <w:tc>
          <w:tcPr>
            <w:tcW w:w="182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3.306 - 3.367</w:t>
            </w:r>
          </w:p>
        </w:tc>
        <w:tc>
          <w:tcPr>
            <w:tcW w:w="480" w:type="dxa"/>
            <w:vAlign w:val="bottom"/>
          </w:tcPr>
          <w:p>
            <w:pPr>
              <w:spacing w:after="0"/>
              <w:rPr>
                <w:sz w:val="17"/>
                <w:szCs w:val="17"/>
                <w:color w:val="auto"/>
              </w:rPr>
            </w:pPr>
          </w:p>
        </w:tc>
        <w:tc>
          <w:tcPr>
            <w:tcW w:w="110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205</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Medium-term notes, maturing from 2033 to 2038</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6.101</w:t>
            </w:r>
          </w:p>
        </w:tc>
        <w:tc>
          <w:tcPr>
            <w:tcW w:w="182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4.324 - 7.840</w:t>
            </w:r>
          </w:p>
        </w:tc>
        <w:tc>
          <w:tcPr>
            <w:tcW w:w="480" w:type="dxa"/>
            <w:vAlign w:val="bottom"/>
          </w:tcPr>
          <w:p>
            <w:pPr>
              <w:spacing w:after="0"/>
              <w:rPr>
                <w:sz w:val="17"/>
                <w:szCs w:val="17"/>
                <w:color w:val="auto"/>
              </w:rPr>
            </w:pPr>
          </w:p>
        </w:tc>
        <w:tc>
          <w:tcPr>
            <w:tcW w:w="110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02"/>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due 2024</w:t>
            </w:r>
          </w:p>
        </w:tc>
        <w:tc>
          <w:tcPr>
            <w:tcW w:w="1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1,650</w:t>
            </w:r>
          </w:p>
        </w:tc>
        <w:tc>
          <w:tcPr>
            <w:tcW w:w="0" w:type="dxa"/>
            <w:vAlign w:val="bottom"/>
          </w:tcPr>
          <w:p>
            <w:pPr>
              <w:spacing w:after="0"/>
              <w:rPr>
                <w:sz w:val="1"/>
                <w:szCs w:val="1"/>
                <w:color w:val="auto"/>
              </w:rPr>
            </w:pPr>
          </w:p>
        </w:tc>
      </w:tr>
      <w:tr>
        <w:trPr>
          <w:trHeight w:val="23"/>
        </w:trPr>
        <w:tc>
          <w:tcPr>
            <w:tcW w:w="4400" w:type="dxa"/>
            <w:vAlign w:val="bottom"/>
            <w:tcBorders>
              <w:bottom w:val="single" w:sz="8" w:color="0077C0"/>
            </w:tcBorders>
          </w:tcPr>
          <w:p>
            <w:pPr>
              <w:spacing w:after="0"/>
              <w:rPr>
                <w:sz w:val="2"/>
                <w:szCs w:val="2"/>
                <w:color w:val="auto"/>
              </w:rPr>
            </w:pPr>
          </w:p>
        </w:tc>
        <w:tc>
          <w:tcPr>
            <w:tcW w:w="1880" w:type="dxa"/>
            <w:vAlign w:val="bottom"/>
            <w:tcBorders>
              <w:bottom w:val="single" w:sz="8" w:color="0077C0"/>
            </w:tcBorders>
          </w:tcPr>
          <w:p>
            <w:pPr>
              <w:spacing w:after="0"/>
              <w:rPr>
                <w:sz w:val="2"/>
                <w:szCs w:val="2"/>
                <w:color w:val="auto"/>
              </w:rPr>
            </w:pPr>
          </w:p>
        </w:tc>
        <w:tc>
          <w:tcPr>
            <w:tcW w:w="1820" w:type="dxa"/>
            <w:vAlign w:val="bottom"/>
            <w:tcBorders>
              <w:bottom w:val="single" w:sz="8" w:color="0077C0"/>
            </w:tcBorders>
          </w:tcPr>
          <w:p>
            <w:pPr>
              <w:spacing w:after="0"/>
              <w:rPr>
                <w:sz w:val="2"/>
                <w:szCs w:val="2"/>
                <w:color w:val="auto"/>
              </w:rPr>
            </w:pPr>
          </w:p>
        </w:tc>
        <w:tc>
          <w:tcPr>
            <w:tcW w:w="480" w:type="dxa"/>
            <w:vAlign w:val="bottom"/>
            <w:tcBorders>
              <w:bottom w:val="single" w:sz="8" w:color="0077C0"/>
            </w:tcBorders>
          </w:tcPr>
          <w:p>
            <w:pPr>
              <w:spacing w:after="0"/>
              <w:rPr>
                <w:sz w:val="2"/>
                <w:szCs w:val="2"/>
                <w:color w:val="auto"/>
              </w:rPr>
            </w:pPr>
          </w:p>
        </w:tc>
        <w:tc>
          <w:tcPr>
            <w:tcW w:w="1100" w:type="dxa"/>
            <w:vAlign w:val="bottom"/>
            <w:tcBorders>
              <w:bottom w:val="single" w:sz="8" w:color="0077C0"/>
              <w:right w:val="single" w:sz="8" w:color="0077C0"/>
            </w:tcBorders>
          </w:tcPr>
          <w:p>
            <w:pPr>
              <w:spacing w:after="0"/>
              <w:rPr>
                <w:sz w:val="2"/>
                <w:szCs w:val="2"/>
                <w:color w:val="auto"/>
              </w:rPr>
            </w:pPr>
          </w:p>
        </w:tc>
        <w:tc>
          <w:tcPr>
            <w:tcW w:w="380" w:type="dxa"/>
            <w:vAlign w:val="bottom"/>
            <w:tcBorders>
              <w:bottom w:val="single" w:sz="8" w:color="0077C0"/>
            </w:tcBorders>
          </w:tcPr>
          <w:p>
            <w:pPr>
              <w:spacing w:after="0"/>
              <w:rPr>
                <w:sz w:val="2"/>
                <w:szCs w:val="2"/>
                <w:color w:val="auto"/>
              </w:rPr>
            </w:pPr>
          </w:p>
        </w:tc>
        <w:tc>
          <w:tcPr>
            <w:tcW w:w="118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including debt due within one year</w:t>
            </w:r>
          </w:p>
        </w:tc>
        <w:tc>
          <w:tcPr>
            <w:tcW w:w="18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14,836</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16,281</w:t>
            </w:r>
          </w:p>
        </w:tc>
        <w:tc>
          <w:tcPr>
            <w:tcW w:w="0" w:type="dxa"/>
            <w:vAlign w:val="bottom"/>
          </w:tcPr>
          <w:p>
            <w:pPr>
              <w:spacing w:after="0"/>
              <w:rPr>
                <w:sz w:val="1"/>
                <w:szCs w:val="1"/>
                <w:color w:val="auto"/>
              </w:rPr>
            </w:pPr>
          </w:p>
        </w:tc>
      </w:tr>
      <w:tr>
        <w:trPr>
          <w:trHeight w:val="191"/>
        </w:trPr>
        <w:tc>
          <w:tcPr>
            <w:tcW w:w="4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Debt due within one year</w:t>
            </w:r>
          </w:p>
        </w:tc>
        <w:tc>
          <w:tcPr>
            <w:tcW w:w="18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Borders>
              <w:right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(4,012)</w:t>
            </w: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(1,650)</w:t>
            </w:r>
          </w:p>
        </w:tc>
        <w:tc>
          <w:tcPr>
            <w:tcW w:w="0" w:type="dxa"/>
            <w:vAlign w:val="bottom"/>
          </w:tcPr>
          <w:p>
            <w:pPr>
              <w:spacing w:after="0"/>
              <w:rPr>
                <w:sz w:val="1"/>
                <w:szCs w:val="1"/>
                <w:color w:val="auto"/>
              </w:rPr>
            </w:pPr>
          </w:p>
        </w:tc>
      </w:tr>
      <w:tr>
        <w:trPr>
          <w:trHeight w:val="203"/>
        </w:trPr>
        <w:tc>
          <w:tcPr>
            <w:tcW w:w="4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Fair market value adjustment for debt acquired in the Noble acquisition</w:t>
            </w:r>
          </w:p>
        </w:tc>
        <w:tc>
          <w:tcPr>
            <w:tcW w:w="1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529</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0" w:type="dxa"/>
            <w:vAlign w:val="bottom"/>
          </w:tcPr>
          <w:p>
            <w:pPr>
              <w:spacing w:after="0"/>
              <w:rPr>
                <w:sz w:val="1"/>
                <w:szCs w:val="1"/>
                <w:color w:val="auto"/>
              </w:rPr>
            </w:pPr>
          </w:p>
        </w:tc>
      </w:tr>
      <w:tr>
        <w:trPr>
          <w:trHeight w:val="203"/>
        </w:trPr>
        <w:tc>
          <w:tcPr>
            <w:tcW w:w="4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Reclassified from short-term debt</w:t>
            </w:r>
          </w:p>
        </w:tc>
        <w:tc>
          <w:tcPr>
            <w:tcW w:w="1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8,250</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4,543</w:t>
            </w:r>
          </w:p>
        </w:tc>
        <w:tc>
          <w:tcPr>
            <w:tcW w:w="0" w:type="dxa"/>
            <w:vAlign w:val="bottom"/>
          </w:tcPr>
          <w:p>
            <w:pPr>
              <w:spacing w:after="0"/>
              <w:rPr>
                <w:sz w:val="1"/>
                <w:szCs w:val="1"/>
                <w:color w:val="auto"/>
              </w:rPr>
            </w:pPr>
          </w:p>
        </w:tc>
      </w:tr>
      <w:tr>
        <w:trPr>
          <w:trHeight w:val="203"/>
        </w:trPr>
        <w:tc>
          <w:tcPr>
            <w:tcW w:w="4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Unamortized discounts and debt issuance costs</w:t>
            </w:r>
          </w:p>
        </w:tc>
        <w:tc>
          <w:tcPr>
            <w:tcW w:w="1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Borders>
              <w:right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(14)</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26"/>
        </w:trPr>
        <w:tc>
          <w:tcPr>
            <w:tcW w:w="4400" w:type="dxa"/>
            <w:vAlign w:val="bottom"/>
            <w:tcBorders>
              <w:bottom w:val="single" w:sz="8" w:color="0077C0"/>
            </w:tcBorders>
          </w:tcPr>
          <w:p>
            <w:pPr>
              <w:ind w:left="140"/>
              <w:spacing w:after="0"/>
              <w:rPr>
                <w:sz w:val="20"/>
                <w:szCs w:val="20"/>
                <w:color w:val="auto"/>
              </w:rPr>
            </w:pPr>
            <w:r>
              <w:rPr>
                <w:rFonts w:ascii="Times New Roman" w:cs="Times New Roman" w:eastAsia="Times New Roman" w:hAnsi="Times New Roman"/>
                <w:sz w:val="14"/>
                <w:szCs w:val="14"/>
                <w:color w:val="auto"/>
              </w:rPr>
              <w:t>Finance lease liabilities</w:t>
            </w:r>
            <w:r>
              <w:rPr>
                <w:rFonts w:ascii="Times New Roman" w:cs="Times New Roman" w:eastAsia="Times New Roman" w:hAnsi="Times New Roman"/>
                <w:sz w:val="18"/>
                <w:szCs w:val="18"/>
                <w:color w:val="auto"/>
                <w:vertAlign w:val="superscript"/>
              </w:rPr>
              <w:t>3</w:t>
            </w:r>
          </w:p>
        </w:tc>
        <w:tc>
          <w:tcPr>
            <w:tcW w:w="1880" w:type="dxa"/>
            <w:vAlign w:val="bottom"/>
            <w:tcBorders>
              <w:bottom w:val="single" w:sz="8" w:color="0077C0"/>
            </w:tcBorders>
          </w:tcPr>
          <w:p>
            <w:pPr>
              <w:spacing w:after="0"/>
              <w:rPr>
                <w:sz w:val="19"/>
                <w:szCs w:val="19"/>
                <w:color w:val="auto"/>
              </w:rPr>
            </w:pPr>
          </w:p>
        </w:tc>
        <w:tc>
          <w:tcPr>
            <w:tcW w:w="1820" w:type="dxa"/>
            <w:vAlign w:val="bottom"/>
            <w:tcBorders>
              <w:bottom w:val="single" w:sz="8" w:color="0077C0"/>
            </w:tcBorders>
          </w:tcPr>
          <w:p>
            <w:pPr>
              <w:spacing w:after="0"/>
              <w:rPr>
                <w:sz w:val="19"/>
                <w:szCs w:val="19"/>
                <w:color w:val="auto"/>
              </w:rPr>
            </w:pPr>
          </w:p>
        </w:tc>
        <w:tc>
          <w:tcPr>
            <w:tcW w:w="480" w:type="dxa"/>
            <w:vAlign w:val="bottom"/>
            <w:tcBorders>
              <w:bottom w:val="single" w:sz="8" w:color="0077C0"/>
            </w:tcBorders>
          </w:tcPr>
          <w:p>
            <w:pPr>
              <w:spacing w:after="0"/>
              <w:rPr>
                <w:sz w:val="19"/>
                <w:szCs w:val="19"/>
                <w:color w:val="auto"/>
              </w:rPr>
            </w:pPr>
          </w:p>
        </w:tc>
        <w:tc>
          <w:tcPr>
            <w:tcW w:w="1100" w:type="dxa"/>
            <w:vAlign w:val="bottom"/>
            <w:tcBorders>
              <w:bottom w:val="single" w:sz="8" w:color="0077C0"/>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546</w:t>
            </w:r>
          </w:p>
        </w:tc>
        <w:tc>
          <w:tcPr>
            <w:tcW w:w="380" w:type="dxa"/>
            <w:vAlign w:val="bottom"/>
            <w:tcBorders>
              <w:bottom w:val="single" w:sz="8" w:color="0077C0"/>
            </w:tcBorders>
          </w:tcPr>
          <w:p>
            <w:pPr>
              <w:spacing w:after="0"/>
              <w:rPr>
                <w:sz w:val="19"/>
                <w:szCs w:val="19"/>
                <w:color w:val="auto"/>
              </w:rPr>
            </w:pPr>
          </w:p>
        </w:tc>
        <w:tc>
          <w:tcPr>
            <w:tcW w:w="11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0" w:type="dxa"/>
            <w:vAlign w:val="bottom"/>
          </w:tcPr>
          <w:p>
            <w:pPr>
              <w:spacing w:after="0"/>
              <w:rPr>
                <w:sz w:val="1"/>
                <w:szCs w:val="1"/>
                <w:color w:val="auto"/>
              </w:rPr>
            </w:pPr>
          </w:p>
        </w:tc>
      </w:tr>
      <w:tr>
        <w:trPr>
          <w:trHeight w:val="190"/>
        </w:trPr>
        <w:tc>
          <w:tcPr>
            <w:tcW w:w="440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long-term debt</w:t>
            </w:r>
          </w:p>
        </w:tc>
        <w:tc>
          <w:tcPr>
            <w:tcW w:w="1880" w:type="dxa"/>
            <w:vAlign w:val="bottom"/>
            <w:tcBorders>
              <w:bottom w:val="single" w:sz="8" w:color="0077C0"/>
            </w:tcBorders>
          </w:tcPr>
          <w:p>
            <w:pPr>
              <w:spacing w:after="0"/>
              <w:rPr>
                <w:sz w:val="16"/>
                <w:szCs w:val="16"/>
                <w:color w:val="auto"/>
              </w:rPr>
            </w:pPr>
          </w:p>
        </w:tc>
        <w:tc>
          <w:tcPr>
            <w:tcW w:w="2300" w:type="dxa"/>
            <w:vAlign w:val="bottom"/>
            <w:tcBorders>
              <w:bottom w:val="single" w:sz="8" w:color="0077C0"/>
            </w:tcBorders>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bottom w:val="single" w:sz="8" w:color="0077C0"/>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20,135</w:t>
            </w:r>
          </w:p>
        </w:tc>
        <w:tc>
          <w:tcPr>
            <w:tcW w:w="380" w:type="dxa"/>
            <w:vAlign w:val="bottom"/>
            <w:tcBorders>
              <w:bottom w:val="single" w:sz="8" w:color="0077C0"/>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20,307</w:t>
            </w:r>
          </w:p>
        </w:tc>
        <w:tc>
          <w:tcPr>
            <w:tcW w:w="0" w:type="dxa"/>
            <w:vAlign w:val="bottom"/>
          </w:tcPr>
          <w:p>
            <w:pPr>
              <w:spacing w:after="0"/>
              <w:rPr>
                <w:sz w:val="1"/>
                <w:szCs w:val="1"/>
                <w:color w:val="auto"/>
              </w:rPr>
            </w:pPr>
          </w:p>
        </w:tc>
      </w:tr>
    </w:tbl>
    <w:p>
      <w:pPr>
        <w:ind w:left="80" w:hanging="54"/>
        <w:spacing w:after="0" w:line="208" w:lineRule="auto"/>
        <w:tabs>
          <w:tab w:leader="none" w:pos="80" w:val="left"/>
        </w:tabs>
        <w:numPr>
          <w:ilvl w:val="0"/>
          <w:numId w:val="5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Weighted-average interest rate at December 31, 2024.</w:t>
      </w:r>
    </w:p>
    <w:p>
      <w:pPr>
        <w:spacing w:after="0" w:line="25" w:lineRule="exact"/>
        <w:rPr>
          <w:rFonts w:ascii="Times New Roman" w:cs="Times New Roman" w:eastAsia="Times New Roman" w:hAnsi="Times New Roman"/>
          <w:sz w:val="16"/>
          <w:szCs w:val="16"/>
          <w:color w:val="auto"/>
          <w:vertAlign w:val="superscript"/>
        </w:rPr>
      </w:pPr>
    </w:p>
    <w:p>
      <w:pPr>
        <w:ind w:left="20"/>
        <w:spacing w:after="0" w:line="228" w:lineRule="auto"/>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 xml:space="preserve"> Range of interest rates at December 31, 2024.</w:t>
      </w:r>
    </w:p>
    <w:p>
      <w:pPr>
        <w:ind w:left="20"/>
        <w:spacing w:after="0"/>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6"/>
          <w:szCs w:val="16"/>
          <w:color w:val="auto"/>
          <w:vertAlign w:val="superscript"/>
        </w:rPr>
        <w:t>3</w:t>
      </w:r>
      <w:r>
        <w:rPr>
          <w:rFonts w:ascii="Times New Roman" w:cs="Times New Roman" w:eastAsia="Times New Roman" w:hAnsi="Times New Roman"/>
          <w:sz w:val="13"/>
          <w:szCs w:val="13"/>
          <w:color w:val="auto"/>
        </w:rPr>
        <w:t xml:space="preserve"> For details on finance lease liabilities, see </w:t>
      </w:r>
      <w:r>
        <w:rPr>
          <w:rFonts w:ascii="Times New Roman" w:cs="Times New Roman" w:eastAsia="Times New Roman" w:hAnsi="Times New Roman"/>
          <w:sz w:val="13"/>
          <w:szCs w:val="13"/>
          <w:u w:val="single" w:color="auto"/>
          <w:color w:val="0000FF"/>
        </w:rPr>
        <w:t>Note 5 Lease Commitments</w:t>
      </w:r>
      <w:r>
        <w:rPr>
          <w:rFonts w:ascii="Times New Roman" w:cs="Times New Roman" w:eastAsia="Times New Roman" w:hAnsi="Times New Roman"/>
          <w:sz w:val="13"/>
          <w:szCs w:val="13"/>
          <w:color w:val="auto"/>
        </w:rPr>
        <w:t>.</w:t>
      </w:r>
    </w:p>
    <w:p>
      <w:pPr>
        <w:spacing w:after="0" w:line="27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Chevron has an automatic shelf registration statement that expires in November 2027. This registration statement is for an unspecified amount of nonconvertible debt securities issued or guaranteed by Chevron Corporation or CUSA.</w:t>
      </w:r>
    </w:p>
    <w:p>
      <w:pPr>
        <w:spacing w:after="0" w:line="40" w:lineRule="exact"/>
        <w:rPr>
          <w:sz w:val="20"/>
          <w:szCs w:val="20"/>
          <w:color w:val="auto"/>
        </w:rPr>
      </w:pPr>
    </w:p>
    <w:p>
      <w:pPr>
        <w:ind w:right="240"/>
        <w:spacing w:after="0" w:line="297" w:lineRule="auto"/>
        <w:rPr>
          <w:sz w:val="20"/>
          <w:szCs w:val="20"/>
          <w:color w:val="auto"/>
        </w:rPr>
      </w:pPr>
      <w:r>
        <w:rPr>
          <w:rFonts w:ascii="Times New Roman" w:cs="Times New Roman" w:eastAsia="Times New Roman" w:hAnsi="Times New Roman"/>
          <w:sz w:val="18"/>
          <w:szCs w:val="18"/>
          <w:color w:val="auto"/>
        </w:rPr>
        <w:t>Long-term debt excluding finance lease liabilities with a principal balance of $14,836 matures as follows: 2025 – $4,012; 2026 – $2,290; 2027 – $2,153; 2028 – $600; 2029 – $500; and after 2029 – $5,281.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9 Fair Value Measurements</w:t>
      </w:r>
      <w:r>
        <w:rPr>
          <w:rFonts w:ascii="Times New Roman" w:cs="Times New Roman" w:eastAsia="Times New Roman" w:hAnsi="Times New Roman"/>
          <w:sz w:val="18"/>
          <w:szCs w:val="18"/>
          <w:color w:val="auto"/>
        </w:rPr>
        <w:t xml:space="preserve"> for information concerning the fair value of the company’s long-term debt.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21</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0077C0"/>
        </w:rPr>
        <w:t>Accounting for Suspended Exploratory Wells</w:t>
      </w:r>
    </w:p>
    <w:p>
      <w:pPr>
        <w:spacing w:after="0" w:line="1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company continues to capitalize exploratory well costs after the completion of drilling when the well has found a sufficient quantity of reserves to justify completion as a producing well, and the business unit is making sufficient progress assessing the reserves and the economic and operating viability of the project. If either condition is not met or if the company obtains information that raises substantial doubt about the economic or operational viability of the project, the exploratory well would be assumed to be impaired, and its costs, net of any salvage value, would be charged to expense.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92" w:name="page93"/>
    <w:bookmarkEnd w:id="92"/>
    <w:p>
      <w:pPr>
        <w:ind w:left="20"/>
        <w:spacing w:after="0"/>
        <w:tabs>
          <w:tab w:leader="none" w:pos="9460" w:val="left"/>
        </w:tabs>
        <w:rPr>
          <w:sz w:val="20"/>
          <w:szCs w:val="20"/>
          <w:color w:val="auto"/>
        </w:rPr>
      </w:pPr>
      <w:r>
        <w:rPr>
          <w:rFonts w:ascii="Arial" w:cs="Arial" w:eastAsia="Arial" w:hAnsi="Arial"/>
          <w:sz w:val="14"/>
          <w:szCs w:val="14"/>
          <w:color w:val="0077C0"/>
        </w:rPr>
        <w:t>Notes to the Consolidated Financial Statements</w:t>
      </w:r>
      <w:r>
        <w:rPr>
          <w:sz w:val="20"/>
          <w:szCs w:val="20"/>
          <w:color w:val="auto"/>
        </w:rPr>
        <w:tab/>
      </w:r>
      <w:r>
        <w:rPr>
          <w:rFonts w:ascii="Arial" w:cs="Arial" w:eastAsia="Arial" w:hAnsi="Arial"/>
          <w:sz w:val="14"/>
          <w:szCs w:val="14"/>
          <w:color w:val="0077C0"/>
        </w:rPr>
        <w:t>Financial Table of Contents</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11"/>
          <w:szCs w:val="11"/>
          <w:color w:val="0077C0"/>
        </w:rPr>
        <w:t>Millions of dollars, except per-share amounts</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indicates the changes to the company’s suspended exploratory well costs for the three years ended December 31, 2024:</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6920" w:type="dxa"/>
            <w:vAlign w:val="bottom"/>
            <w:tcBorders>
              <w:bottom w:val="single" w:sz="8" w:color="0077C0"/>
            </w:tcBorders>
          </w:tcPr>
          <w:p>
            <w:pPr>
              <w:spacing w:after="0"/>
              <w:rPr>
                <w:sz w:val="2"/>
                <w:szCs w:val="2"/>
                <w:color w:val="auto"/>
              </w:rPr>
            </w:pPr>
          </w:p>
        </w:tc>
        <w:tc>
          <w:tcPr>
            <w:tcW w:w="164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34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36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r>
      <w:tr>
        <w:trPr>
          <w:trHeight w:val="184"/>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Beginning balance at January 1</w:t>
            </w:r>
          </w:p>
        </w:tc>
        <w:tc>
          <w:tcPr>
            <w:tcW w:w="16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1,648</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1,627</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2,109</w:t>
            </w:r>
          </w:p>
        </w:tc>
      </w:tr>
      <w:tr>
        <w:trPr>
          <w:trHeight w:val="191"/>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 to capitalized exploratory well costs pending the determination of proved reserves</w:t>
            </w:r>
          </w:p>
        </w:tc>
        <w:tc>
          <w:tcPr>
            <w:tcW w:w="1640" w:type="dxa"/>
            <w:vAlign w:val="bottom"/>
          </w:tcPr>
          <w:p>
            <w:pPr>
              <w:spacing w:after="0"/>
              <w:rPr>
                <w:sz w:val="16"/>
                <w:szCs w:val="16"/>
                <w:color w:val="auto"/>
              </w:rPr>
            </w:pPr>
          </w:p>
        </w:tc>
        <w:tc>
          <w:tcPr>
            <w:tcW w:w="68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14</w:t>
            </w:r>
          </w:p>
        </w:tc>
        <w:tc>
          <w:tcPr>
            <w:tcW w:w="3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226"/>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Reclassifications to wells, facilities and equipment based on the determination of proved reserves</w:t>
            </w:r>
          </w:p>
        </w:tc>
        <w:tc>
          <w:tcPr>
            <w:tcW w:w="1640" w:type="dxa"/>
            <w:vAlign w:val="bottom"/>
          </w:tcPr>
          <w:p>
            <w:pPr>
              <w:spacing w:after="0"/>
              <w:rPr>
                <w:sz w:val="19"/>
                <w:szCs w:val="19"/>
                <w:color w:val="auto"/>
              </w:rPr>
            </w:pPr>
          </w:p>
        </w:tc>
        <w:tc>
          <w:tcPr>
            <w:tcW w:w="68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w:t>
            </w:r>
          </w:p>
        </w:tc>
      </w:tr>
      <w:tr>
        <w:trPr>
          <w:trHeight w:val="179"/>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Capitalized exploratory well costs charged to expense</w:t>
            </w:r>
          </w:p>
        </w:tc>
        <w:tc>
          <w:tcPr>
            <w:tcW w:w="16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23"/>
        </w:trPr>
        <w:tc>
          <w:tcPr>
            <w:tcW w:w="6920" w:type="dxa"/>
            <w:vAlign w:val="bottom"/>
            <w:tcBorders>
              <w:bottom w:val="single" w:sz="8" w:color="0077C0"/>
            </w:tcBorders>
          </w:tcPr>
          <w:p>
            <w:pPr>
              <w:spacing w:after="0"/>
              <w:rPr>
                <w:sz w:val="2"/>
                <w:szCs w:val="2"/>
                <w:color w:val="auto"/>
              </w:rPr>
            </w:pPr>
          </w:p>
        </w:tc>
        <w:tc>
          <w:tcPr>
            <w:tcW w:w="164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34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36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r>
      <w:tr>
        <w:trPr>
          <w:trHeight w:val="190"/>
        </w:trPr>
        <w:tc>
          <w:tcPr>
            <w:tcW w:w="692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Ending balance at December 31</w:t>
            </w:r>
          </w:p>
        </w:tc>
        <w:tc>
          <w:tcPr>
            <w:tcW w:w="1640" w:type="dxa"/>
            <w:vAlign w:val="bottom"/>
            <w:tcBorders>
              <w:bottom w:val="single" w:sz="8" w:color="0077C0"/>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1,662</w:t>
            </w:r>
          </w:p>
        </w:tc>
        <w:tc>
          <w:tcPr>
            <w:tcW w:w="340" w:type="dxa"/>
            <w:vAlign w:val="bottom"/>
            <w:tcBorders>
              <w:bottom w:val="single" w:sz="8" w:color="0077C0"/>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1,648</w:t>
            </w:r>
          </w:p>
        </w:tc>
        <w:tc>
          <w:tcPr>
            <w:tcW w:w="360" w:type="dxa"/>
            <w:vAlign w:val="bottom"/>
            <w:tcBorders>
              <w:bottom w:val="single" w:sz="8" w:color="0077C0"/>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1,627</w:t>
            </w:r>
          </w:p>
        </w:tc>
      </w:tr>
    </w:tbl>
    <w:p>
      <w:pPr>
        <w:spacing w:after="0" w:line="200" w:lineRule="exact"/>
        <w:rPr>
          <w:sz w:val="20"/>
          <w:szCs w:val="20"/>
          <w:color w:val="auto"/>
        </w:rPr>
      </w:pPr>
    </w:p>
    <w:p>
      <w:pPr>
        <w:spacing w:after="0" w:line="227"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The following table provides an aging of capitalized well costs and the number of projects for which exploratory well costs have been capitalized for a period greater than one year since the completion of drilling:</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At December 31</w:t>
            </w:r>
          </w:p>
        </w:tc>
      </w:tr>
      <w:tr>
        <w:trPr>
          <w:trHeight w:val="23"/>
        </w:trPr>
        <w:tc>
          <w:tcPr>
            <w:tcW w:w="8200" w:type="dxa"/>
            <w:vAlign w:val="bottom"/>
          </w:tcPr>
          <w:p>
            <w:pPr>
              <w:spacing w:after="0"/>
              <w:rPr>
                <w:sz w:val="2"/>
                <w:szCs w:val="2"/>
                <w:color w:val="auto"/>
              </w:rPr>
            </w:pPr>
          </w:p>
        </w:tc>
        <w:tc>
          <w:tcPr>
            <w:tcW w:w="36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34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36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r>
      <w:tr>
        <w:trPr>
          <w:trHeight w:val="190"/>
        </w:trPr>
        <w:tc>
          <w:tcPr>
            <w:tcW w:w="8200" w:type="dxa"/>
            <w:vAlign w:val="bottom"/>
            <w:tcBorders>
              <w:bottom w:val="single" w:sz="8" w:color="0077C0"/>
            </w:tcBorders>
          </w:tcPr>
          <w:p>
            <w:pPr>
              <w:spacing w:after="0"/>
              <w:rPr>
                <w:sz w:val="16"/>
                <w:szCs w:val="16"/>
                <w:color w:val="auto"/>
              </w:rPr>
            </w:pPr>
          </w:p>
        </w:tc>
        <w:tc>
          <w:tcPr>
            <w:tcW w:w="36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right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360" w:type="dxa"/>
            <w:vAlign w:val="bottom"/>
            <w:tcBorders>
              <w:bottom w:val="single" w:sz="8" w:color="0077C0"/>
            </w:tcBorders>
          </w:tcPr>
          <w:p>
            <w:pPr>
              <w:spacing w:after="0"/>
              <w:rPr>
                <w:sz w:val="16"/>
                <w:szCs w:val="16"/>
                <w:color w:val="auto"/>
              </w:rPr>
            </w:pPr>
          </w:p>
        </w:tc>
        <w:tc>
          <w:tcPr>
            <w:tcW w:w="6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r>
      <w:tr>
        <w:trPr>
          <w:trHeight w:val="190"/>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Exploratory well costs capitalized for a period of one year or less</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17</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91"/>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Exploratory well costs capitalized for a period greater than one year</w:t>
            </w:r>
          </w:p>
        </w:tc>
        <w:tc>
          <w:tcPr>
            <w:tcW w:w="360" w:type="dxa"/>
            <w:vAlign w:val="bottom"/>
          </w:tcPr>
          <w:p>
            <w:pPr>
              <w:spacing w:after="0"/>
              <w:rPr>
                <w:sz w:val="16"/>
                <w:szCs w:val="16"/>
                <w:color w:val="auto"/>
              </w:rPr>
            </w:pPr>
          </w:p>
        </w:tc>
        <w:tc>
          <w:tcPr>
            <w:tcW w:w="68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1,645</w:t>
            </w:r>
          </w:p>
        </w:tc>
        <w:tc>
          <w:tcPr>
            <w:tcW w:w="3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1,570</w:t>
            </w: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1,554</w:t>
            </w:r>
          </w:p>
        </w:tc>
      </w:tr>
      <w:tr>
        <w:trPr>
          <w:trHeight w:val="23"/>
        </w:trPr>
        <w:tc>
          <w:tcPr>
            <w:tcW w:w="8200" w:type="dxa"/>
            <w:vAlign w:val="bottom"/>
            <w:tcBorders>
              <w:bottom w:val="single" w:sz="8" w:color="0077C0"/>
            </w:tcBorders>
          </w:tcPr>
          <w:p>
            <w:pPr>
              <w:spacing w:after="0"/>
              <w:rPr>
                <w:sz w:val="2"/>
                <w:szCs w:val="2"/>
                <w:color w:val="auto"/>
              </w:rPr>
            </w:pPr>
          </w:p>
        </w:tc>
        <w:tc>
          <w:tcPr>
            <w:tcW w:w="360" w:type="dxa"/>
            <w:vAlign w:val="bottom"/>
            <w:tcBorders>
              <w:bottom w:val="single" w:sz="8" w:color="0077C0"/>
            </w:tcBorders>
          </w:tcPr>
          <w:p>
            <w:pPr>
              <w:spacing w:after="0"/>
              <w:rPr>
                <w:sz w:val="2"/>
                <w:szCs w:val="2"/>
                <w:color w:val="auto"/>
              </w:rPr>
            </w:pPr>
          </w:p>
        </w:tc>
        <w:tc>
          <w:tcPr>
            <w:tcW w:w="680" w:type="dxa"/>
            <w:vAlign w:val="bottom"/>
            <w:tcBorders>
              <w:bottom w:val="single" w:sz="8" w:color="0077C0"/>
              <w:right w:val="single" w:sz="8" w:color="0077C0"/>
            </w:tcBorders>
          </w:tcPr>
          <w:p>
            <w:pPr>
              <w:spacing w:after="0"/>
              <w:rPr>
                <w:sz w:val="2"/>
                <w:szCs w:val="2"/>
                <w:color w:val="auto"/>
              </w:rPr>
            </w:pPr>
          </w:p>
        </w:tc>
        <w:tc>
          <w:tcPr>
            <w:tcW w:w="34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36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r>
      <w:tr>
        <w:trPr>
          <w:trHeight w:val="190"/>
        </w:trPr>
        <w:tc>
          <w:tcPr>
            <w:tcW w:w="820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w:t>
            </w:r>
          </w:p>
        </w:tc>
        <w:tc>
          <w:tcPr>
            <w:tcW w:w="360" w:type="dxa"/>
            <w:vAlign w:val="bottom"/>
            <w:tcBorders>
              <w:bottom w:val="single" w:sz="8" w:color="0077C0"/>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1,662</w:t>
            </w:r>
          </w:p>
        </w:tc>
        <w:tc>
          <w:tcPr>
            <w:tcW w:w="340" w:type="dxa"/>
            <w:vAlign w:val="bottom"/>
            <w:tcBorders>
              <w:bottom w:val="single" w:sz="8" w:color="0077C0"/>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1,648</w:t>
            </w:r>
          </w:p>
        </w:tc>
        <w:tc>
          <w:tcPr>
            <w:tcW w:w="360" w:type="dxa"/>
            <w:vAlign w:val="bottom"/>
            <w:tcBorders>
              <w:bottom w:val="single" w:sz="8" w:color="0077C0"/>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1,627</w:t>
            </w:r>
          </w:p>
        </w:tc>
      </w:tr>
      <w:tr>
        <w:trPr>
          <w:trHeight w:val="202"/>
        </w:trPr>
        <w:tc>
          <w:tcPr>
            <w:tcW w:w="8200" w:type="dxa"/>
            <w:vAlign w:val="bottom"/>
            <w:tcBorders>
              <w:bottom w:val="single" w:sz="8" w:color="0077C0"/>
            </w:tcBorders>
          </w:tcPr>
          <w:p>
            <w:pPr>
              <w:ind w:left="20"/>
              <w:spacing w:after="0" w:line="202" w:lineRule="exact"/>
              <w:rPr>
                <w:sz w:val="20"/>
                <w:szCs w:val="20"/>
                <w:color w:val="auto"/>
              </w:rPr>
            </w:pPr>
            <w:r>
              <w:rPr>
                <w:rFonts w:ascii="Times New Roman" w:cs="Times New Roman" w:eastAsia="Times New Roman" w:hAnsi="Times New Roman"/>
                <w:sz w:val="14"/>
                <w:szCs w:val="14"/>
                <w:color w:val="auto"/>
              </w:rPr>
              <w:t>Number of projects with exploratory well costs that have been capitalized for a period greater than one year</w:t>
            </w:r>
            <w:r>
              <w:rPr>
                <w:rFonts w:ascii="Times New Roman" w:cs="Times New Roman" w:eastAsia="Times New Roman" w:hAnsi="Times New Roman"/>
                <w:sz w:val="18"/>
                <w:szCs w:val="18"/>
                <w:color w:val="auto"/>
                <w:vertAlign w:val="superscript"/>
              </w:rPr>
              <w:t>*</w:t>
            </w:r>
          </w:p>
        </w:tc>
        <w:tc>
          <w:tcPr>
            <w:tcW w:w="360" w:type="dxa"/>
            <w:vAlign w:val="bottom"/>
            <w:tcBorders>
              <w:bottom w:val="single" w:sz="8" w:color="0077C0"/>
            </w:tcBorders>
          </w:tcPr>
          <w:p>
            <w:pPr>
              <w:spacing w:after="0"/>
              <w:rPr>
                <w:sz w:val="17"/>
                <w:szCs w:val="17"/>
                <w:color w:val="auto"/>
              </w:rPr>
            </w:pPr>
          </w:p>
        </w:tc>
        <w:tc>
          <w:tcPr>
            <w:tcW w:w="68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14</w:t>
            </w:r>
          </w:p>
        </w:tc>
        <w:tc>
          <w:tcPr>
            <w:tcW w:w="340" w:type="dxa"/>
            <w:vAlign w:val="bottom"/>
            <w:tcBorders>
              <w:bottom w:val="single" w:sz="8" w:color="0077C0"/>
            </w:tcBorders>
          </w:tcPr>
          <w:p>
            <w:pPr>
              <w:spacing w:after="0"/>
              <w:rPr>
                <w:sz w:val="17"/>
                <w:szCs w:val="17"/>
                <w:color w:val="auto"/>
              </w:rPr>
            </w:pP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360" w:type="dxa"/>
            <w:vAlign w:val="bottom"/>
            <w:tcBorders>
              <w:bottom w:val="single" w:sz="8" w:color="0077C0"/>
            </w:tcBorders>
          </w:tcPr>
          <w:p>
            <w:pPr>
              <w:spacing w:after="0"/>
              <w:rPr>
                <w:sz w:val="17"/>
                <w:szCs w:val="17"/>
                <w:color w:val="auto"/>
              </w:rPr>
            </w:pPr>
          </w:p>
        </w:tc>
        <w:tc>
          <w:tcPr>
            <w:tcW w:w="6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3"/>
          <w:szCs w:val="13"/>
          <w:color w:val="auto"/>
        </w:rPr>
        <w:t>Certain projects have multiple wells or fields or both.</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the $1,645 of exploratory well costs capitalized for more than one year at December 31, 2024, $847 is related to seven projects that had drilling activities underway or firmly planned for the near future. The $798 balance is related to seven projects in areas requiring a major capital expenditure before production could begin and for which additional drilling efforts were not underway or firmly planned for the near future. Additional drilling was not deemed necessary because the presence of hydrocarbons had already been established, and other activities were in process to enable a future decision on project development.</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projects for the $798 referenced above had the following activities associated with assessing the reserves and the projects’ economic viability: (a) $383 (five projects) – undergoing front-end engineering and design with final investment decision expected within four years; (b) $415 (two projects) – development alternatives under review. While progress was being made on all 14 projects, the decision on the recognition of proved reserves under SEC rules in some cases may not occur for several years because of the complexity, scale and negotiations associated with the projects. Approximately half of these decisions are expected to occur in the next five years.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$1,645 of suspended well costs capitalized for a period greater than one year as of December 31, 2024, represents 75 exploratory wells in 14 projects.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contain the aging of these costs on a well and project basis: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Aging based on drilling completion date of individual wells:</w:t>
            </w:r>
          </w:p>
        </w:tc>
        <w:tc>
          <w:tcPr>
            <w:tcW w:w="2380" w:type="dxa"/>
            <w:vAlign w:val="bottom"/>
          </w:tcPr>
          <w:p>
            <w:pPr>
              <w:spacing w:after="0"/>
              <w:rPr>
                <w:sz w:val="16"/>
                <w:szCs w:val="16"/>
                <w:color w:val="auto"/>
              </w:rPr>
            </w:pPr>
          </w:p>
        </w:tc>
        <w:tc>
          <w:tcPr>
            <w:tcW w:w="13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Amount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Number of wells</w:t>
            </w:r>
          </w:p>
        </w:tc>
      </w:tr>
      <w:tr>
        <w:trPr>
          <w:trHeight w:val="23"/>
        </w:trPr>
        <w:tc>
          <w:tcPr>
            <w:tcW w:w="6100" w:type="dxa"/>
            <w:vAlign w:val="bottom"/>
            <w:tcBorders>
              <w:bottom w:val="single" w:sz="8" w:color="0077C0"/>
            </w:tcBorders>
          </w:tcPr>
          <w:p>
            <w:pPr>
              <w:spacing w:after="0"/>
              <w:rPr>
                <w:sz w:val="2"/>
                <w:szCs w:val="2"/>
                <w:color w:val="auto"/>
              </w:rPr>
            </w:pPr>
          </w:p>
        </w:tc>
        <w:tc>
          <w:tcPr>
            <w:tcW w:w="2380" w:type="dxa"/>
            <w:vAlign w:val="bottom"/>
            <w:tcBorders>
              <w:bottom w:val="single" w:sz="8" w:color="0077C0"/>
            </w:tcBorders>
          </w:tcPr>
          <w:p>
            <w:pPr>
              <w:spacing w:after="0"/>
              <w:rPr>
                <w:sz w:val="2"/>
                <w:szCs w:val="2"/>
                <w:color w:val="auto"/>
              </w:rPr>
            </w:pPr>
          </w:p>
        </w:tc>
        <w:tc>
          <w:tcPr>
            <w:tcW w:w="1300" w:type="dxa"/>
            <w:vAlign w:val="bottom"/>
            <w:tcBorders>
              <w:bottom w:val="single" w:sz="8" w:color="0077C0"/>
            </w:tcBorders>
          </w:tcPr>
          <w:p>
            <w:pPr>
              <w:spacing w:after="0"/>
              <w:rPr>
                <w:sz w:val="2"/>
                <w:szCs w:val="2"/>
                <w:color w:val="auto"/>
              </w:rPr>
            </w:pPr>
          </w:p>
        </w:tc>
        <w:tc>
          <w:tcPr>
            <w:tcW w:w="1460" w:type="dxa"/>
            <w:vAlign w:val="bottom"/>
            <w:tcBorders>
              <w:bottom w:val="single" w:sz="8" w:color="0077C0"/>
            </w:tcBorders>
          </w:tcPr>
          <w:p>
            <w:pPr>
              <w:spacing w:after="0"/>
              <w:rPr>
                <w:sz w:val="2"/>
                <w:szCs w:val="2"/>
                <w:color w:val="auto"/>
              </w:rPr>
            </w:pPr>
          </w:p>
        </w:tc>
      </w:tr>
      <w:tr>
        <w:trPr>
          <w:trHeight w:val="182"/>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2000-2009</w:t>
            </w:r>
          </w:p>
        </w:tc>
        <w:tc>
          <w:tcPr>
            <w:tcW w:w="238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263</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93"/>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2010-2014</w:t>
            </w:r>
          </w:p>
        </w:tc>
        <w:tc>
          <w:tcPr>
            <w:tcW w:w="2380" w:type="dxa"/>
            <w:vAlign w:val="bottom"/>
          </w:tcPr>
          <w:p>
            <w:pPr>
              <w:spacing w:after="0"/>
              <w:rPr>
                <w:sz w:val="16"/>
                <w:szCs w:val="16"/>
                <w:color w:val="auto"/>
              </w:rPr>
            </w:pPr>
          </w:p>
        </w:tc>
        <w:tc>
          <w:tcPr>
            <w:tcW w:w="13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1,122</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203"/>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2015-2023</w:t>
            </w:r>
          </w:p>
        </w:tc>
        <w:tc>
          <w:tcPr>
            <w:tcW w:w="2380" w:type="dxa"/>
            <w:vAlign w:val="bottom"/>
          </w:tcPr>
          <w:p>
            <w:pPr>
              <w:spacing w:after="0"/>
              <w:rPr>
                <w:sz w:val="17"/>
                <w:szCs w:val="17"/>
                <w:color w:val="auto"/>
              </w:rPr>
            </w:pPr>
          </w:p>
        </w:tc>
        <w:tc>
          <w:tcPr>
            <w:tcW w:w="13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260</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3"/>
        </w:trPr>
        <w:tc>
          <w:tcPr>
            <w:tcW w:w="6100" w:type="dxa"/>
            <w:vAlign w:val="bottom"/>
            <w:tcBorders>
              <w:bottom w:val="single" w:sz="8" w:color="0077C0"/>
            </w:tcBorders>
          </w:tcPr>
          <w:p>
            <w:pPr>
              <w:spacing w:after="0"/>
              <w:rPr>
                <w:sz w:val="2"/>
                <w:szCs w:val="2"/>
                <w:color w:val="auto"/>
              </w:rPr>
            </w:pPr>
          </w:p>
        </w:tc>
        <w:tc>
          <w:tcPr>
            <w:tcW w:w="2380" w:type="dxa"/>
            <w:vAlign w:val="bottom"/>
            <w:tcBorders>
              <w:bottom w:val="single" w:sz="8" w:color="0077C0"/>
            </w:tcBorders>
          </w:tcPr>
          <w:p>
            <w:pPr>
              <w:spacing w:after="0"/>
              <w:rPr>
                <w:sz w:val="2"/>
                <w:szCs w:val="2"/>
                <w:color w:val="auto"/>
              </w:rPr>
            </w:pPr>
          </w:p>
        </w:tc>
        <w:tc>
          <w:tcPr>
            <w:tcW w:w="1300" w:type="dxa"/>
            <w:vAlign w:val="bottom"/>
            <w:tcBorders>
              <w:bottom w:val="single" w:sz="8" w:color="0077C0"/>
            </w:tcBorders>
          </w:tcPr>
          <w:p>
            <w:pPr>
              <w:spacing w:after="0"/>
              <w:rPr>
                <w:sz w:val="2"/>
                <w:szCs w:val="2"/>
                <w:color w:val="auto"/>
              </w:rPr>
            </w:pPr>
          </w:p>
        </w:tc>
        <w:tc>
          <w:tcPr>
            <w:tcW w:w="1460" w:type="dxa"/>
            <w:vAlign w:val="bottom"/>
            <w:tcBorders>
              <w:bottom w:val="single" w:sz="8" w:color="0077C0"/>
            </w:tcBorders>
          </w:tcPr>
          <w:p>
            <w:pPr>
              <w:spacing w:after="0"/>
              <w:rPr>
                <w:sz w:val="2"/>
                <w:szCs w:val="2"/>
                <w:color w:val="auto"/>
              </w:rPr>
            </w:pPr>
          </w:p>
        </w:tc>
      </w:tr>
      <w:tr>
        <w:trPr>
          <w:trHeight w:val="190"/>
        </w:trPr>
        <w:tc>
          <w:tcPr>
            <w:tcW w:w="610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380" w:type="dxa"/>
            <w:vAlign w:val="bottom"/>
            <w:tcBorders>
              <w:bottom w:val="single" w:sz="8" w:color="0077C0"/>
            </w:tcBorders>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0077C0"/>
            </w:tcBorders>
          </w:tcPr>
          <w:p>
            <w:pPr>
              <w:jc w:val="right"/>
              <w:ind w:right="308"/>
              <w:spacing w:after="0"/>
              <w:rPr>
                <w:sz w:val="20"/>
                <w:szCs w:val="20"/>
                <w:color w:val="auto"/>
              </w:rPr>
            </w:pPr>
            <w:r>
              <w:rPr>
                <w:rFonts w:ascii="Times New Roman" w:cs="Times New Roman" w:eastAsia="Times New Roman" w:hAnsi="Times New Roman"/>
                <w:sz w:val="14"/>
                <w:szCs w:val="14"/>
                <w:color w:val="auto"/>
              </w:rPr>
              <w:t>1,645</w:t>
            </w:r>
          </w:p>
        </w:tc>
        <w:tc>
          <w:tcPr>
            <w:tcW w:w="14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273"/>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Aging based on drilling completion date of last suspended well in project:</w:t>
            </w:r>
          </w:p>
        </w:tc>
        <w:tc>
          <w:tcPr>
            <w:tcW w:w="2380" w:type="dxa"/>
            <w:vAlign w:val="bottom"/>
          </w:tcPr>
          <w:p>
            <w:pPr>
              <w:spacing w:after="0"/>
              <w:rPr>
                <w:sz w:val="23"/>
                <w:szCs w:val="23"/>
                <w:color w:val="auto"/>
              </w:rPr>
            </w:pPr>
          </w:p>
        </w:tc>
        <w:tc>
          <w:tcPr>
            <w:tcW w:w="13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Amount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Number of projects</w:t>
            </w:r>
          </w:p>
        </w:tc>
      </w:tr>
      <w:tr>
        <w:trPr>
          <w:trHeight w:val="23"/>
        </w:trPr>
        <w:tc>
          <w:tcPr>
            <w:tcW w:w="6100" w:type="dxa"/>
            <w:vAlign w:val="bottom"/>
            <w:tcBorders>
              <w:bottom w:val="single" w:sz="8" w:color="0077C0"/>
            </w:tcBorders>
          </w:tcPr>
          <w:p>
            <w:pPr>
              <w:spacing w:after="0"/>
              <w:rPr>
                <w:sz w:val="2"/>
                <w:szCs w:val="2"/>
                <w:color w:val="auto"/>
              </w:rPr>
            </w:pPr>
          </w:p>
        </w:tc>
        <w:tc>
          <w:tcPr>
            <w:tcW w:w="2380" w:type="dxa"/>
            <w:vAlign w:val="bottom"/>
            <w:tcBorders>
              <w:bottom w:val="single" w:sz="8" w:color="0077C0"/>
            </w:tcBorders>
          </w:tcPr>
          <w:p>
            <w:pPr>
              <w:spacing w:after="0"/>
              <w:rPr>
                <w:sz w:val="2"/>
                <w:szCs w:val="2"/>
                <w:color w:val="auto"/>
              </w:rPr>
            </w:pPr>
          </w:p>
        </w:tc>
        <w:tc>
          <w:tcPr>
            <w:tcW w:w="1300" w:type="dxa"/>
            <w:vAlign w:val="bottom"/>
            <w:tcBorders>
              <w:bottom w:val="single" w:sz="8" w:color="0077C0"/>
            </w:tcBorders>
          </w:tcPr>
          <w:p>
            <w:pPr>
              <w:spacing w:after="0"/>
              <w:rPr>
                <w:sz w:val="2"/>
                <w:szCs w:val="2"/>
                <w:color w:val="auto"/>
              </w:rPr>
            </w:pPr>
          </w:p>
        </w:tc>
        <w:tc>
          <w:tcPr>
            <w:tcW w:w="1460" w:type="dxa"/>
            <w:vAlign w:val="bottom"/>
            <w:tcBorders>
              <w:bottom w:val="single" w:sz="8" w:color="0077C0"/>
            </w:tcBorders>
          </w:tcPr>
          <w:p>
            <w:pPr>
              <w:spacing w:after="0"/>
              <w:rPr>
                <w:sz w:val="2"/>
                <w:szCs w:val="2"/>
                <w:color w:val="auto"/>
              </w:rPr>
            </w:pPr>
          </w:p>
        </w:tc>
      </w:tr>
      <w:tr>
        <w:trPr>
          <w:trHeight w:val="182"/>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2008-2012</w:t>
            </w:r>
          </w:p>
        </w:tc>
        <w:tc>
          <w:tcPr>
            <w:tcW w:w="238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292</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3"/>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2013-2016</w:t>
            </w:r>
          </w:p>
        </w:tc>
        <w:tc>
          <w:tcPr>
            <w:tcW w:w="2380" w:type="dxa"/>
            <w:vAlign w:val="bottom"/>
          </w:tcPr>
          <w:p>
            <w:pPr>
              <w:spacing w:after="0"/>
              <w:rPr>
                <w:sz w:val="16"/>
                <w:szCs w:val="16"/>
                <w:color w:val="auto"/>
              </w:rPr>
            </w:pPr>
          </w:p>
        </w:tc>
        <w:tc>
          <w:tcPr>
            <w:tcW w:w="13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1,082</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03"/>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2017-2024</w:t>
            </w:r>
          </w:p>
        </w:tc>
        <w:tc>
          <w:tcPr>
            <w:tcW w:w="2380" w:type="dxa"/>
            <w:vAlign w:val="bottom"/>
          </w:tcPr>
          <w:p>
            <w:pPr>
              <w:spacing w:after="0"/>
              <w:rPr>
                <w:sz w:val="17"/>
                <w:szCs w:val="17"/>
                <w:color w:val="auto"/>
              </w:rPr>
            </w:pPr>
          </w:p>
        </w:tc>
        <w:tc>
          <w:tcPr>
            <w:tcW w:w="13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271</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3"/>
        </w:trPr>
        <w:tc>
          <w:tcPr>
            <w:tcW w:w="6100" w:type="dxa"/>
            <w:vAlign w:val="bottom"/>
            <w:tcBorders>
              <w:bottom w:val="single" w:sz="8" w:color="0077C0"/>
            </w:tcBorders>
          </w:tcPr>
          <w:p>
            <w:pPr>
              <w:spacing w:after="0"/>
              <w:rPr>
                <w:sz w:val="2"/>
                <w:szCs w:val="2"/>
                <w:color w:val="auto"/>
              </w:rPr>
            </w:pPr>
          </w:p>
        </w:tc>
        <w:tc>
          <w:tcPr>
            <w:tcW w:w="2380" w:type="dxa"/>
            <w:vAlign w:val="bottom"/>
            <w:tcBorders>
              <w:bottom w:val="single" w:sz="8" w:color="0077C0"/>
            </w:tcBorders>
          </w:tcPr>
          <w:p>
            <w:pPr>
              <w:spacing w:after="0"/>
              <w:rPr>
                <w:sz w:val="2"/>
                <w:szCs w:val="2"/>
                <w:color w:val="auto"/>
              </w:rPr>
            </w:pPr>
          </w:p>
        </w:tc>
        <w:tc>
          <w:tcPr>
            <w:tcW w:w="1300" w:type="dxa"/>
            <w:vAlign w:val="bottom"/>
            <w:tcBorders>
              <w:bottom w:val="single" w:sz="8" w:color="0077C0"/>
            </w:tcBorders>
          </w:tcPr>
          <w:p>
            <w:pPr>
              <w:spacing w:after="0"/>
              <w:rPr>
                <w:sz w:val="2"/>
                <w:szCs w:val="2"/>
                <w:color w:val="auto"/>
              </w:rPr>
            </w:pPr>
          </w:p>
        </w:tc>
        <w:tc>
          <w:tcPr>
            <w:tcW w:w="1460" w:type="dxa"/>
            <w:vAlign w:val="bottom"/>
            <w:tcBorders>
              <w:bottom w:val="single" w:sz="8" w:color="0077C0"/>
            </w:tcBorders>
          </w:tcPr>
          <w:p>
            <w:pPr>
              <w:spacing w:after="0"/>
              <w:rPr>
                <w:sz w:val="2"/>
                <w:szCs w:val="2"/>
                <w:color w:val="auto"/>
              </w:rPr>
            </w:pPr>
          </w:p>
        </w:tc>
      </w:tr>
      <w:tr>
        <w:trPr>
          <w:trHeight w:val="190"/>
        </w:trPr>
        <w:tc>
          <w:tcPr>
            <w:tcW w:w="610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380" w:type="dxa"/>
            <w:vAlign w:val="bottom"/>
            <w:tcBorders>
              <w:bottom w:val="single" w:sz="8" w:color="0077C0"/>
            </w:tcBorders>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0077C0"/>
            </w:tcBorders>
          </w:tcPr>
          <w:p>
            <w:pPr>
              <w:jc w:val="right"/>
              <w:ind w:right="308"/>
              <w:spacing w:after="0"/>
              <w:rPr>
                <w:sz w:val="20"/>
                <w:szCs w:val="20"/>
                <w:color w:val="auto"/>
              </w:rPr>
            </w:pPr>
            <w:r>
              <w:rPr>
                <w:rFonts w:ascii="Times New Roman" w:cs="Times New Roman" w:eastAsia="Times New Roman" w:hAnsi="Times New Roman"/>
                <w:sz w:val="14"/>
                <w:szCs w:val="14"/>
                <w:color w:val="auto"/>
              </w:rPr>
              <w:t>1,645</w:t>
            </w:r>
          </w:p>
        </w:tc>
        <w:tc>
          <w:tcPr>
            <w:tcW w:w="14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22</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0077C0"/>
        </w:rPr>
        <w:t>Stock Options and Other Share-Based Compensation</w:t>
      </w:r>
    </w:p>
    <w:p>
      <w:pPr>
        <w:spacing w:after="0" w:line="1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Compensation expense for stock options for 2024, 2023 and 2022 was $90 ($68 after tax), $85 ($65 after tax) and $60 ($46 after tax), respectively. In addition, compensation expense for stock appreciation rights, restricted stock, performance shares and restricted stock units for 2024, 2023 and 2022 was $510 ($388 after tax), $(100) ($(76) after tax) and $1,013 ($770 after tax), respectively. No significant stock-based compensation cost was capitalized at December 31, 2024, or December 31, 2023.</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93" w:name="page94"/>
    <w:bookmarkEnd w:id="93"/>
    <w:p>
      <w:pPr>
        <w:ind w:left="20"/>
        <w:spacing w:after="0"/>
        <w:tabs>
          <w:tab w:leader="none" w:pos="9460" w:val="left"/>
        </w:tabs>
        <w:rPr>
          <w:sz w:val="20"/>
          <w:szCs w:val="20"/>
          <w:color w:val="auto"/>
        </w:rPr>
      </w:pPr>
      <w:r>
        <w:rPr>
          <w:rFonts w:ascii="Arial" w:cs="Arial" w:eastAsia="Arial" w:hAnsi="Arial"/>
          <w:sz w:val="14"/>
          <w:szCs w:val="14"/>
          <w:color w:val="0077C0"/>
        </w:rPr>
        <w:t>Notes to the Consolidated Financial Statements</w:t>
      </w:r>
      <w:r>
        <w:rPr>
          <w:sz w:val="20"/>
          <w:szCs w:val="20"/>
          <w:color w:val="auto"/>
        </w:rPr>
        <w:tab/>
      </w:r>
      <w:r>
        <w:rPr>
          <w:rFonts w:ascii="Arial" w:cs="Arial" w:eastAsia="Arial" w:hAnsi="Arial"/>
          <w:sz w:val="14"/>
          <w:szCs w:val="14"/>
          <w:color w:val="0077C0"/>
        </w:rPr>
        <w:t>Financial Table of Contents</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11"/>
          <w:szCs w:val="11"/>
          <w:color w:val="0077C0"/>
        </w:rPr>
        <w:t>Millions of dollars, except per-share amounts</w:t>
      </w:r>
    </w:p>
    <w:p>
      <w:pPr>
        <w:spacing w:after="0" w:line="200" w:lineRule="exact"/>
        <w:rPr>
          <w:sz w:val="20"/>
          <w:szCs w:val="20"/>
          <w:color w:val="auto"/>
        </w:rPr>
      </w:pPr>
    </w:p>
    <w:p>
      <w:pPr>
        <w:spacing w:after="0" w:line="37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Cash received in payment for option exercises under all share-based payment arrangements for 2024, 2023 and 2022 was $356, $263 and $5,835, respectively. Actual tax benefits realized for the tax deductions from option exercises were $24, $20 and $216 for 2024, 2023 and 2022, respectively.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to settle performance shares, restricted stock units and stock appreciation rights was $395, $566 and $556 for 2024, 2023 and 2022, respectively.</w:t>
      </w:r>
    </w:p>
    <w:p>
      <w:pPr>
        <w:spacing w:after="0" w:line="1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 May 25, 2022, stockholders approved the Chevron 2022 Long-Term Incentive Plan (2022 LTIP). Awards under the 2022 LTIP may take the form of, but are not limited to, stock options, restricted stock, restricted stock units, stock appreciation rights, performance shares and non-stock grants. From May 2022 through May 2032, no more than 104 million shares may be issued under the 2022 LTIP. For awards issued on or after May 25, 2022, no more than 48 million of those shares may be issued in the form of full value awards such as share-settled restricted stock, share-settled restricted stock units, share-settled performance shares and other share-settled awards that do not require full payment in cash or property for shares underlying such awards by the award recipient. Contractual terms of equity awards vary between three years for the performance shares and special restricted stock units with cliff vesting at the end of the contractual period, five years for standard restricted stock units with cliff vesting at the end of the contractual period and 10 years for the stock options and stock appreciation rights with graded vesting provisions by which one-third of each award vests around each of the first, second and third anniversaries of the date of grant. Commencing for grants issued in January 2023 and after, standard restricted stock units vest ratably on an annual basis over a three-year period. Forfeitures of performance shares, restricted stock units, and stock appreciation rights are recognized as they occur. Forfeitures of stock options are estimated using historical forfeiture data dating back to 1990.</w:t>
      </w:r>
    </w:p>
    <w:p>
      <w:pPr>
        <w:spacing w:after="0" w:line="56"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Fair Value and Assumptions </w:t>
      </w:r>
      <w:r>
        <w:rPr>
          <w:rFonts w:ascii="Times New Roman" w:cs="Times New Roman" w:eastAsia="Times New Roman" w:hAnsi="Times New Roman"/>
          <w:sz w:val="18"/>
          <w:szCs w:val="18"/>
          <w:color w:val="000000"/>
        </w:rPr>
        <w:t>The fair market values of stock options and stock appreciation rights granted in 2024, 2023 and 2022 were measured on the</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date of grant using the Black-Scholes option-pricing model with the following weighted-average assumptions: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Year ended December 31</w:t>
            </w:r>
          </w:p>
        </w:tc>
      </w:tr>
      <w:tr>
        <w:trPr>
          <w:trHeight w:val="23"/>
        </w:trPr>
        <w:tc>
          <w:tcPr>
            <w:tcW w:w="6060" w:type="dxa"/>
            <w:vAlign w:val="bottom"/>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c>
          <w:tcPr>
            <w:tcW w:w="24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c>
          <w:tcPr>
            <w:tcW w:w="360" w:type="dxa"/>
            <w:vAlign w:val="bottom"/>
            <w:tcBorders>
              <w:bottom w:val="single" w:sz="8" w:color="0077C0"/>
            </w:tcBorders>
          </w:tcPr>
          <w:p>
            <w:pPr>
              <w:spacing w:after="0"/>
              <w:rPr>
                <w:sz w:val="2"/>
                <w:szCs w:val="2"/>
                <w:color w:val="auto"/>
              </w:rPr>
            </w:pPr>
          </w:p>
        </w:tc>
        <w:tc>
          <w:tcPr>
            <w:tcW w:w="132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r>
      <w:tr>
        <w:trPr>
          <w:trHeight w:val="190"/>
        </w:trPr>
        <w:tc>
          <w:tcPr>
            <w:tcW w:w="6060" w:type="dxa"/>
            <w:vAlign w:val="bottom"/>
            <w:tcBorders>
              <w:bottom w:val="single" w:sz="8" w:color="0077C0"/>
            </w:tcBorders>
          </w:tcPr>
          <w:p>
            <w:pPr>
              <w:spacing w:after="0"/>
              <w:rPr>
                <w:sz w:val="16"/>
                <w:szCs w:val="16"/>
                <w:color w:val="auto"/>
              </w:rPr>
            </w:pPr>
          </w:p>
        </w:tc>
        <w:tc>
          <w:tcPr>
            <w:tcW w:w="580" w:type="dxa"/>
            <w:vAlign w:val="bottom"/>
            <w:tcBorders>
              <w:bottom w:val="single" w:sz="8" w:color="0077C0"/>
            </w:tcBorders>
          </w:tcPr>
          <w:p>
            <w:pPr>
              <w:spacing w:after="0"/>
              <w:rPr>
                <w:sz w:val="16"/>
                <w:szCs w:val="16"/>
                <w:color w:val="auto"/>
              </w:rPr>
            </w:pPr>
          </w:p>
        </w:tc>
        <w:tc>
          <w:tcPr>
            <w:tcW w:w="9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0077C0"/>
            </w:tcBorders>
          </w:tcPr>
          <w:p>
            <w:pPr>
              <w:spacing w:after="0"/>
              <w:rPr>
                <w:sz w:val="16"/>
                <w:szCs w:val="16"/>
                <w:color w:val="auto"/>
              </w:rPr>
            </w:pPr>
          </w:p>
        </w:tc>
        <w:tc>
          <w:tcPr>
            <w:tcW w:w="660" w:type="dxa"/>
            <w:vAlign w:val="bottom"/>
            <w:tcBorders>
              <w:bottom w:val="single" w:sz="8" w:color="0077C0"/>
            </w:tcBorders>
          </w:tcPr>
          <w:p>
            <w:pPr>
              <w:spacing w:after="0"/>
              <w:rPr>
                <w:sz w:val="16"/>
                <w:szCs w:val="16"/>
                <w:color w:val="auto"/>
              </w:rPr>
            </w:pPr>
          </w:p>
        </w:tc>
        <w:tc>
          <w:tcPr>
            <w:tcW w:w="9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360" w:type="dxa"/>
            <w:vAlign w:val="bottom"/>
            <w:tcBorders>
              <w:bottom w:val="single" w:sz="8" w:color="0077C0"/>
            </w:tcBorders>
          </w:tcPr>
          <w:p>
            <w:pPr>
              <w:spacing w:after="0"/>
              <w:rPr>
                <w:sz w:val="16"/>
                <w:szCs w:val="16"/>
                <w:color w:val="auto"/>
              </w:rPr>
            </w:pPr>
          </w:p>
        </w:tc>
        <w:tc>
          <w:tcPr>
            <w:tcW w:w="13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220" w:type="dxa"/>
            <w:vAlign w:val="bottom"/>
            <w:tcBorders>
              <w:bottom w:val="single" w:sz="8" w:color="0077C0"/>
            </w:tcBorders>
          </w:tcPr>
          <w:p>
            <w:pPr>
              <w:spacing w:after="0"/>
              <w:rPr>
                <w:sz w:val="16"/>
                <w:szCs w:val="16"/>
                <w:color w:val="auto"/>
              </w:rPr>
            </w:pPr>
          </w:p>
        </w:tc>
      </w:tr>
      <w:tr>
        <w:trPr>
          <w:trHeight w:val="190"/>
        </w:trPr>
        <w:tc>
          <w:tcPr>
            <w:tcW w:w="6060" w:type="dxa"/>
            <w:vAlign w:val="bottom"/>
          </w:tcPr>
          <w:p>
            <w:pPr>
              <w:ind w:left="20"/>
              <w:spacing w:after="0" w:line="190" w:lineRule="exact"/>
              <w:rPr>
                <w:sz w:val="20"/>
                <w:szCs w:val="20"/>
                <w:color w:val="auto"/>
              </w:rPr>
            </w:pPr>
            <w:r>
              <w:rPr>
                <w:rFonts w:ascii="Times New Roman" w:cs="Times New Roman" w:eastAsia="Times New Roman" w:hAnsi="Times New Roman"/>
                <w:sz w:val="14"/>
                <w:szCs w:val="14"/>
                <w:color w:val="auto"/>
              </w:rPr>
              <w:t>Expected term in years</w:t>
            </w:r>
            <w:r>
              <w:rPr>
                <w:rFonts w:ascii="Times New Roman" w:cs="Times New Roman" w:eastAsia="Times New Roman" w:hAnsi="Times New Roman"/>
                <w:sz w:val="18"/>
                <w:szCs w:val="18"/>
                <w:color w:val="auto"/>
                <w:vertAlign w:val="superscript"/>
              </w:rPr>
              <w:t>1</w:t>
            </w: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6.5</w:t>
            </w:r>
          </w:p>
        </w:tc>
        <w:tc>
          <w:tcPr>
            <w:tcW w:w="240" w:type="dxa"/>
            <w:vAlign w:val="bottom"/>
            <w:tcBorders>
              <w:right w:val="single" w:sz="8" w:color="0077C0"/>
            </w:tcBorders>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3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220" w:type="dxa"/>
            <w:vAlign w:val="bottom"/>
          </w:tcPr>
          <w:p>
            <w:pPr>
              <w:spacing w:after="0"/>
              <w:rPr>
                <w:sz w:val="16"/>
                <w:szCs w:val="16"/>
                <w:color w:val="auto"/>
              </w:rPr>
            </w:pPr>
          </w:p>
        </w:tc>
      </w:tr>
      <w:tr>
        <w:trPr>
          <w:trHeight w:val="204"/>
        </w:trPr>
        <w:tc>
          <w:tcPr>
            <w:tcW w:w="6060" w:type="dxa"/>
            <w:vAlign w:val="bottom"/>
          </w:tcPr>
          <w:p>
            <w:pPr>
              <w:ind w:left="20"/>
              <w:spacing w:after="0" w:line="204" w:lineRule="exact"/>
              <w:rPr>
                <w:sz w:val="20"/>
                <w:szCs w:val="20"/>
                <w:color w:val="auto"/>
              </w:rPr>
            </w:pPr>
            <w:r>
              <w:rPr>
                <w:rFonts w:ascii="Times New Roman" w:cs="Times New Roman" w:eastAsia="Times New Roman" w:hAnsi="Times New Roman"/>
                <w:sz w:val="14"/>
                <w:szCs w:val="14"/>
                <w:color w:val="auto"/>
              </w:rPr>
              <w:t>Volatility</w:t>
            </w:r>
            <w:r>
              <w:rPr>
                <w:rFonts w:ascii="Times New Roman" w:cs="Times New Roman" w:eastAsia="Times New Roman" w:hAnsi="Times New Roman"/>
                <w:sz w:val="18"/>
                <w:szCs w:val="18"/>
                <w:color w:val="auto"/>
                <w:vertAlign w:val="superscript"/>
              </w:rPr>
              <w:t>2</w:t>
            </w:r>
          </w:p>
        </w:tc>
        <w:tc>
          <w:tcPr>
            <w:tcW w:w="58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33.0</w:t>
            </w:r>
          </w:p>
        </w:tc>
        <w:tc>
          <w:tcPr>
            <w:tcW w:w="24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32.5</w:t>
            </w:r>
          </w:p>
        </w:tc>
        <w:tc>
          <w:tcPr>
            <w:tcW w:w="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31.3</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Risk-free interest rate based on zero coupon U.S. treasury note</w:t>
            </w:r>
          </w:p>
        </w:tc>
        <w:tc>
          <w:tcPr>
            <w:tcW w:w="58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3.98</w:t>
            </w:r>
          </w:p>
        </w:tc>
        <w:tc>
          <w:tcPr>
            <w:tcW w:w="24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3.43</w:t>
            </w:r>
          </w:p>
        </w:tc>
        <w:tc>
          <w:tcPr>
            <w:tcW w:w="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1.79</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58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4.1</w:t>
            </w:r>
          </w:p>
        </w:tc>
        <w:tc>
          <w:tcPr>
            <w:tcW w:w="24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w:t>
            </w:r>
          </w:p>
        </w:tc>
        <w:tc>
          <w:tcPr>
            <w:tcW w:w="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fair value per option granted</w:t>
            </w:r>
          </w:p>
        </w:tc>
        <w:tc>
          <w:tcPr>
            <w:tcW w:w="58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38.00</w:t>
            </w:r>
          </w:p>
        </w:tc>
        <w:tc>
          <w:tcPr>
            <w:tcW w:w="240" w:type="dxa"/>
            <w:vAlign w:val="bottom"/>
            <w:tcBorders>
              <w:right w:val="single" w:sz="8" w:color="0077C0"/>
            </w:tcBorders>
          </w:tcPr>
          <w:p>
            <w:pPr>
              <w:spacing w:after="0"/>
              <w:rPr>
                <w:sz w:val="17"/>
                <w:szCs w:val="17"/>
                <w:color w:val="auto"/>
              </w:rPr>
            </w:pPr>
          </w:p>
        </w:tc>
        <w:tc>
          <w:tcPr>
            <w:tcW w:w="66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45.82</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23.56</w:t>
            </w:r>
          </w:p>
        </w:tc>
        <w:tc>
          <w:tcPr>
            <w:tcW w:w="220" w:type="dxa"/>
            <w:vAlign w:val="bottom"/>
          </w:tcPr>
          <w:p>
            <w:pPr>
              <w:spacing w:after="0"/>
              <w:rPr>
                <w:sz w:val="17"/>
                <w:szCs w:val="17"/>
                <w:color w:val="auto"/>
              </w:rPr>
            </w:pPr>
          </w:p>
        </w:tc>
      </w:tr>
      <w:tr>
        <w:trPr>
          <w:trHeight w:val="23"/>
        </w:trPr>
        <w:tc>
          <w:tcPr>
            <w:tcW w:w="606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c>
          <w:tcPr>
            <w:tcW w:w="240" w:type="dxa"/>
            <w:vAlign w:val="bottom"/>
            <w:tcBorders>
              <w:bottom w:val="single" w:sz="8" w:color="0077C0"/>
              <w:right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c>
          <w:tcPr>
            <w:tcW w:w="360" w:type="dxa"/>
            <w:vAlign w:val="bottom"/>
            <w:tcBorders>
              <w:bottom w:val="single" w:sz="8" w:color="0077C0"/>
            </w:tcBorders>
          </w:tcPr>
          <w:p>
            <w:pPr>
              <w:spacing w:after="0"/>
              <w:rPr>
                <w:sz w:val="2"/>
                <w:szCs w:val="2"/>
                <w:color w:val="auto"/>
              </w:rPr>
            </w:pPr>
          </w:p>
        </w:tc>
        <w:tc>
          <w:tcPr>
            <w:tcW w:w="132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r>
    </w:tbl>
    <w:p>
      <w:pPr>
        <w:spacing w:after="0" w:line="13" w:lineRule="exact"/>
        <w:rPr>
          <w:sz w:val="20"/>
          <w:szCs w:val="20"/>
          <w:color w:val="auto"/>
        </w:rPr>
      </w:pPr>
    </w:p>
    <w:p>
      <w:pPr>
        <w:ind w:left="140" w:hanging="132"/>
        <w:spacing w:after="0"/>
        <w:tabs>
          <w:tab w:leader="none" w:pos="140" w:val="left"/>
        </w:tabs>
        <w:numPr>
          <w:ilvl w:val="0"/>
          <w:numId w:val="5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Expected term is based on historical exercise and post-vesting cancellation data.</w:t>
      </w:r>
    </w:p>
    <w:p>
      <w:pPr>
        <w:ind w:left="140" w:hanging="132"/>
        <w:spacing w:after="0" w:line="197" w:lineRule="auto"/>
        <w:tabs>
          <w:tab w:leader="none" w:pos="140" w:val="left"/>
        </w:tabs>
        <w:numPr>
          <w:ilvl w:val="0"/>
          <w:numId w:val="5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Volatility rate is based on historical stock prices over an appropriate period, generally equal to the expected term.</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option activity during 2024 is presented below:</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2380" w:type="dxa"/>
            <w:vAlign w:val="bottom"/>
            <w:vMerge w:val="restart"/>
          </w:tcPr>
          <w:p>
            <w:pPr>
              <w:jc w:val="right"/>
              <w:ind w:right="488"/>
              <w:spacing w:after="0"/>
              <w:rPr>
                <w:sz w:val="20"/>
                <w:szCs w:val="20"/>
                <w:color w:val="auto"/>
              </w:rPr>
            </w:pPr>
            <w:r>
              <w:rPr>
                <w:rFonts w:ascii="Times New Roman" w:cs="Times New Roman" w:eastAsia="Times New Roman" w:hAnsi="Times New Roman"/>
                <w:sz w:val="14"/>
                <w:szCs w:val="14"/>
                <w:color w:val="auto"/>
              </w:rPr>
              <w:t>Shares (Thousands)</w:t>
            </w:r>
          </w:p>
        </w:tc>
        <w:tc>
          <w:tcPr>
            <w:tcW w:w="17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Weighted-Average</w:t>
            </w:r>
          </w:p>
        </w:tc>
        <w:tc>
          <w:tcPr>
            <w:tcW w:w="24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Averaged Remaining Contractual</w:t>
            </w:r>
          </w:p>
        </w:tc>
        <w:tc>
          <w:tcPr>
            <w:tcW w:w="1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Aggregate Intrinsic Value</w:t>
            </w:r>
          </w:p>
        </w:tc>
        <w:tc>
          <w:tcPr>
            <w:tcW w:w="0" w:type="dxa"/>
            <w:vAlign w:val="bottom"/>
          </w:tcPr>
          <w:p>
            <w:pPr>
              <w:spacing w:after="0"/>
              <w:rPr>
                <w:sz w:val="1"/>
                <w:szCs w:val="1"/>
                <w:color w:val="auto"/>
              </w:rPr>
            </w:pPr>
          </w:p>
        </w:tc>
      </w:tr>
      <w:tr>
        <w:trPr>
          <w:trHeight w:val="193"/>
        </w:trPr>
        <w:tc>
          <w:tcPr>
            <w:tcW w:w="2820" w:type="dxa"/>
            <w:vAlign w:val="bottom"/>
            <w:tcBorders>
              <w:bottom w:val="single" w:sz="8" w:color="0077C0"/>
            </w:tcBorders>
          </w:tcPr>
          <w:p>
            <w:pPr>
              <w:spacing w:after="0"/>
              <w:rPr>
                <w:sz w:val="16"/>
                <w:szCs w:val="16"/>
                <w:color w:val="auto"/>
              </w:rPr>
            </w:pPr>
          </w:p>
        </w:tc>
        <w:tc>
          <w:tcPr>
            <w:tcW w:w="2380" w:type="dxa"/>
            <w:vAlign w:val="bottom"/>
            <w:tcBorders>
              <w:bottom w:val="single" w:sz="8" w:color="0077C0"/>
            </w:tcBorders>
            <w:vMerge w:val="continue"/>
          </w:tcPr>
          <w:p>
            <w:pPr>
              <w:spacing w:after="0"/>
              <w:rPr>
                <w:sz w:val="16"/>
                <w:szCs w:val="16"/>
                <w:color w:val="auto"/>
              </w:rPr>
            </w:pPr>
          </w:p>
        </w:tc>
        <w:tc>
          <w:tcPr>
            <w:tcW w:w="1780" w:type="dxa"/>
            <w:vAlign w:val="bottom"/>
            <w:tcBorders>
              <w:bottom w:val="single" w:sz="8" w:color="0077C0"/>
            </w:tcBorders>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Exercise Price</w:t>
            </w:r>
          </w:p>
        </w:tc>
        <w:tc>
          <w:tcPr>
            <w:tcW w:w="2400" w:type="dxa"/>
            <w:vAlign w:val="bottom"/>
            <w:tcBorders>
              <w:bottom w:val="single" w:sz="8" w:color="0077C0"/>
            </w:tcBorders>
          </w:tcPr>
          <w:p>
            <w:pPr>
              <w:jc w:val="right"/>
              <w:ind w:right="268"/>
              <w:spacing w:after="0"/>
              <w:rPr>
                <w:sz w:val="20"/>
                <w:szCs w:val="20"/>
                <w:color w:val="auto"/>
              </w:rPr>
            </w:pPr>
            <w:r>
              <w:rPr>
                <w:rFonts w:ascii="Times New Roman" w:cs="Times New Roman" w:eastAsia="Times New Roman" w:hAnsi="Times New Roman"/>
                <w:sz w:val="14"/>
                <w:szCs w:val="14"/>
                <w:color w:val="auto"/>
              </w:rPr>
              <w:t>Term (Years)</w:t>
            </w:r>
          </w:p>
        </w:tc>
        <w:tc>
          <w:tcPr>
            <w:tcW w:w="1860" w:type="dxa"/>
            <w:vAlign w:val="bottom"/>
            <w:tcBorders>
              <w:bottom w:val="single" w:sz="8" w:color="0077C0"/>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at January 1, 2024</w:t>
            </w:r>
          </w:p>
        </w:tc>
        <w:tc>
          <w:tcPr>
            <w:tcW w:w="238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24,375</w:t>
            </w: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118.72</w:t>
            </w:r>
          </w:p>
        </w:tc>
        <w:tc>
          <w:tcPr>
            <w:tcW w:w="2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Granted</w:t>
            </w:r>
          </w:p>
        </w:tc>
        <w:tc>
          <w:tcPr>
            <w:tcW w:w="238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2,730</w:t>
            </w: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152.35</w:t>
            </w:r>
          </w:p>
        </w:tc>
        <w:tc>
          <w:tcPr>
            <w:tcW w:w="2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Exercised</w:t>
            </w:r>
          </w:p>
        </w:tc>
        <w:tc>
          <w:tcPr>
            <w:tcW w:w="23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(3,504)</w:t>
            </w: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101.60</w:t>
            </w:r>
          </w:p>
        </w:tc>
        <w:tc>
          <w:tcPr>
            <w:tcW w:w="2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Forfeited</w:t>
            </w:r>
          </w:p>
        </w:tc>
        <w:tc>
          <w:tcPr>
            <w:tcW w:w="23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(433)</w:t>
            </w: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260.55</w:t>
            </w:r>
          </w:p>
        </w:tc>
        <w:tc>
          <w:tcPr>
            <w:tcW w:w="2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 at December 31, 2024</w:t>
            </w:r>
          </w:p>
        </w:tc>
        <w:tc>
          <w:tcPr>
            <w:tcW w:w="238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23,168</w:t>
            </w: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122.62</w:t>
            </w:r>
          </w:p>
        </w:tc>
        <w:tc>
          <w:tcPr>
            <w:tcW w:w="24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5.06</w:t>
            </w:r>
          </w:p>
        </w:tc>
        <w:tc>
          <w:tcPr>
            <w:tcW w:w="12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0" w:type="dxa"/>
            <w:vAlign w:val="bottom"/>
          </w:tcPr>
          <w:p>
            <w:pPr>
              <w:spacing w:after="0"/>
              <w:rPr>
                <w:sz w:val="1"/>
                <w:szCs w:val="1"/>
                <w:color w:val="auto"/>
              </w:rPr>
            </w:pPr>
          </w:p>
        </w:tc>
      </w:tr>
      <w:tr>
        <w:trPr>
          <w:trHeight w:val="23"/>
        </w:trPr>
        <w:tc>
          <w:tcPr>
            <w:tcW w:w="2820" w:type="dxa"/>
            <w:vAlign w:val="bottom"/>
            <w:tcBorders>
              <w:bottom w:val="single" w:sz="8" w:color="0077C0"/>
            </w:tcBorders>
          </w:tcPr>
          <w:p>
            <w:pPr>
              <w:spacing w:after="0"/>
              <w:rPr>
                <w:sz w:val="2"/>
                <w:szCs w:val="2"/>
                <w:color w:val="auto"/>
              </w:rPr>
            </w:pPr>
          </w:p>
        </w:tc>
        <w:tc>
          <w:tcPr>
            <w:tcW w:w="2380" w:type="dxa"/>
            <w:vAlign w:val="bottom"/>
            <w:tcBorders>
              <w:bottom w:val="single" w:sz="8" w:color="0077C0"/>
            </w:tcBorders>
          </w:tcPr>
          <w:p>
            <w:pPr>
              <w:spacing w:after="0"/>
              <w:rPr>
                <w:sz w:val="2"/>
                <w:szCs w:val="2"/>
                <w:color w:val="auto"/>
              </w:rPr>
            </w:pPr>
          </w:p>
        </w:tc>
        <w:tc>
          <w:tcPr>
            <w:tcW w:w="1020" w:type="dxa"/>
            <w:vAlign w:val="bottom"/>
            <w:tcBorders>
              <w:bottom w:val="single" w:sz="8" w:color="0077C0"/>
            </w:tcBorders>
          </w:tcPr>
          <w:p>
            <w:pPr>
              <w:spacing w:after="0"/>
              <w:rPr>
                <w:sz w:val="2"/>
                <w:szCs w:val="2"/>
                <w:color w:val="auto"/>
              </w:rPr>
            </w:pPr>
          </w:p>
        </w:tc>
        <w:tc>
          <w:tcPr>
            <w:tcW w:w="760" w:type="dxa"/>
            <w:vAlign w:val="bottom"/>
            <w:tcBorders>
              <w:bottom w:val="single" w:sz="8" w:color="0077C0"/>
            </w:tcBorders>
          </w:tcPr>
          <w:p>
            <w:pPr>
              <w:spacing w:after="0"/>
              <w:rPr>
                <w:sz w:val="2"/>
                <w:szCs w:val="2"/>
                <w:color w:val="auto"/>
              </w:rPr>
            </w:pPr>
          </w:p>
        </w:tc>
        <w:tc>
          <w:tcPr>
            <w:tcW w:w="2400" w:type="dxa"/>
            <w:vAlign w:val="bottom"/>
            <w:tcBorders>
              <w:bottom w:val="single" w:sz="8" w:color="0077C0"/>
            </w:tcBorders>
          </w:tcPr>
          <w:p>
            <w:pPr>
              <w:spacing w:after="0"/>
              <w:rPr>
                <w:sz w:val="2"/>
                <w:szCs w:val="2"/>
                <w:color w:val="auto"/>
              </w:rPr>
            </w:pPr>
          </w:p>
        </w:tc>
        <w:tc>
          <w:tcPr>
            <w:tcW w:w="120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2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Exercisable at December 31, 2024</w:t>
            </w:r>
          </w:p>
        </w:tc>
        <w:tc>
          <w:tcPr>
            <w:tcW w:w="2380" w:type="dxa"/>
            <w:vAlign w:val="bottom"/>
            <w:tcBorders>
              <w:bottom w:val="single" w:sz="8" w:color="0077C0"/>
            </w:tcBorders>
          </w:tcPr>
          <w:p>
            <w:pPr>
              <w:jc w:val="right"/>
              <w:ind w:right="548"/>
              <w:spacing w:after="0"/>
              <w:rPr>
                <w:sz w:val="20"/>
                <w:szCs w:val="20"/>
                <w:color w:val="auto"/>
              </w:rPr>
            </w:pPr>
            <w:r>
              <w:rPr>
                <w:rFonts w:ascii="Times New Roman" w:cs="Times New Roman" w:eastAsia="Times New Roman" w:hAnsi="Times New Roman"/>
                <w:sz w:val="14"/>
                <w:szCs w:val="14"/>
                <w:color w:val="auto"/>
              </w:rPr>
              <w:t>18,372</w:t>
            </w:r>
          </w:p>
        </w:tc>
        <w:tc>
          <w:tcPr>
            <w:tcW w:w="102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color w:val="auto"/>
              </w:rPr>
              <w:t>114.15</w:t>
            </w:r>
          </w:p>
        </w:tc>
        <w:tc>
          <w:tcPr>
            <w:tcW w:w="2400" w:type="dxa"/>
            <w:vAlign w:val="bottom"/>
            <w:tcBorders>
              <w:bottom w:val="single" w:sz="8" w:color="0077C0"/>
            </w:tcBorders>
          </w:tcPr>
          <w:p>
            <w:pPr>
              <w:jc w:val="right"/>
              <w:ind w:right="268"/>
              <w:spacing w:after="0"/>
              <w:rPr>
                <w:sz w:val="20"/>
                <w:szCs w:val="20"/>
                <w:color w:val="auto"/>
              </w:rPr>
            </w:pPr>
            <w:r>
              <w:rPr>
                <w:rFonts w:ascii="Times New Roman" w:cs="Times New Roman" w:eastAsia="Times New Roman" w:hAnsi="Times New Roman"/>
                <w:sz w:val="14"/>
                <w:szCs w:val="14"/>
                <w:color w:val="auto"/>
              </w:rPr>
              <w:t>4.15</w:t>
            </w:r>
          </w:p>
        </w:tc>
        <w:tc>
          <w:tcPr>
            <w:tcW w:w="1200" w:type="dxa"/>
            <w:vAlign w:val="bottom"/>
            <w:tcBorders>
              <w:bottom w:val="single" w:sz="8" w:color="0077C0"/>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total intrinsic value (i.e., the difference between the exercise price and the market price) of options exercised during 2024, 2023 and 2022 was $190, $167 and $2,369, respectively. During this period, the company continued its practice of issuing treasury shares upon exercise of these awards.</w:t>
      </w:r>
    </w:p>
    <w:p>
      <w:pPr>
        <w:spacing w:after="0" w:line="2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As of December 31, 2024, there was $320 of total unrecognized before-tax compensation cost related to nonvested share-based compensation arrangements granted under the plan. That cost is expected to be recognized over a weighted-average period of 1.9 years.</w:t>
      </w:r>
    </w:p>
    <w:p>
      <w:pPr>
        <w:spacing w:after="0" w:line="2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At January 1, 2024, the number of LTIP performance shares outstanding was equivalent to 4,419,310 shares. During 2024, 1,525,452 performance shares were granted, 1,966,923 shares vested with cash proceeds distributed to recipients and 118,400 shares were forfeited. At December 31, 2024, there were 3,859,439 performance shares outstanding, of which 2,815,575 are payable in cash and 1,043,864 are payable in shares. The fair value of the liability recorded for these instruments payable in cash was $307 and was measured largely using the Monte Carlo simulation method.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94" w:name="page95"/>
    <w:bookmarkEnd w:id="94"/>
    <w:p>
      <w:pPr>
        <w:ind w:left="20"/>
        <w:spacing w:after="0"/>
        <w:tabs>
          <w:tab w:leader="none" w:pos="9460" w:val="left"/>
        </w:tabs>
        <w:rPr>
          <w:sz w:val="20"/>
          <w:szCs w:val="20"/>
          <w:color w:val="auto"/>
        </w:rPr>
      </w:pPr>
      <w:r>
        <w:rPr>
          <w:rFonts w:ascii="Arial" w:cs="Arial" w:eastAsia="Arial" w:hAnsi="Arial"/>
          <w:sz w:val="14"/>
          <w:szCs w:val="14"/>
          <w:color w:val="0077C0"/>
        </w:rPr>
        <w:t>Notes to the Consolidated Financial Statements</w:t>
      </w:r>
      <w:r>
        <w:rPr>
          <w:sz w:val="20"/>
          <w:szCs w:val="20"/>
          <w:color w:val="auto"/>
        </w:rPr>
        <w:tab/>
      </w:r>
      <w:r>
        <w:rPr>
          <w:rFonts w:ascii="Arial" w:cs="Arial" w:eastAsia="Arial" w:hAnsi="Arial"/>
          <w:sz w:val="14"/>
          <w:szCs w:val="14"/>
          <w:color w:val="0077C0"/>
        </w:rPr>
        <w:t>Financial Table of Contents</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11"/>
          <w:szCs w:val="11"/>
          <w:color w:val="0077C0"/>
        </w:rPr>
        <w:t>Millions of dollars, except per-share amounts</w:t>
      </w:r>
    </w:p>
    <w:p>
      <w:pPr>
        <w:spacing w:after="0" w:line="200" w:lineRule="exact"/>
        <w:rPr>
          <w:sz w:val="20"/>
          <w:szCs w:val="20"/>
          <w:color w:val="auto"/>
        </w:rPr>
      </w:pPr>
    </w:p>
    <w:p>
      <w:pPr>
        <w:spacing w:after="0" w:line="3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January 1, 2024, the number of restricted stock units outstanding was equivalent to 5,060,242 shares. During 2024, 1,813,119 restricted stock units were granted, 1,340,664 units vested with cash proceeds distributed to recipients and 132,899 units were forfeited. At December 31, 2024, there were 5,399,798 restricted stock units outstanding, of which 3,346,557 are payable in cash and 2,053,241 are payable in shares. The fair value of the liability recorded for the vested portion of these instruments payable in cash was $387, valued at the stock price as of December 31, 2024. In addition, outstanding stock appreciation rights that were granted under the LTIP totaled 535,122 equivalent shares as of December 31, 2024. The fair value of the liability recorded for the vested portion of these instruments was $23.</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23</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0077C0"/>
        </w:rPr>
        <w:t>Employee Benefit Plans</w:t>
      </w:r>
    </w:p>
    <w:p>
      <w:pPr>
        <w:spacing w:after="0" w:line="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company has defined benefit pension plans for many employees. The company typically prefunds defined benefit plans as required by local regulations or in certain situations where prefunding provides economic advantages. In the United States, all qualified plans are subject to the Employee Retirement Income Security Act (ERISA) minimum funding standard. The company does not typically fund U.S. nonqualified pension plans that are not subject to funding requirements under laws and regulations because contributions to these pension plans may be less economic and investment returns may be less attractive than the company’s other investment alternatives.</w:t>
      </w:r>
    </w:p>
    <w:p>
      <w:pPr>
        <w:spacing w:after="0" w:line="7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company also sponsors other post-employment benefit (OPEB) plans that provide medical and dental benefits, as well as life insurance for some active and qualifying retired employees. The plans are unfunded, and the company and retirees share the costs. For the company’s main U.S. medical plan, the increase to the pre-Medicare company contribution for retiree medical coverage is limited to no more than 4 percent each year. Certain life insurance benefits are paid by the company.</w:t>
      </w:r>
    </w:p>
    <w:p>
      <w:pPr>
        <w:spacing w:after="0" w:line="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recognizes the overfunded or underfunded status of each of its defined benefit pension and OPEB plans as an asset or liability on the Consolidated Balance Sheet.</w:t>
      </w:r>
    </w:p>
    <w:p>
      <w:pPr>
        <w:sectPr>
          <w:pgSz w:w="11900" w:h="16838" w:orient="portrait"/>
          <w:cols w:equalWidth="0" w:num="1">
            <w:col w:w="11240"/>
          </w:cols>
          <w:pgMar w:left="320" w:top="184" w:right="339" w:bottom="1440" w:gutter="0" w:footer="0" w:header="0"/>
        </w:sectPr>
      </w:pP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funded status of the company’s pension and OPEB plans for 2024 and 2023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Pension Benefits</w:t>
            </w:r>
          </w:p>
        </w:tc>
      </w:tr>
      <w:tr>
        <w:trPr>
          <w:trHeight w:val="23"/>
        </w:trPr>
        <w:tc>
          <w:tcPr>
            <w:tcW w:w="4300" w:type="dxa"/>
            <w:vAlign w:val="bottom"/>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740" w:type="dxa"/>
            <w:vAlign w:val="bottom"/>
            <w:tcBorders>
              <w:bottom w:val="single" w:sz="8" w:color="0077C0"/>
            </w:tcBorders>
          </w:tcPr>
          <w:p>
            <w:pPr>
              <w:spacing w:after="0"/>
              <w:rPr>
                <w:sz w:val="2"/>
                <w:szCs w:val="2"/>
                <w:color w:val="auto"/>
              </w:rPr>
            </w:pPr>
          </w:p>
        </w:tc>
        <w:tc>
          <w:tcPr>
            <w:tcW w:w="420" w:type="dxa"/>
            <w:vAlign w:val="bottom"/>
            <w:tcBorders>
              <w:bottom w:val="single" w:sz="8" w:color="0077C0"/>
            </w:tcBorders>
          </w:tcPr>
          <w:p>
            <w:pPr>
              <w:spacing w:after="0"/>
              <w:rPr>
                <w:sz w:val="2"/>
                <w:szCs w:val="2"/>
                <w:color w:val="auto"/>
              </w:rPr>
            </w:pPr>
          </w:p>
        </w:tc>
        <w:tc>
          <w:tcPr>
            <w:tcW w:w="780" w:type="dxa"/>
            <w:vAlign w:val="bottom"/>
            <w:tcBorders>
              <w:bottom w:val="single" w:sz="8" w:color="0077C0"/>
            </w:tcBorders>
          </w:tcPr>
          <w:p>
            <w:pPr>
              <w:spacing w:after="0"/>
              <w:rPr>
                <w:sz w:val="2"/>
                <w:szCs w:val="2"/>
                <w:color w:val="auto"/>
              </w:rPr>
            </w:pPr>
          </w:p>
        </w:tc>
        <w:tc>
          <w:tcPr>
            <w:tcW w:w="420" w:type="dxa"/>
            <w:vAlign w:val="bottom"/>
            <w:tcBorders>
              <w:bottom w:val="single" w:sz="8" w:color="0077C0"/>
            </w:tcBorders>
          </w:tcPr>
          <w:p>
            <w:pPr>
              <w:spacing w:after="0"/>
              <w:rPr>
                <w:sz w:val="2"/>
                <w:szCs w:val="2"/>
                <w:color w:val="auto"/>
              </w:rPr>
            </w:pPr>
          </w:p>
        </w:tc>
        <w:tc>
          <w:tcPr>
            <w:tcW w:w="740" w:type="dxa"/>
            <w:vAlign w:val="bottom"/>
            <w:tcBorders>
              <w:bottom w:val="single" w:sz="8" w:color="0077C0"/>
            </w:tcBorders>
          </w:tcPr>
          <w:p>
            <w:pPr>
              <w:spacing w:after="0"/>
              <w:rPr>
                <w:sz w:val="2"/>
                <w:szCs w:val="2"/>
                <w:color w:val="auto"/>
              </w:rPr>
            </w:pPr>
          </w:p>
        </w:tc>
        <w:tc>
          <w:tcPr>
            <w:tcW w:w="40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r>
      <w:tr>
        <w:trPr>
          <w:trHeight w:val="190"/>
        </w:trPr>
        <w:tc>
          <w:tcPr>
            <w:tcW w:w="4300" w:type="dxa"/>
            <w:vAlign w:val="bottom"/>
          </w:tcPr>
          <w:p>
            <w:pPr>
              <w:spacing w:after="0"/>
              <w:rPr>
                <w:sz w:val="16"/>
                <w:szCs w:val="16"/>
                <w:color w:val="auto"/>
              </w:rPr>
            </w:pPr>
          </w:p>
        </w:tc>
        <w:tc>
          <w:tcPr>
            <w:tcW w:w="320" w:type="dxa"/>
            <w:vAlign w:val="bottom"/>
            <w:tcBorders>
              <w:bottom w:val="single" w:sz="8" w:color="0077C0"/>
            </w:tcBorders>
          </w:tcPr>
          <w:p>
            <w:pPr>
              <w:spacing w:after="0"/>
              <w:rPr>
                <w:sz w:val="16"/>
                <w:szCs w:val="16"/>
                <w:color w:val="auto"/>
              </w:rPr>
            </w:pPr>
          </w:p>
        </w:tc>
        <w:tc>
          <w:tcPr>
            <w:tcW w:w="740" w:type="dxa"/>
            <w:vAlign w:val="bottom"/>
            <w:tcBorders>
              <w:bottom w:val="single" w:sz="8" w:color="0077C0"/>
            </w:tcBorders>
          </w:tcPr>
          <w:p>
            <w:pPr>
              <w:spacing w:after="0"/>
              <w:rPr>
                <w:sz w:val="16"/>
                <w:szCs w:val="16"/>
                <w:color w:val="auto"/>
              </w:rPr>
            </w:pPr>
          </w:p>
        </w:tc>
        <w:tc>
          <w:tcPr>
            <w:tcW w:w="420" w:type="dxa"/>
            <w:vAlign w:val="bottom"/>
            <w:tcBorders>
              <w:bottom w:val="single" w:sz="8" w:color="0077C0"/>
            </w:tcBorders>
          </w:tcPr>
          <w:p>
            <w:pPr>
              <w:spacing w:after="0"/>
              <w:rPr>
                <w:sz w:val="16"/>
                <w:szCs w:val="16"/>
                <w:color w:val="auto"/>
              </w:rPr>
            </w:pPr>
          </w:p>
        </w:tc>
        <w:tc>
          <w:tcPr>
            <w:tcW w:w="78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0077C0"/>
            </w:tcBorders>
          </w:tcPr>
          <w:p>
            <w:pPr>
              <w:spacing w:after="0"/>
              <w:rPr>
                <w:sz w:val="16"/>
                <w:szCs w:val="16"/>
                <w:color w:val="auto"/>
              </w:rPr>
            </w:pPr>
          </w:p>
        </w:tc>
        <w:tc>
          <w:tcPr>
            <w:tcW w:w="740" w:type="dxa"/>
            <w:vAlign w:val="bottom"/>
            <w:tcBorders>
              <w:bottom w:val="single" w:sz="8" w:color="0077C0"/>
            </w:tcBorders>
          </w:tcPr>
          <w:p>
            <w:pPr>
              <w:spacing w:after="0"/>
              <w:rPr>
                <w:sz w:val="16"/>
                <w:szCs w:val="16"/>
                <w:color w:val="auto"/>
              </w:rPr>
            </w:pPr>
          </w:p>
        </w:tc>
        <w:tc>
          <w:tcPr>
            <w:tcW w:w="400" w:type="dxa"/>
            <w:vAlign w:val="bottom"/>
            <w:tcBorders>
              <w:bottom w:val="single" w:sz="8" w:color="0077C0"/>
            </w:tcBorders>
          </w:tcPr>
          <w:p>
            <w:pPr>
              <w:spacing w:after="0"/>
              <w:rPr>
                <w:sz w:val="16"/>
                <w:szCs w:val="16"/>
                <w:color w:val="auto"/>
              </w:rPr>
            </w:pPr>
          </w:p>
        </w:tc>
        <w:tc>
          <w:tcPr>
            <w:tcW w:w="6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196"/>
        </w:trPr>
        <w:tc>
          <w:tcPr>
            <w:tcW w:w="4300" w:type="dxa"/>
            <w:vAlign w:val="bottom"/>
            <w:tcBorders>
              <w:bottom w:val="single" w:sz="8" w:color="0077C0"/>
            </w:tcBorders>
          </w:tcPr>
          <w:p>
            <w:pPr>
              <w:spacing w:after="0"/>
              <w:rPr>
                <w:sz w:val="17"/>
                <w:szCs w:val="17"/>
                <w:color w:val="auto"/>
              </w:rPr>
            </w:pPr>
          </w:p>
        </w:tc>
        <w:tc>
          <w:tcPr>
            <w:tcW w:w="320" w:type="dxa"/>
            <w:vAlign w:val="bottom"/>
            <w:tcBorders>
              <w:bottom w:val="single" w:sz="8" w:color="0077C0"/>
            </w:tcBorders>
          </w:tcPr>
          <w:p>
            <w:pPr>
              <w:spacing w:after="0"/>
              <w:rPr>
                <w:sz w:val="17"/>
                <w:szCs w:val="17"/>
                <w:color w:val="auto"/>
              </w:rPr>
            </w:pPr>
          </w:p>
        </w:tc>
        <w:tc>
          <w:tcPr>
            <w:tcW w:w="7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w:t>
            </w:r>
          </w:p>
        </w:tc>
        <w:tc>
          <w:tcPr>
            <w:tcW w:w="420" w:type="dxa"/>
            <w:vAlign w:val="bottom"/>
            <w:tcBorders>
              <w:bottom w:val="single" w:sz="8" w:color="0077C0"/>
            </w:tcBorders>
          </w:tcPr>
          <w:p>
            <w:pPr>
              <w:spacing w:after="0"/>
              <w:rPr>
                <w:sz w:val="17"/>
                <w:szCs w:val="17"/>
                <w:color w:val="auto"/>
              </w:rPr>
            </w:pPr>
          </w:p>
        </w:tc>
        <w:tc>
          <w:tcPr>
            <w:tcW w:w="78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Int’l.</w:t>
            </w:r>
          </w:p>
        </w:tc>
        <w:tc>
          <w:tcPr>
            <w:tcW w:w="420" w:type="dxa"/>
            <w:vAlign w:val="bottom"/>
            <w:tcBorders>
              <w:bottom w:val="single" w:sz="8" w:color="0077C0"/>
            </w:tcBorders>
          </w:tcPr>
          <w:p>
            <w:pPr>
              <w:spacing w:after="0"/>
              <w:rPr>
                <w:sz w:val="17"/>
                <w:szCs w:val="17"/>
                <w:color w:val="auto"/>
              </w:rPr>
            </w:pPr>
          </w:p>
        </w:tc>
        <w:tc>
          <w:tcPr>
            <w:tcW w:w="74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U.S.</w:t>
            </w:r>
          </w:p>
        </w:tc>
        <w:tc>
          <w:tcPr>
            <w:tcW w:w="400" w:type="dxa"/>
            <w:vAlign w:val="bottom"/>
            <w:tcBorders>
              <w:bottom w:val="single" w:sz="8" w:color="0077C0"/>
            </w:tcBorders>
          </w:tcPr>
          <w:p>
            <w:pPr>
              <w:spacing w:after="0"/>
              <w:rPr>
                <w:sz w:val="17"/>
                <w:szCs w:val="17"/>
                <w:color w:val="auto"/>
              </w:rPr>
            </w:pPr>
          </w:p>
        </w:tc>
        <w:tc>
          <w:tcPr>
            <w:tcW w:w="6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Int’l.</w:t>
            </w:r>
          </w:p>
        </w:tc>
      </w:tr>
      <w:tr>
        <w:trPr>
          <w:trHeight w:val="188"/>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Benefit Obligation</w:t>
            </w: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Borders>
              <w:right w:val="single" w:sz="8" w:color="0077C0"/>
            </w:tcBorders>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3"/>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Benefit obligation at January 1</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10,392</w:t>
            </w:r>
          </w:p>
        </w:tc>
        <w:tc>
          <w:tcPr>
            <w:tcW w:w="4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3,605</w:t>
            </w:r>
          </w:p>
        </w:tc>
        <w:tc>
          <w:tcPr>
            <w:tcW w:w="4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9,713</w:t>
            </w:r>
          </w:p>
        </w:tc>
        <w:tc>
          <w:tcPr>
            <w:tcW w:w="4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3,354</w:t>
            </w:r>
          </w:p>
        </w:tc>
      </w:tr>
      <w:tr>
        <w:trPr>
          <w:trHeight w:val="203"/>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Service cost</w:t>
            </w:r>
          </w:p>
        </w:tc>
        <w:tc>
          <w:tcPr>
            <w:tcW w:w="32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357</w:t>
            </w:r>
          </w:p>
        </w:tc>
        <w:tc>
          <w:tcPr>
            <w:tcW w:w="420" w:type="dxa"/>
            <w:vAlign w:val="bottom"/>
          </w:tcPr>
          <w:p>
            <w:pPr>
              <w:spacing w:after="0"/>
              <w:rPr>
                <w:sz w:val="17"/>
                <w:szCs w:val="17"/>
                <w:color w:val="auto"/>
              </w:rPr>
            </w:pPr>
          </w:p>
        </w:tc>
        <w:tc>
          <w:tcPr>
            <w:tcW w:w="78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54</w:t>
            </w:r>
          </w:p>
        </w:tc>
        <w:tc>
          <w:tcPr>
            <w:tcW w:w="42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342</w:t>
            </w:r>
          </w:p>
        </w:tc>
        <w:tc>
          <w:tcPr>
            <w:tcW w:w="4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203"/>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cost</w:t>
            </w:r>
          </w:p>
        </w:tc>
        <w:tc>
          <w:tcPr>
            <w:tcW w:w="32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465</w:t>
            </w:r>
          </w:p>
        </w:tc>
        <w:tc>
          <w:tcPr>
            <w:tcW w:w="420" w:type="dxa"/>
            <w:vAlign w:val="bottom"/>
          </w:tcPr>
          <w:p>
            <w:pPr>
              <w:spacing w:after="0"/>
              <w:rPr>
                <w:sz w:val="17"/>
                <w:szCs w:val="17"/>
                <w:color w:val="auto"/>
              </w:rPr>
            </w:pPr>
          </w:p>
        </w:tc>
        <w:tc>
          <w:tcPr>
            <w:tcW w:w="78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191</w:t>
            </w:r>
          </w:p>
        </w:tc>
        <w:tc>
          <w:tcPr>
            <w:tcW w:w="42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448</w:t>
            </w:r>
          </w:p>
        </w:tc>
        <w:tc>
          <w:tcPr>
            <w:tcW w:w="4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r>
      <w:tr>
        <w:trPr>
          <w:trHeight w:val="203"/>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Plan participants’ contributions</w:t>
            </w:r>
          </w:p>
        </w:tc>
        <w:tc>
          <w:tcPr>
            <w:tcW w:w="32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7"/>
                <w:szCs w:val="17"/>
                <w:color w:val="auto"/>
              </w:rPr>
            </w:pPr>
          </w:p>
        </w:tc>
        <w:tc>
          <w:tcPr>
            <w:tcW w:w="78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w:t>
            </w:r>
          </w:p>
        </w:tc>
        <w:tc>
          <w:tcPr>
            <w:tcW w:w="42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03"/>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Plan amendments</w:t>
            </w:r>
          </w:p>
        </w:tc>
        <w:tc>
          <w:tcPr>
            <w:tcW w:w="32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7"/>
                <w:szCs w:val="17"/>
                <w:color w:val="auto"/>
              </w:rPr>
            </w:pPr>
          </w:p>
        </w:tc>
        <w:tc>
          <w:tcPr>
            <w:tcW w:w="78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18</w:t>
            </w:r>
          </w:p>
        </w:tc>
        <w:tc>
          <w:tcPr>
            <w:tcW w:w="42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03"/>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Actuarial (gain) loss</w:t>
            </w:r>
          </w:p>
        </w:tc>
        <w:tc>
          <w:tcPr>
            <w:tcW w:w="32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(382)</w:t>
            </w:r>
          </w:p>
        </w:tc>
        <w:tc>
          <w:tcPr>
            <w:tcW w:w="420" w:type="dxa"/>
            <w:vAlign w:val="bottom"/>
          </w:tcPr>
          <w:p>
            <w:pPr>
              <w:spacing w:after="0"/>
              <w:rPr>
                <w:sz w:val="17"/>
                <w:szCs w:val="17"/>
                <w:color w:val="auto"/>
              </w:rPr>
            </w:pPr>
          </w:p>
        </w:tc>
        <w:tc>
          <w:tcPr>
            <w:tcW w:w="780" w:type="dxa"/>
            <w:vAlign w:val="bottom"/>
            <w:tcBorders>
              <w:right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(274)</w:t>
            </w:r>
          </w:p>
        </w:tc>
        <w:tc>
          <w:tcPr>
            <w:tcW w:w="42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603</w:t>
            </w:r>
          </w:p>
        </w:tc>
        <w:tc>
          <w:tcPr>
            <w:tcW w:w="4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03"/>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 currency exchange rate changes</w:t>
            </w:r>
          </w:p>
        </w:tc>
        <w:tc>
          <w:tcPr>
            <w:tcW w:w="32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7"/>
                <w:szCs w:val="17"/>
                <w:color w:val="auto"/>
              </w:rPr>
            </w:pPr>
          </w:p>
        </w:tc>
        <w:tc>
          <w:tcPr>
            <w:tcW w:w="780" w:type="dxa"/>
            <w:vAlign w:val="bottom"/>
            <w:tcBorders>
              <w:right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(88)</w:t>
            </w:r>
          </w:p>
        </w:tc>
        <w:tc>
          <w:tcPr>
            <w:tcW w:w="42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r>
      <w:tr>
        <w:trPr>
          <w:trHeight w:val="203"/>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Benefits paid</w:t>
            </w:r>
          </w:p>
        </w:tc>
        <w:tc>
          <w:tcPr>
            <w:tcW w:w="32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(692)</w:t>
            </w:r>
          </w:p>
        </w:tc>
        <w:tc>
          <w:tcPr>
            <w:tcW w:w="420" w:type="dxa"/>
            <w:vAlign w:val="bottom"/>
          </w:tcPr>
          <w:p>
            <w:pPr>
              <w:spacing w:after="0"/>
              <w:rPr>
                <w:sz w:val="17"/>
                <w:szCs w:val="17"/>
                <w:color w:val="auto"/>
              </w:rPr>
            </w:pPr>
          </w:p>
        </w:tc>
        <w:tc>
          <w:tcPr>
            <w:tcW w:w="780" w:type="dxa"/>
            <w:vAlign w:val="bottom"/>
            <w:tcBorders>
              <w:right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(217)</w:t>
            </w:r>
          </w:p>
        </w:tc>
        <w:tc>
          <w:tcPr>
            <w:tcW w:w="42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(714)</w:t>
            </w:r>
          </w:p>
        </w:tc>
        <w:tc>
          <w:tcPr>
            <w:tcW w:w="4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w:t>
            </w:r>
          </w:p>
        </w:tc>
      </w:tr>
      <w:tr>
        <w:trPr>
          <w:trHeight w:val="203"/>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Actual expenses/taxes</w:t>
            </w:r>
          </w:p>
        </w:tc>
        <w:tc>
          <w:tcPr>
            <w:tcW w:w="32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7"/>
                <w:szCs w:val="17"/>
                <w:color w:val="auto"/>
              </w:rPr>
            </w:pPr>
          </w:p>
        </w:tc>
        <w:tc>
          <w:tcPr>
            <w:tcW w:w="780" w:type="dxa"/>
            <w:vAlign w:val="bottom"/>
            <w:tcBorders>
              <w:right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w:t>
            </w:r>
          </w:p>
        </w:tc>
        <w:tc>
          <w:tcPr>
            <w:tcW w:w="42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Divestitures/Acquisitions</w:t>
            </w:r>
          </w:p>
        </w:tc>
        <w:tc>
          <w:tcPr>
            <w:tcW w:w="32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7"/>
                <w:szCs w:val="17"/>
                <w:color w:val="auto"/>
              </w:rPr>
            </w:pPr>
          </w:p>
        </w:tc>
        <w:tc>
          <w:tcPr>
            <w:tcW w:w="78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03"/>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Curtailment</w:t>
            </w:r>
          </w:p>
        </w:tc>
        <w:tc>
          <w:tcPr>
            <w:tcW w:w="32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7"/>
                <w:szCs w:val="17"/>
                <w:color w:val="auto"/>
              </w:rPr>
            </w:pPr>
          </w:p>
        </w:tc>
        <w:tc>
          <w:tcPr>
            <w:tcW w:w="78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3"/>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termination costs</w:t>
            </w:r>
          </w:p>
        </w:tc>
        <w:tc>
          <w:tcPr>
            <w:tcW w:w="32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7"/>
                <w:szCs w:val="17"/>
                <w:color w:val="auto"/>
              </w:rPr>
            </w:pPr>
          </w:p>
        </w:tc>
        <w:tc>
          <w:tcPr>
            <w:tcW w:w="78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3"/>
        </w:trPr>
        <w:tc>
          <w:tcPr>
            <w:tcW w:w="430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740" w:type="dxa"/>
            <w:vAlign w:val="bottom"/>
            <w:tcBorders>
              <w:bottom w:val="single" w:sz="8" w:color="0077C0"/>
            </w:tcBorders>
          </w:tcPr>
          <w:p>
            <w:pPr>
              <w:spacing w:after="0"/>
              <w:rPr>
                <w:sz w:val="2"/>
                <w:szCs w:val="2"/>
                <w:color w:val="auto"/>
              </w:rPr>
            </w:pPr>
          </w:p>
        </w:tc>
        <w:tc>
          <w:tcPr>
            <w:tcW w:w="420" w:type="dxa"/>
            <w:vAlign w:val="bottom"/>
            <w:tcBorders>
              <w:bottom w:val="single" w:sz="8" w:color="0077C0"/>
            </w:tcBorders>
          </w:tcPr>
          <w:p>
            <w:pPr>
              <w:spacing w:after="0"/>
              <w:rPr>
                <w:sz w:val="2"/>
                <w:szCs w:val="2"/>
                <w:color w:val="auto"/>
              </w:rPr>
            </w:pPr>
          </w:p>
        </w:tc>
        <w:tc>
          <w:tcPr>
            <w:tcW w:w="780" w:type="dxa"/>
            <w:vAlign w:val="bottom"/>
            <w:tcBorders>
              <w:bottom w:val="single" w:sz="8" w:color="0077C0"/>
              <w:right w:val="single" w:sz="8" w:color="0077C0"/>
            </w:tcBorders>
          </w:tcPr>
          <w:p>
            <w:pPr>
              <w:spacing w:after="0"/>
              <w:rPr>
                <w:sz w:val="2"/>
                <w:szCs w:val="2"/>
                <w:color w:val="auto"/>
              </w:rPr>
            </w:pPr>
          </w:p>
        </w:tc>
        <w:tc>
          <w:tcPr>
            <w:tcW w:w="420" w:type="dxa"/>
            <w:vAlign w:val="bottom"/>
            <w:tcBorders>
              <w:bottom w:val="single" w:sz="8" w:color="0077C0"/>
            </w:tcBorders>
          </w:tcPr>
          <w:p>
            <w:pPr>
              <w:spacing w:after="0"/>
              <w:rPr>
                <w:sz w:val="2"/>
                <w:szCs w:val="2"/>
                <w:color w:val="auto"/>
              </w:rPr>
            </w:pPr>
          </w:p>
        </w:tc>
        <w:tc>
          <w:tcPr>
            <w:tcW w:w="740" w:type="dxa"/>
            <w:vAlign w:val="bottom"/>
            <w:tcBorders>
              <w:bottom w:val="single" w:sz="8" w:color="0077C0"/>
            </w:tcBorders>
          </w:tcPr>
          <w:p>
            <w:pPr>
              <w:spacing w:after="0"/>
              <w:rPr>
                <w:sz w:val="2"/>
                <w:szCs w:val="2"/>
                <w:color w:val="auto"/>
              </w:rPr>
            </w:pPr>
          </w:p>
        </w:tc>
        <w:tc>
          <w:tcPr>
            <w:tcW w:w="40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r>
      <w:tr>
        <w:trPr>
          <w:trHeight w:val="190"/>
        </w:trPr>
        <w:tc>
          <w:tcPr>
            <w:tcW w:w="4300" w:type="dxa"/>
            <w:vAlign w:val="bottom"/>
            <w:tcBorders>
              <w:bottom w:val="single" w:sz="8" w:color="0077C0"/>
            </w:tcBorders>
          </w:tcPr>
          <w:p>
            <w:pPr>
              <w:ind w:left="140"/>
              <w:spacing w:after="0"/>
              <w:rPr>
                <w:sz w:val="20"/>
                <w:szCs w:val="20"/>
                <w:color w:val="auto"/>
              </w:rPr>
            </w:pPr>
            <w:r>
              <w:rPr>
                <w:rFonts w:ascii="Times New Roman" w:cs="Times New Roman" w:eastAsia="Times New Roman" w:hAnsi="Times New Roman"/>
                <w:sz w:val="14"/>
                <w:szCs w:val="14"/>
                <w:color w:val="auto"/>
              </w:rPr>
              <w:t>Benefit obligation at December 31</w:t>
            </w:r>
          </w:p>
        </w:tc>
        <w:tc>
          <w:tcPr>
            <w:tcW w:w="320" w:type="dxa"/>
            <w:vAlign w:val="bottom"/>
            <w:tcBorders>
              <w:bottom w:val="single" w:sz="8" w:color="0077C0"/>
            </w:tcBorders>
          </w:tcPr>
          <w:p>
            <w:pPr>
              <w:spacing w:after="0"/>
              <w:rPr>
                <w:sz w:val="16"/>
                <w:szCs w:val="16"/>
                <w:color w:val="auto"/>
              </w:rPr>
            </w:pPr>
          </w:p>
        </w:tc>
        <w:tc>
          <w:tcPr>
            <w:tcW w:w="74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10,140</w:t>
            </w:r>
          </w:p>
        </w:tc>
        <w:tc>
          <w:tcPr>
            <w:tcW w:w="420" w:type="dxa"/>
            <w:vAlign w:val="bottom"/>
            <w:tcBorders>
              <w:bottom w:val="single" w:sz="8" w:color="0077C0"/>
            </w:tcBorders>
          </w:tcPr>
          <w:p>
            <w:pPr>
              <w:spacing w:after="0"/>
              <w:rPr>
                <w:sz w:val="16"/>
                <w:szCs w:val="16"/>
                <w:color w:val="auto"/>
              </w:rPr>
            </w:pPr>
          </w:p>
        </w:tc>
        <w:tc>
          <w:tcPr>
            <w:tcW w:w="780" w:type="dxa"/>
            <w:vAlign w:val="bottom"/>
            <w:tcBorders>
              <w:bottom w:val="single" w:sz="8" w:color="0077C0"/>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3,289</w:t>
            </w:r>
          </w:p>
        </w:tc>
        <w:tc>
          <w:tcPr>
            <w:tcW w:w="420" w:type="dxa"/>
            <w:vAlign w:val="bottom"/>
            <w:tcBorders>
              <w:bottom w:val="single" w:sz="8" w:color="0077C0"/>
            </w:tcBorders>
          </w:tcPr>
          <w:p>
            <w:pPr>
              <w:spacing w:after="0"/>
              <w:rPr>
                <w:sz w:val="16"/>
                <w:szCs w:val="16"/>
                <w:color w:val="auto"/>
              </w:rPr>
            </w:pPr>
          </w:p>
        </w:tc>
        <w:tc>
          <w:tcPr>
            <w:tcW w:w="740" w:type="dxa"/>
            <w:vAlign w:val="bottom"/>
            <w:tcBorders>
              <w:bottom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color w:val="auto"/>
              </w:rPr>
              <w:t>10,392</w:t>
            </w:r>
          </w:p>
        </w:tc>
        <w:tc>
          <w:tcPr>
            <w:tcW w:w="400" w:type="dxa"/>
            <w:vAlign w:val="bottom"/>
            <w:tcBorders>
              <w:bottom w:val="single" w:sz="8" w:color="0077C0"/>
            </w:tcBorders>
          </w:tcPr>
          <w:p>
            <w:pPr>
              <w:spacing w:after="0"/>
              <w:rPr>
                <w:sz w:val="16"/>
                <w:szCs w:val="16"/>
                <w:color w:val="auto"/>
              </w:rPr>
            </w:pPr>
          </w:p>
        </w:tc>
        <w:tc>
          <w:tcPr>
            <w:tcW w:w="6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3,605</w:t>
            </w:r>
          </w:p>
        </w:tc>
      </w:tr>
      <w:tr>
        <w:trPr>
          <w:trHeight w:val="188"/>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Plan Assets</w:t>
            </w: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Borders>
              <w:right w:val="single" w:sz="8" w:color="0077C0"/>
            </w:tcBorders>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3"/>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Fair value of plan assets at January 1</w:t>
            </w:r>
          </w:p>
        </w:tc>
        <w:tc>
          <w:tcPr>
            <w:tcW w:w="32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9,137</w:t>
            </w:r>
          </w:p>
        </w:tc>
        <w:tc>
          <w:tcPr>
            <w:tcW w:w="420" w:type="dxa"/>
            <w:vAlign w:val="bottom"/>
          </w:tcPr>
          <w:p>
            <w:pPr>
              <w:spacing w:after="0"/>
              <w:rPr>
                <w:sz w:val="16"/>
                <w:szCs w:val="16"/>
                <w:color w:val="auto"/>
              </w:rPr>
            </w:pPr>
          </w:p>
        </w:tc>
        <w:tc>
          <w:tcPr>
            <w:tcW w:w="78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3,398</w:t>
            </w:r>
          </w:p>
        </w:tc>
        <w:tc>
          <w:tcPr>
            <w:tcW w:w="42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7,942</w:t>
            </w:r>
          </w:p>
        </w:tc>
        <w:tc>
          <w:tcPr>
            <w:tcW w:w="4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3,286</w:t>
            </w:r>
          </w:p>
        </w:tc>
      </w:tr>
      <w:tr>
        <w:trPr>
          <w:trHeight w:val="203"/>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Actual return on plan assets</w:t>
            </w:r>
          </w:p>
        </w:tc>
        <w:tc>
          <w:tcPr>
            <w:tcW w:w="32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338</w:t>
            </w:r>
          </w:p>
        </w:tc>
        <w:tc>
          <w:tcPr>
            <w:tcW w:w="420" w:type="dxa"/>
            <w:vAlign w:val="bottom"/>
          </w:tcPr>
          <w:p>
            <w:pPr>
              <w:spacing w:after="0"/>
              <w:rPr>
                <w:sz w:val="17"/>
                <w:szCs w:val="17"/>
                <w:color w:val="auto"/>
              </w:rPr>
            </w:pPr>
          </w:p>
        </w:tc>
        <w:tc>
          <w:tcPr>
            <w:tcW w:w="780" w:type="dxa"/>
            <w:vAlign w:val="bottom"/>
            <w:tcBorders>
              <w:right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(133)</w:t>
            </w:r>
          </w:p>
        </w:tc>
        <w:tc>
          <w:tcPr>
            <w:tcW w:w="42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889</w:t>
            </w:r>
          </w:p>
        </w:tc>
        <w:tc>
          <w:tcPr>
            <w:tcW w:w="4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03"/>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 currency exchange rate changes</w:t>
            </w:r>
          </w:p>
        </w:tc>
        <w:tc>
          <w:tcPr>
            <w:tcW w:w="32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7"/>
                <w:szCs w:val="17"/>
                <w:color w:val="auto"/>
              </w:rPr>
            </w:pPr>
          </w:p>
        </w:tc>
        <w:tc>
          <w:tcPr>
            <w:tcW w:w="780" w:type="dxa"/>
            <w:vAlign w:val="bottom"/>
            <w:tcBorders>
              <w:right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(77)</w:t>
            </w:r>
          </w:p>
        </w:tc>
        <w:tc>
          <w:tcPr>
            <w:tcW w:w="42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r>
      <w:tr>
        <w:trPr>
          <w:trHeight w:val="202"/>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Employer contributions</w:t>
            </w:r>
          </w:p>
        </w:tc>
        <w:tc>
          <w:tcPr>
            <w:tcW w:w="32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754</w:t>
            </w:r>
          </w:p>
        </w:tc>
        <w:tc>
          <w:tcPr>
            <w:tcW w:w="420" w:type="dxa"/>
            <w:vAlign w:val="bottom"/>
          </w:tcPr>
          <w:p>
            <w:pPr>
              <w:spacing w:after="0"/>
              <w:rPr>
                <w:sz w:val="17"/>
                <w:szCs w:val="17"/>
                <w:color w:val="auto"/>
              </w:rPr>
            </w:pPr>
          </w:p>
        </w:tc>
        <w:tc>
          <w:tcPr>
            <w:tcW w:w="78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90</w:t>
            </w:r>
          </w:p>
        </w:tc>
        <w:tc>
          <w:tcPr>
            <w:tcW w:w="42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1,020</w:t>
            </w:r>
          </w:p>
        </w:tc>
        <w:tc>
          <w:tcPr>
            <w:tcW w:w="4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03"/>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Plan participants’ contributions</w:t>
            </w:r>
          </w:p>
        </w:tc>
        <w:tc>
          <w:tcPr>
            <w:tcW w:w="32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7"/>
                <w:szCs w:val="17"/>
                <w:color w:val="auto"/>
              </w:rPr>
            </w:pPr>
          </w:p>
        </w:tc>
        <w:tc>
          <w:tcPr>
            <w:tcW w:w="78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w:t>
            </w:r>
          </w:p>
        </w:tc>
        <w:tc>
          <w:tcPr>
            <w:tcW w:w="42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03"/>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Benefits paid</w:t>
            </w:r>
          </w:p>
        </w:tc>
        <w:tc>
          <w:tcPr>
            <w:tcW w:w="32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(692)</w:t>
            </w:r>
          </w:p>
        </w:tc>
        <w:tc>
          <w:tcPr>
            <w:tcW w:w="420" w:type="dxa"/>
            <w:vAlign w:val="bottom"/>
          </w:tcPr>
          <w:p>
            <w:pPr>
              <w:spacing w:after="0"/>
              <w:rPr>
                <w:sz w:val="17"/>
                <w:szCs w:val="17"/>
                <w:color w:val="auto"/>
              </w:rPr>
            </w:pPr>
          </w:p>
        </w:tc>
        <w:tc>
          <w:tcPr>
            <w:tcW w:w="780" w:type="dxa"/>
            <w:vAlign w:val="bottom"/>
            <w:tcBorders>
              <w:right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(217)</w:t>
            </w:r>
          </w:p>
        </w:tc>
        <w:tc>
          <w:tcPr>
            <w:tcW w:w="42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(714)</w:t>
            </w:r>
          </w:p>
        </w:tc>
        <w:tc>
          <w:tcPr>
            <w:tcW w:w="4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w:t>
            </w:r>
          </w:p>
        </w:tc>
      </w:tr>
      <w:tr>
        <w:trPr>
          <w:trHeight w:val="203"/>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Actual expenses</w:t>
            </w:r>
          </w:p>
        </w:tc>
        <w:tc>
          <w:tcPr>
            <w:tcW w:w="32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7"/>
                <w:szCs w:val="17"/>
                <w:color w:val="auto"/>
              </w:rPr>
            </w:pPr>
          </w:p>
        </w:tc>
        <w:tc>
          <w:tcPr>
            <w:tcW w:w="780" w:type="dxa"/>
            <w:vAlign w:val="bottom"/>
            <w:tcBorders>
              <w:right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w:t>
            </w:r>
          </w:p>
        </w:tc>
        <w:tc>
          <w:tcPr>
            <w:tcW w:w="42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430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740" w:type="dxa"/>
            <w:vAlign w:val="bottom"/>
            <w:tcBorders>
              <w:bottom w:val="single" w:sz="8" w:color="0077C0"/>
            </w:tcBorders>
          </w:tcPr>
          <w:p>
            <w:pPr>
              <w:spacing w:after="0"/>
              <w:rPr>
                <w:sz w:val="2"/>
                <w:szCs w:val="2"/>
                <w:color w:val="auto"/>
              </w:rPr>
            </w:pPr>
          </w:p>
        </w:tc>
        <w:tc>
          <w:tcPr>
            <w:tcW w:w="420" w:type="dxa"/>
            <w:vAlign w:val="bottom"/>
            <w:tcBorders>
              <w:bottom w:val="single" w:sz="8" w:color="0077C0"/>
            </w:tcBorders>
          </w:tcPr>
          <w:p>
            <w:pPr>
              <w:spacing w:after="0"/>
              <w:rPr>
                <w:sz w:val="2"/>
                <w:szCs w:val="2"/>
                <w:color w:val="auto"/>
              </w:rPr>
            </w:pPr>
          </w:p>
        </w:tc>
        <w:tc>
          <w:tcPr>
            <w:tcW w:w="780" w:type="dxa"/>
            <w:vAlign w:val="bottom"/>
            <w:tcBorders>
              <w:bottom w:val="single" w:sz="8" w:color="0077C0"/>
              <w:right w:val="single" w:sz="8" w:color="0077C0"/>
            </w:tcBorders>
          </w:tcPr>
          <w:p>
            <w:pPr>
              <w:spacing w:after="0"/>
              <w:rPr>
                <w:sz w:val="2"/>
                <w:szCs w:val="2"/>
                <w:color w:val="auto"/>
              </w:rPr>
            </w:pPr>
          </w:p>
        </w:tc>
        <w:tc>
          <w:tcPr>
            <w:tcW w:w="420" w:type="dxa"/>
            <w:vAlign w:val="bottom"/>
            <w:tcBorders>
              <w:bottom w:val="single" w:sz="8" w:color="0077C0"/>
            </w:tcBorders>
          </w:tcPr>
          <w:p>
            <w:pPr>
              <w:spacing w:after="0"/>
              <w:rPr>
                <w:sz w:val="2"/>
                <w:szCs w:val="2"/>
                <w:color w:val="auto"/>
              </w:rPr>
            </w:pPr>
          </w:p>
        </w:tc>
        <w:tc>
          <w:tcPr>
            <w:tcW w:w="740" w:type="dxa"/>
            <w:vAlign w:val="bottom"/>
            <w:tcBorders>
              <w:bottom w:val="single" w:sz="8" w:color="0077C0"/>
            </w:tcBorders>
          </w:tcPr>
          <w:p>
            <w:pPr>
              <w:spacing w:after="0"/>
              <w:rPr>
                <w:sz w:val="2"/>
                <w:szCs w:val="2"/>
                <w:color w:val="auto"/>
              </w:rPr>
            </w:pPr>
          </w:p>
        </w:tc>
        <w:tc>
          <w:tcPr>
            <w:tcW w:w="40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r>
      <w:tr>
        <w:trPr>
          <w:trHeight w:val="190"/>
        </w:trPr>
        <w:tc>
          <w:tcPr>
            <w:tcW w:w="4300" w:type="dxa"/>
            <w:vAlign w:val="bottom"/>
            <w:tcBorders>
              <w:bottom w:val="single" w:sz="8" w:color="0077C0"/>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 of plan assets at December 31</w:t>
            </w:r>
          </w:p>
        </w:tc>
        <w:tc>
          <w:tcPr>
            <w:tcW w:w="320" w:type="dxa"/>
            <w:vAlign w:val="bottom"/>
            <w:tcBorders>
              <w:bottom w:val="single" w:sz="8" w:color="0077C0"/>
            </w:tcBorders>
          </w:tcPr>
          <w:p>
            <w:pPr>
              <w:spacing w:after="0"/>
              <w:rPr>
                <w:sz w:val="16"/>
                <w:szCs w:val="16"/>
                <w:color w:val="auto"/>
              </w:rPr>
            </w:pPr>
          </w:p>
        </w:tc>
        <w:tc>
          <w:tcPr>
            <w:tcW w:w="74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9,537</w:t>
            </w:r>
          </w:p>
        </w:tc>
        <w:tc>
          <w:tcPr>
            <w:tcW w:w="420" w:type="dxa"/>
            <w:vAlign w:val="bottom"/>
            <w:tcBorders>
              <w:bottom w:val="single" w:sz="8" w:color="0077C0"/>
            </w:tcBorders>
          </w:tcPr>
          <w:p>
            <w:pPr>
              <w:spacing w:after="0"/>
              <w:rPr>
                <w:sz w:val="16"/>
                <w:szCs w:val="16"/>
                <w:color w:val="auto"/>
              </w:rPr>
            </w:pPr>
          </w:p>
        </w:tc>
        <w:tc>
          <w:tcPr>
            <w:tcW w:w="780" w:type="dxa"/>
            <w:vAlign w:val="bottom"/>
            <w:tcBorders>
              <w:bottom w:val="single" w:sz="8" w:color="0077C0"/>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3,061</w:t>
            </w:r>
          </w:p>
        </w:tc>
        <w:tc>
          <w:tcPr>
            <w:tcW w:w="420" w:type="dxa"/>
            <w:vAlign w:val="bottom"/>
            <w:tcBorders>
              <w:bottom w:val="single" w:sz="8" w:color="0077C0"/>
            </w:tcBorders>
          </w:tcPr>
          <w:p>
            <w:pPr>
              <w:spacing w:after="0"/>
              <w:rPr>
                <w:sz w:val="16"/>
                <w:szCs w:val="16"/>
                <w:color w:val="auto"/>
              </w:rPr>
            </w:pPr>
          </w:p>
        </w:tc>
        <w:tc>
          <w:tcPr>
            <w:tcW w:w="740" w:type="dxa"/>
            <w:vAlign w:val="bottom"/>
            <w:tcBorders>
              <w:bottom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color w:val="auto"/>
              </w:rPr>
              <w:t>9,137</w:t>
            </w:r>
          </w:p>
        </w:tc>
        <w:tc>
          <w:tcPr>
            <w:tcW w:w="400" w:type="dxa"/>
            <w:vAlign w:val="bottom"/>
            <w:tcBorders>
              <w:bottom w:val="single" w:sz="8" w:color="0077C0"/>
            </w:tcBorders>
          </w:tcPr>
          <w:p>
            <w:pPr>
              <w:spacing w:after="0"/>
              <w:rPr>
                <w:sz w:val="16"/>
                <w:szCs w:val="16"/>
                <w:color w:val="auto"/>
              </w:rPr>
            </w:pPr>
          </w:p>
        </w:tc>
        <w:tc>
          <w:tcPr>
            <w:tcW w:w="6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3,398</w:t>
            </w:r>
          </w:p>
        </w:tc>
      </w:tr>
      <w:tr>
        <w:trPr>
          <w:trHeight w:val="190"/>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Funded status at December 31</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(603)</w:t>
            </w:r>
          </w:p>
        </w:tc>
        <w:tc>
          <w:tcPr>
            <w:tcW w:w="4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right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(228)</w:t>
            </w:r>
          </w:p>
        </w:tc>
        <w:tc>
          <w:tcPr>
            <w:tcW w:w="4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(1,255)</w:t>
            </w:r>
          </w:p>
        </w:tc>
        <w:tc>
          <w:tcPr>
            <w:tcW w:w="4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r>
      <w:tr>
        <w:trPr>
          <w:trHeight w:val="26"/>
        </w:trPr>
        <w:tc>
          <w:tcPr>
            <w:tcW w:w="4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Borders>
              <w:right w:val="single" w:sz="8" w:color="0077C0"/>
            </w:tcBorders>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Other Benefits</w:t>
            </w:r>
          </w:p>
        </w:tc>
      </w:tr>
      <w:tr>
        <w:trPr>
          <w:trHeight w:val="23"/>
        </w:trPr>
        <w:tc>
          <w:tcPr>
            <w:tcW w:w="320" w:type="dxa"/>
            <w:vAlign w:val="bottom"/>
            <w:tcBorders>
              <w:bottom w:val="single" w:sz="8" w:color="0077C0"/>
            </w:tcBorders>
          </w:tcPr>
          <w:p>
            <w:pPr>
              <w:spacing w:after="0"/>
              <w:rPr>
                <w:sz w:val="2"/>
                <w:szCs w:val="2"/>
                <w:color w:val="auto"/>
              </w:rPr>
            </w:pPr>
          </w:p>
        </w:tc>
        <w:tc>
          <w:tcPr>
            <w:tcW w:w="82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r>
      <w:tr>
        <w:trPr>
          <w:trHeight w:val="190"/>
        </w:trPr>
        <w:tc>
          <w:tcPr>
            <w:tcW w:w="320" w:type="dxa"/>
            <w:vAlign w:val="bottom"/>
            <w:tcBorders>
              <w:bottom w:val="single" w:sz="8" w:color="0077C0"/>
            </w:tcBorders>
          </w:tcPr>
          <w:p>
            <w:pPr>
              <w:spacing w:after="0"/>
              <w:rPr>
                <w:sz w:val="16"/>
                <w:szCs w:val="16"/>
                <w:color w:val="auto"/>
              </w:rPr>
            </w:pPr>
          </w:p>
        </w:tc>
        <w:tc>
          <w:tcPr>
            <w:tcW w:w="82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0077C0"/>
            </w:tcBorders>
          </w:tcPr>
          <w:p>
            <w:pPr>
              <w:spacing w:after="0"/>
              <w:rPr>
                <w:sz w:val="16"/>
                <w:szCs w:val="16"/>
                <w:color w:val="auto"/>
              </w:rPr>
            </w:pPr>
          </w:p>
        </w:tc>
        <w:tc>
          <w:tcPr>
            <w:tcW w:w="9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381"/>
        </w:trPr>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1,938</w:t>
            </w:r>
          </w:p>
        </w:tc>
      </w:tr>
      <w:tr>
        <w:trPr>
          <w:trHeight w:val="203"/>
        </w:trPr>
        <w:tc>
          <w:tcPr>
            <w:tcW w:w="320" w:type="dxa"/>
            <w:vAlign w:val="bottom"/>
          </w:tcPr>
          <w:p>
            <w:pPr>
              <w:spacing w:after="0"/>
              <w:rPr>
                <w:sz w:val="17"/>
                <w:szCs w:val="17"/>
                <w:color w:val="auto"/>
              </w:rPr>
            </w:pPr>
          </w:p>
        </w:tc>
        <w:tc>
          <w:tcPr>
            <w:tcW w:w="82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34</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03"/>
        </w:trPr>
        <w:tc>
          <w:tcPr>
            <w:tcW w:w="320" w:type="dxa"/>
            <w:vAlign w:val="bottom"/>
          </w:tcPr>
          <w:p>
            <w:pPr>
              <w:spacing w:after="0"/>
              <w:rPr>
                <w:sz w:val="17"/>
                <w:szCs w:val="17"/>
                <w:color w:val="auto"/>
              </w:rPr>
            </w:pPr>
          </w:p>
        </w:tc>
        <w:tc>
          <w:tcPr>
            <w:tcW w:w="82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98</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r>
      <w:tr>
        <w:trPr>
          <w:trHeight w:val="203"/>
        </w:trPr>
        <w:tc>
          <w:tcPr>
            <w:tcW w:w="320" w:type="dxa"/>
            <w:vAlign w:val="bottom"/>
          </w:tcPr>
          <w:p>
            <w:pPr>
              <w:spacing w:after="0"/>
              <w:rPr>
                <w:sz w:val="17"/>
                <w:szCs w:val="17"/>
                <w:color w:val="auto"/>
              </w:rPr>
            </w:pPr>
          </w:p>
        </w:tc>
        <w:tc>
          <w:tcPr>
            <w:tcW w:w="82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54</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203"/>
        </w:trPr>
        <w:tc>
          <w:tcPr>
            <w:tcW w:w="320" w:type="dxa"/>
            <w:vAlign w:val="bottom"/>
          </w:tcPr>
          <w:p>
            <w:pPr>
              <w:spacing w:after="0"/>
              <w:rPr>
                <w:sz w:val="17"/>
                <w:szCs w:val="17"/>
                <w:color w:val="auto"/>
              </w:rPr>
            </w:pPr>
          </w:p>
        </w:tc>
        <w:tc>
          <w:tcPr>
            <w:tcW w:w="82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30</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320" w:type="dxa"/>
            <w:vAlign w:val="bottom"/>
          </w:tcPr>
          <w:p>
            <w:pPr>
              <w:spacing w:after="0"/>
              <w:rPr>
                <w:sz w:val="17"/>
                <w:szCs w:val="17"/>
                <w:color w:val="auto"/>
              </w:rPr>
            </w:pPr>
          </w:p>
        </w:tc>
        <w:tc>
          <w:tcPr>
            <w:tcW w:w="820" w:type="dxa"/>
            <w:vAlign w:val="bottom"/>
            <w:tcBorders>
              <w:right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(144)</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203"/>
        </w:trPr>
        <w:tc>
          <w:tcPr>
            <w:tcW w:w="320" w:type="dxa"/>
            <w:vAlign w:val="bottom"/>
          </w:tcPr>
          <w:p>
            <w:pPr>
              <w:spacing w:after="0"/>
              <w:rPr>
                <w:sz w:val="17"/>
                <w:szCs w:val="17"/>
                <w:color w:val="auto"/>
              </w:rPr>
            </w:pPr>
          </w:p>
        </w:tc>
        <w:tc>
          <w:tcPr>
            <w:tcW w:w="820" w:type="dxa"/>
            <w:vAlign w:val="bottom"/>
            <w:tcBorders>
              <w:right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(6)</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03"/>
        </w:trPr>
        <w:tc>
          <w:tcPr>
            <w:tcW w:w="320" w:type="dxa"/>
            <w:vAlign w:val="bottom"/>
          </w:tcPr>
          <w:p>
            <w:pPr>
              <w:spacing w:after="0"/>
              <w:rPr>
                <w:sz w:val="17"/>
                <w:szCs w:val="17"/>
                <w:color w:val="auto"/>
              </w:rPr>
            </w:pPr>
          </w:p>
        </w:tc>
        <w:tc>
          <w:tcPr>
            <w:tcW w:w="820" w:type="dxa"/>
            <w:vAlign w:val="bottom"/>
            <w:tcBorders>
              <w:right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r>
      <w:tr>
        <w:trPr>
          <w:trHeight w:val="203"/>
        </w:trPr>
        <w:tc>
          <w:tcPr>
            <w:tcW w:w="320" w:type="dxa"/>
            <w:vAlign w:val="bottom"/>
          </w:tcPr>
          <w:p>
            <w:pPr>
              <w:spacing w:after="0"/>
              <w:rPr>
                <w:sz w:val="17"/>
                <w:szCs w:val="17"/>
                <w:color w:val="auto"/>
              </w:rPr>
            </w:pPr>
          </w:p>
        </w:tc>
        <w:tc>
          <w:tcPr>
            <w:tcW w:w="82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320" w:type="dxa"/>
            <w:vAlign w:val="bottom"/>
          </w:tcPr>
          <w:p>
            <w:pPr>
              <w:spacing w:after="0"/>
              <w:rPr>
                <w:sz w:val="17"/>
                <w:szCs w:val="17"/>
                <w:color w:val="auto"/>
              </w:rPr>
            </w:pPr>
          </w:p>
        </w:tc>
        <w:tc>
          <w:tcPr>
            <w:tcW w:w="82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320" w:type="dxa"/>
            <w:vAlign w:val="bottom"/>
          </w:tcPr>
          <w:p>
            <w:pPr>
              <w:spacing w:after="0"/>
              <w:rPr>
                <w:sz w:val="17"/>
                <w:szCs w:val="17"/>
                <w:color w:val="auto"/>
              </w:rPr>
            </w:pPr>
          </w:p>
        </w:tc>
        <w:tc>
          <w:tcPr>
            <w:tcW w:w="820" w:type="dxa"/>
            <w:vAlign w:val="bottom"/>
            <w:tcBorders>
              <w:right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320" w:type="dxa"/>
            <w:vAlign w:val="bottom"/>
          </w:tcPr>
          <w:p>
            <w:pPr>
              <w:spacing w:after="0"/>
              <w:rPr>
                <w:sz w:val="17"/>
                <w:szCs w:val="17"/>
                <w:color w:val="auto"/>
              </w:rPr>
            </w:pPr>
          </w:p>
        </w:tc>
        <w:tc>
          <w:tcPr>
            <w:tcW w:w="82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320" w:type="dxa"/>
            <w:vAlign w:val="bottom"/>
            <w:tcBorders>
              <w:bottom w:val="single" w:sz="8" w:color="0077C0"/>
            </w:tcBorders>
          </w:tcPr>
          <w:p>
            <w:pPr>
              <w:spacing w:after="0"/>
              <w:rPr>
                <w:sz w:val="2"/>
                <w:szCs w:val="2"/>
                <w:color w:val="auto"/>
              </w:rPr>
            </w:pPr>
          </w:p>
        </w:tc>
        <w:tc>
          <w:tcPr>
            <w:tcW w:w="820" w:type="dxa"/>
            <w:vAlign w:val="bottom"/>
            <w:tcBorders>
              <w:bottom w:val="single" w:sz="8" w:color="0077C0"/>
              <w:right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r>
      <w:tr>
        <w:trPr>
          <w:trHeight w:val="190"/>
        </w:trPr>
        <w:tc>
          <w:tcPr>
            <w:tcW w:w="320" w:type="dxa"/>
            <w:vAlign w:val="bottom"/>
            <w:tcBorders>
              <w:bottom w:val="single" w:sz="8" w:color="0077C0"/>
            </w:tcBorders>
          </w:tcPr>
          <w:p>
            <w:pPr>
              <w:spacing w:after="0"/>
              <w:rPr>
                <w:sz w:val="16"/>
                <w:szCs w:val="16"/>
                <w:color w:val="auto"/>
              </w:rPr>
            </w:pPr>
          </w:p>
        </w:tc>
        <w:tc>
          <w:tcPr>
            <w:tcW w:w="820" w:type="dxa"/>
            <w:vAlign w:val="bottom"/>
            <w:tcBorders>
              <w:bottom w:val="single" w:sz="8" w:color="0077C0"/>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1,880</w:t>
            </w:r>
          </w:p>
        </w:tc>
        <w:tc>
          <w:tcPr>
            <w:tcW w:w="200" w:type="dxa"/>
            <w:vAlign w:val="bottom"/>
            <w:tcBorders>
              <w:bottom w:val="single" w:sz="8" w:color="0077C0"/>
            </w:tcBorders>
          </w:tcPr>
          <w:p>
            <w:pPr>
              <w:spacing w:after="0"/>
              <w:rPr>
                <w:sz w:val="16"/>
                <w:szCs w:val="16"/>
                <w:color w:val="auto"/>
              </w:rPr>
            </w:pPr>
          </w:p>
        </w:tc>
        <w:tc>
          <w:tcPr>
            <w:tcW w:w="9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2,017</w:t>
            </w:r>
          </w:p>
        </w:tc>
      </w:tr>
      <w:tr>
        <w:trPr>
          <w:trHeight w:val="381"/>
        </w:trPr>
        <w:tc>
          <w:tcPr>
            <w:tcW w:w="320" w:type="dxa"/>
            <w:vAlign w:val="bottom"/>
          </w:tcPr>
          <w:p>
            <w:pPr>
              <w:spacing w:after="0"/>
              <w:rPr>
                <w:sz w:val="24"/>
                <w:szCs w:val="24"/>
                <w:color w:val="auto"/>
              </w:rPr>
            </w:pPr>
          </w:p>
        </w:tc>
        <w:tc>
          <w:tcPr>
            <w:tcW w:w="82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320" w:type="dxa"/>
            <w:vAlign w:val="bottom"/>
          </w:tcPr>
          <w:p>
            <w:pPr>
              <w:spacing w:after="0"/>
              <w:rPr>
                <w:sz w:val="17"/>
                <w:szCs w:val="17"/>
                <w:color w:val="auto"/>
              </w:rPr>
            </w:pPr>
          </w:p>
        </w:tc>
        <w:tc>
          <w:tcPr>
            <w:tcW w:w="82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320" w:type="dxa"/>
            <w:vAlign w:val="bottom"/>
          </w:tcPr>
          <w:p>
            <w:pPr>
              <w:spacing w:after="0"/>
              <w:rPr>
                <w:sz w:val="17"/>
                <w:szCs w:val="17"/>
                <w:color w:val="auto"/>
              </w:rPr>
            </w:pPr>
          </w:p>
        </w:tc>
        <w:tc>
          <w:tcPr>
            <w:tcW w:w="82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320" w:type="dxa"/>
            <w:vAlign w:val="bottom"/>
          </w:tcPr>
          <w:p>
            <w:pPr>
              <w:spacing w:after="0"/>
              <w:rPr>
                <w:sz w:val="17"/>
                <w:szCs w:val="17"/>
                <w:color w:val="auto"/>
              </w:rPr>
            </w:pPr>
          </w:p>
        </w:tc>
        <w:tc>
          <w:tcPr>
            <w:tcW w:w="82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148</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r>
      <w:tr>
        <w:trPr>
          <w:trHeight w:val="203"/>
        </w:trPr>
        <w:tc>
          <w:tcPr>
            <w:tcW w:w="320" w:type="dxa"/>
            <w:vAlign w:val="bottom"/>
          </w:tcPr>
          <w:p>
            <w:pPr>
              <w:spacing w:after="0"/>
              <w:rPr>
                <w:sz w:val="17"/>
                <w:szCs w:val="17"/>
                <w:color w:val="auto"/>
              </w:rPr>
            </w:pPr>
          </w:p>
        </w:tc>
        <w:tc>
          <w:tcPr>
            <w:tcW w:w="82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54</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203"/>
        </w:trPr>
        <w:tc>
          <w:tcPr>
            <w:tcW w:w="320" w:type="dxa"/>
            <w:vAlign w:val="bottom"/>
          </w:tcPr>
          <w:p>
            <w:pPr>
              <w:spacing w:after="0"/>
              <w:rPr>
                <w:sz w:val="17"/>
                <w:szCs w:val="17"/>
                <w:color w:val="auto"/>
              </w:rPr>
            </w:pPr>
          </w:p>
        </w:tc>
        <w:tc>
          <w:tcPr>
            <w:tcW w:w="820" w:type="dxa"/>
            <w:vAlign w:val="bottom"/>
            <w:tcBorders>
              <w:right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r>
      <w:tr>
        <w:trPr>
          <w:trHeight w:val="203"/>
        </w:trPr>
        <w:tc>
          <w:tcPr>
            <w:tcW w:w="320" w:type="dxa"/>
            <w:vAlign w:val="bottom"/>
          </w:tcPr>
          <w:p>
            <w:pPr>
              <w:spacing w:after="0"/>
              <w:rPr>
                <w:sz w:val="17"/>
                <w:szCs w:val="17"/>
                <w:color w:val="auto"/>
              </w:rPr>
            </w:pPr>
          </w:p>
        </w:tc>
        <w:tc>
          <w:tcPr>
            <w:tcW w:w="82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320" w:type="dxa"/>
            <w:vAlign w:val="bottom"/>
            <w:tcBorders>
              <w:bottom w:val="single" w:sz="8" w:color="0077C0"/>
            </w:tcBorders>
          </w:tcPr>
          <w:p>
            <w:pPr>
              <w:spacing w:after="0"/>
              <w:rPr>
                <w:sz w:val="2"/>
                <w:szCs w:val="2"/>
                <w:color w:val="auto"/>
              </w:rPr>
            </w:pPr>
          </w:p>
        </w:tc>
        <w:tc>
          <w:tcPr>
            <w:tcW w:w="820" w:type="dxa"/>
            <w:vAlign w:val="bottom"/>
            <w:tcBorders>
              <w:bottom w:val="single" w:sz="8" w:color="0077C0"/>
              <w:right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r>
      <w:tr>
        <w:trPr>
          <w:trHeight w:val="190"/>
        </w:trPr>
        <w:tc>
          <w:tcPr>
            <w:tcW w:w="320" w:type="dxa"/>
            <w:vAlign w:val="bottom"/>
            <w:tcBorders>
              <w:bottom w:val="single" w:sz="8" w:color="0077C0"/>
            </w:tcBorders>
          </w:tcPr>
          <w:p>
            <w:pPr>
              <w:spacing w:after="0"/>
              <w:rPr>
                <w:sz w:val="16"/>
                <w:szCs w:val="16"/>
                <w:color w:val="auto"/>
              </w:rPr>
            </w:pPr>
          </w:p>
        </w:tc>
        <w:tc>
          <w:tcPr>
            <w:tcW w:w="820" w:type="dxa"/>
            <w:vAlign w:val="bottom"/>
            <w:tcBorders>
              <w:bottom w:val="single" w:sz="8" w:color="0077C0"/>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0077C0"/>
            </w:tcBorders>
          </w:tcPr>
          <w:p>
            <w:pPr>
              <w:spacing w:after="0"/>
              <w:rPr>
                <w:sz w:val="16"/>
                <w:szCs w:val="16"/>
                <w:color w:val="auto"/>
              </w:rPr>
            </w:pPr>
          </w:p>
        </w:tc>
        <w:tc>
          <w:tcPr>
            <w:tcW w:w="9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right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(1,880)</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w:t>
            </w:r>
          </w:p>
        </w:tc>
      </w:tr>
      <w:tr>
        <w:trPr>
          <w:trHeight w:val="26"/>
        </w:trPr>
        <w:tc>
          <w:tcPr>
            <w:tcW w:w="320" w:type="dxa"/>
            <w:vAlign w:val="bottom"/>
          </w:tcPr>
          <w:p>
            <w:pPr>
              <w:spacing w:after="0"/>
              <w:rPr>
                <w:sz w:val="2"/>
                <w:szCs w:val="2"/>
                <w:color w:val="auto"/>
              </w:rPr>
            </w:pPr>
          </w:p>
        </w:tc>
        <w:tc>
          <w:tcPr>
            <w:tcW w:w="820" w:type="dxa"/>
            <w:vAlign w:val="bottom"/>
            <w:tcBorders>
              <w:right w:val="single" w:sz="8" w:color="0077C0"/>
            </w:tcBorders>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8780" w:space="220"/>
            <w:col w:w="2240"/>
          </w:cols>
          <w:pgMar w:left="320" w:top="184" w:right="339" w:bottom="1440" w:gutter="0" w:footer="0" w:header="0"/>
          <w:type w:val="continuous"/>
        </w:sect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95" w:name="page96"/>
    <w:bookmarkEnd w:id="95"/>
    <w:p>
      <w:pPr>
        <w:ind w:left="20"/>
        <w:spacing w:after="0"/>
        <w:tabs>
          <w:tab w:leader="none" w:pos="9460" w:val="left"/>
        </w:tabs>
        <w:rPr>
          <w:sz w:val="20"/>
          <w:szCs w:val="20"/>
          <w:color w:val="auto"/>
        </w:rPr>
      </w:pPr>
      <w:r>
        <w:rPr>
          <w:rFonts w:ascii="Arial" w:cs="Arial" w:eastAsia="Arial" w:hAnsi="Arial"/>
          <w:sz w:val="14"/>
          <w:szCs w:val="14"/>
          <w:color w:val="0077C0"/>
        </w:rPr>
        <w:t>Notes to the Consolidated Financial Statements</w:t>
      </w:r>
      <w:r>
        <w:rPr>
          <w:sz w:val="20"/>
          <w:szCs w:val="20"/>
          <w:color w:val="auto"/>
        </w:rPr>
        <w:tab/>
      </w:r>
      <w:r>
        <w:rPr>
          <w:rFonts w:ascii="Arial" w:cs="Arial" w:eastAsia="Arial" w:hAnsi="Arial"/>
          <w:sz w:val="14"/>
          <w:szCs w:val="14"/>
          <w:color w:val="0077C0"/>
        </w:rPr>
        <w:t>Financial Table of Contents</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11"/>
          <w:szCs w:val="11"/>
          <w:color w:val="0077C0"/>
        </w:rPr>
        <w:t>Millions of dollars, except per-share amounts</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on the Consolidated Balance Sheet for the company’s pension and OPEB plans at December 31, 2024 and 2023, include: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Pension Benefits</w:t>
            </w: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80" w:type="dxa"/>
            <w:vAlign w:val="bottom"/>
          </w:tcPr>
          <w:p>
            <w:pPr>
              <w:spacing w:after="0"/>
              <w:rPr>
                <w:sz w:val="2"/>
                <w:szCs w:val="2"/>
                <w:color w:val="auto"/>
              </w:rPr>
            </w:pPr>
          </w:p>
        </w:tc>
        <w:tc>
          <w:tcPr>
            <w:tcW w:w="340" w:type="dxa"/>
            <w:vAlign w:val="bottom"/>
            <w:tcBorders>
              <w:bottom w:val="single" w:sz="8" w:color="0077C0"/>
            </w:tcBorders>
          </w:tcPr>
          <w:p>
            <w:pPr>
              <w:spacing w:after="0"/>
              <w:rPr>
                <w:sz w:val="2"/>
                <w:szCs w:val="2"/>
                <w:color w:val="auto"/>
              </w:rPr>
            </w:pPr>
          </w:p>
        </w:tc>
        <w:tc>
          <w:tcPr>
            <w:tcW w:w="740" w:type="dxa"/>
            <w:vAlign w:val="bottom"/>
            <w:tcBorders>
              <w:bottom w:val="single" w:sz="8" w:color="0077C0"/>
            </w:tcBorders>
          </w:tcPr>
          <w:p>
            <w:pPr>
              <w:spacing w:after="0"/>
              <w:rPr>
                <w:sz w:val="2"/>
                <w:szCs w:val="2"/>
                <w:color w:val="auto"/>
              </w:rPr>
            </w:pPr>
          </w:p>
        </w:tc>
        <w:tc>
          <w:tcPr>
            <w:tcW w:w="420" w:type="dxa"/>
            <w:vAlign w:val="bottom"/>
            <w:tcBorders>
              <w:bottom w:val="single" w:sz="8" w:color="0077C0"/>
            </w:tcBorders>
          </w:tcPr>
          <w:p>
            <w:pPr>
              <w:spacing w:after="0"/>
              <w:rPr>
                <w:sz w:val="2"/>
                <w:szCs w:val="2"/>
                <w:color w:val="auto"/>
              </w:rPr>
            </w:pPr>
          </w:p>
        </w:tc>
        <w:tc>
          <w:tcPr>
            <w:tcW w:w="760" w:type="dxa"/>
            <w:vAlign w:val="bottom"/>
            <w:tcBorders>
              <w:bottom w:val="single" w:sz="8" w:color="0077C0"/>
            </w:tcBorders>
          </w:tcPr>
          <w:p>
            <w:pPr>
              <w:spacing w:after="0"/>
              <w:rPr>
                <w:sz w:val="2"/>
                <w:szCs w:val="2"/>
                <w:color w:val="auto"/>
              </w:rPr>
            </w:pPr>
          </w:p>
        </w:tc>
        <w:tc>
          <w:tcPr>
            <w:tcW w:w="420" w:type="dxa"/>
            <w:vAlign w:val="bottom"/>
            <w:tcBorders>
              <w:bottom w:val="single" w:sz="8" w:color="0077C0"/>
            </w:tcBorders>
          </w:tcPr>
          <w:p>
            <w:pPr>
              <w:spacing w:after="0"/>
              <w:rPr>
                <w:sz w:val="2"/>
                <w:szCs w:val="2"/>
                <w:color w:val="auto"/>
              </w:rPr>
            </w:pPr>
          </w:p>
        </w:tc>
        <w:tc>
          <w:tcPr>
            <w:tcW w:w="740" w:type="dxa"/>
            <w:vAlign w:val="bottom"/>
            <w:tcBorders>
              <w:bottom w:val="single" w:sz="8" w:color="0077C0"/>
            </w:tcBorders>
          </w:tcPr>
          <w:p>
            <w:pPr>
              <w:spacing w:after="0"/>
              <w:rPr>
                <w:sz w:val="2"/>
                <w:szCs w:val="2"/>
                <w:color w:val="auto"/>
              </w:rPr>
            </w:pPr>
          </w:p>
        </w:tc>
        <w:tc>
          <w:tcPr>
            <w:tcW w:w="44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Other Benefits</w:t>
            </w:r>
          </w:p>
        </w:tc>
        <w:tc>
          <w:tcPr>
            <w:tcW w:w="0" w:type="dxa"/>
            <w:vAlign w:val="bottom"/>
          </w:tcPr>
          <w:p>
            <w:pPr>
              <w:spacing w:after="0"/>
              <w:rPr>
                <w:sz w:val="1"/>
                <w:szCs w:val="1"/>
                <w:color w:val="auto"/>
              </w:rPr>
            </w:pPr>
          </w:p>
        </w:tc>
      </w:tr>
      <w:tr>
        <w:trPr>
          <w:trHeight w:val="190"/>
        </w:trPr>
        <w:tc>
          <w:tcPr>
            <w:tcW w:w="4280" w:type="dxa"/>
            <w:vAlign w:val="bottom"/>
          </w:tcPr>
          <w:p>
            <w:pPr>
              <w:spacing w:after="0"/>
              <w:rPr>
                <w:sz w:val="16"/>
                <w:szCs w:val="16"/>
                <w:color w:val="auto"/>
              </w:rPr>
            </w:pPr>
          </w:p>
        </w:tc>
        <w:tc>
          <w:tcPr>
            <w:tcW w:w="340" w:type="dxa"/>
            <w:vAlign w:val="bottom"/>
            <w:tcBorders>
              <w:bottom w:val="single" w:sz="8" w:color="0077C0"/>
            </w:tcBorders>
          </w:tcPr>
          <w:p>
            <w:pPr>
              <w:spacing w:after="0"/>
              <w:rPr>
                <w:sz w:val="16"/>
                <w:szCs w:val="16"/>
                <w:color w:val="auto"/>
              </w:rPr>
            </w:pPr>
          </w:p>
        </w:tc>
        <w:tc>
          <w:tcPr>
            <w:tcW w:w="740" w:type="dxa"/>
            <w:vAlign w:val="bottom"/>
            <w:tcBorders>
              <w:bottom w:val="single" w:sz="8" w:color="0077C0"/>
            </w:tcBorders>
          </w:tcPr>
          <w:p>
            <w:pPr>
              <w:spacing w:after="0"/>
              <w:rPr>
                <w:sz w:val="16"/>
                <w:szCs w:val="16"/>
                <w:color w:val="auto"/>
              </w:rPr>
            </w:pPr>
          </w:p>
        </w:tc>
        <w:tc>
          <w:tcPr>
            <w:tcW w:w="420" w:type="dxa"/>
            <w:vAlign w:val="bottom"/>
            <w:tcBorders>
              <w:bottom w:val="single" w:sz="8" w:color="0077C0"/>
            </w:tcBorders>
          </w:tcPr>
          <w:p>
            <w:pPr>
              <w:spacing w:after="0"/>
              <w:rPr>
                <w:sz w:val="16"/>
                <w:szCs w:val="16"/>
                <w:color w:val="auto"/>
              </w:rPr>
            </w:pPr>
          </w:p>
        </w:tc>
        <w:tc>
          <w:tcPr>
            <w:tcW w:w="760" w:type="dxa"/>
            <w:vAlign w:val="bottom"/>
            <w:tcBorders>
              <w:bottom w:val="single" w:sz="8" w:color="0077C0"/>
            </w:tcBorders>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20" w:type="dxa"/>
            <w:vAlign w:val="bottom"/>
            <w:tcBorders>
              <w:bottom w:val="single" w:sz="8" w:color="0077C0"/>
            </w:tcBorders>
          </w:tcPr>
          <w:p>
            <w:pPr>
              <w:spacing w:after="0"/>
              <w:rPr>
                <w:sz w:val="16"/>
                <w:szCs w:val="16"/>
                <w:color w:val="auto"/>
              </w:rPr>
            </w:pPr>
          </w:p>
        </w:tc>
        <w:tc>
          <w:tcPr>
            <w:tcW w:w="740" w:type="dxa"/>
            <w:vAlign w:val="bottom"/>
            <w:tcBorders>
              <w:bottom w:val="single" w:sz="8" w:color="0077C0"/>
            </w:tcBorders>
          </w:tcPr>
          <w:p>
            <w:pPr>
              <w:spacing w:after="0"/>
              <w:rPr>
                <w:sz w:val="16"/>
                <w:szCs w:val="16"/>
                <w:color w:val="auto"/>
              </w:rPr>
            </w:pPr>
          </w:p>
        </w:tc>
        <w:tc>
          <w:tcPr>
            <w:tcW w:w="44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jc w:val="center"/>
              <w:ind w:left="248"/>
              <w:spacing w:after="0"/>
              <w:rPr>
                <w:sz w:val="20"/>
                <w:szCs w:val="20"/>
                <w:color w:val="auto"/>
              </w:rPr>
            </w:pPr>
            <w:r>
              <w:rPr>
                <w:rFonts w:ascii="Times New Roman" w:cs="Times New Roman" w:eastAsia="Times New Roman" w:hAnsi="Times New Roman"/>
                <w:sz w:val="14"/>
                <w:szCs w:val="14"/>
                <w:color w:val="auto"/>
              </w:rPr>
              <w:t>2023</w:t>
            </w:r>
          </w:p>
        </w:tc>
        <w:tc>
          <w:tcPr>
            <w:tcW w:w="220" w:type="dxa"/>
            <w:vAlign w:val="bottom"/>
          </w:tcPr>
          <w:p>
            <w:pPr>
              <w:spacing w:after="0"/>
              <w:rPr>
                <w:sz w:val="16"/>
                <w:szCs w:val="16"/>
                <w:color w:val="auto"/>
              </w:rPr>
            </w:pPr>
          </w:p>
        </w:tc>
        <w:tc>
          <w:tcPr>
            <w:tcW w:w="340" w:type="dxa"/>
            <w:vAlign w:val="bottom"/>
            <w:tcBorders>
              <w:bottom w:val="single" w:sz="8" w:color="0077C0"/>
            </w:tcBorders>
          </w:tcPr>
          <w:p>
            <w:pPr>
              <w:spacing w:after="0"/>
              <w:rPr>
                <w:sz w:val="16"/>
                <w:szCs w:val="16"/>
                <w:color w:val="auto"/>
              </w:rPr>
            </w:pPr>
          </w:p>
        </w:tc>
        <w:tc>
          <w:tcPr>
            <w:tcW w:w="800" w:type="dxa"/>
            <w:vAlign w:val="bottom"/>
            <w:tcBorders>
              <w:bottom w:val="single" w:sz="8" w:color="0077C0"/>
            </w:tcBorders>
          </w:tcPr>
          <w:p>
            <w:pPr>
              <w:spacing w:after="0"/>
              <w:rPr>
                <w:sz w:val="16"/>
                <w:szCs w:val="16"/>
                <w:color w:val="auto"/>
              </w:rPr>
            </w:pPr>
          </w:p>
        </w:tc>
        <w:tc>
          <w:tcPr>
            <w:tcW w:w="220" w:type="dxa"/>
            <w:vAlign w:val="bottom"/>
            <w:tcBorders>
              <w:bottom w:val="single" w:sz="8" w:color="0077C0"/>
            </w:tcBorders>
          </w:tcPr>
          <w:p>
            <w:pPr>
              <w:spacing w:after="0"/>
              <w:rPr>
                <w:sz w:val="16"/>
                <w:szCs w:val="16"/>
                <w:color w:val="auto"/>
              </w:rPr>
            </w:pPr>
          </w:p>
        </w:tc>
        <w:tc>
          <w:tcPr>
            <w:tcW w:w="900" w:type="dxa"/>
            <w:vAlign w:val="bottom"/>
            <w:tcBorders>
              <w:bottom w:val="single" w:sz="8" w:color="0077C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80" w:type="dxa"/>
            <w:vAlign w:val="bottom"/>
            <w:tcBorders>
              <w:bottom w:val="single" w:sz="8" w:color="0077C0"/>
            </w:tcBorders>
          </w:tcPr>
          <w:p>
            <w:pPr>
              <w:spacing w:after="0"/>
              <w:rPr>
                <w:sz w:val="17"/>
                <w:szCs w:val="17"/>
                <w:color w:val="auto"/>
              </w:rPr>
            </w:pPr>
          </w:p>
        </w:tc>
        <w:tc>
          <w:tcPr>
            <w:tcW w:w="340" w:type="dxa"/>
            <w:vAlign w:val="bottom"/>
            <w:tcBorders>
              <w:bottom w:val="single" w:sz="8" w:color="0077C0"/>
            </w:tcBorders>
          </w:tcPr>
          <w:p>
            <w:pPr>
              <w:spacing w:after="0"/>
              <w:rPr>
                <w:sz w:val="17"/>
                <w:szCs w:val="17"/>
                <w:color w:val="auto"/>
              </w:rPr>
            </w:pPr>
          </w:p>
        </w:tc>
        <w:tc>
          <w:tcPr>
            <w:tcW w:w="740" w:type="dxa"/>
            <w:vAlign w:val="bottom"/>
            <w:tcBorders>
              <w:bottom w:val="single" w:sz="8" w:color="0077C0"/>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U.S.</w:t>
            </w:r>
          </w:p>
        </w:tc>
        <w:tc>
          <w:tcPr>
            <w:tcW w:w="420" w:type="dxa"/>
            <w:vAlign w:val="bottom"/>
            <w:tcBorders>
              <w:bottom w:val="single" w:sz="8" w:color="0077C0"/>
            </w:tcBorders>
          </w:tcPr>
          <w:p>
            <w:pPr>
              <w:spacing w:after="0"/>
              <w:rPr>
                <w:sz w:val="17"/>
                <w:szCs w:val="17"/>
                <w:color w:val="auto"/>
              </w:rPr>
            </w:pPr>
          </w:p>
        </w:tc>
        <w:tc>
          <w:tcPr>
            <w:tcW w:w="760" w:type="dxa"/>
            <w:vAlign w:val="bottom"/>
            <w:tcBorders>
              <w:bottom w:val="single" w:sz="8" w:color="0077C0"/>
            </w:tcBorders>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Int’l.</w:t>
            </w:r>
          </w:p>
        </w:tc>
        <w:tc>
          <w:tcPr>
            <w:tcW w:w="420" w:type="dxa"/>
            <w:vAlign w:val="bottom"/>
            <w:tcBorders>
              <w:bottom w:val="single" w:sz="8" w:color="0077C0"/>
            </w:tcBorders>
          </w:tcPr>
          <w:p>
            <w:pPr>
              <w:spacing w:after="0"/>
              <w:rPr>
                <w:sz w:val="17"/>
                <w:szCs w:val="17"/>
                <w:color w:val="auto"/>
              </w:rPr>
            </w:pPr>
          </w:p>
        </w:tc>
        <w:tc>
          <w:tcPr>
            <w:tcW w:w="7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U.S.</w:t>
            </w:r>
          </w:p>
        </w:tc>
        <w:tc>
          <w:tcPr>
            <w:tcW w:w="440" w:type="dxa"/>
            <w:vAlign w:val="bottom"/>
            <w:tcBorders>
              <w:bottom w:val="single" w:sz="8" w:color="0077C0"/>
            </w:tcBorders>
          </w:tcPr>
          <w:p>
            <w:pPr>
              <w:spacing w:after="0"/>
              <w:rPr>
                <w:sz w:val="17"/>
                <w:szCs w:val="17"/>
                <w:color w:val="auto"/>
              </w:rPr>
            </w:pPr>
          </w:p>
        </w:tc>
        <w:tc>
          <w:tcPr>
            <w:tcW w:w="620" w:type="dxa"/>
            <w:vAlign w:val="bottom"/>
            <w:tcBorders>
              <w:bottom w:val="single" w:sz="8" w:color="0077C0"/>
            </w:tcBorders>
          </w:tcPr>
          <w:p>
            <w:pPr>
              <w:jc w:val="center"/>
              <w:ind w:left="248"/>
              <w:spacing w:after="0"/>
              <w:rPr>
                <w:sz w:val="20"/>
                <w:szCs w:val="20"/>
                <w:color w:val="auto"/>
              </w:rPr>
            </w:pPr>
            <w:r>
              <w:rPr>
                <w:rFonts w:ascii="Times New Roman" w:cs="Times New Roman" w:eastAsia="Times New Roman" w:hAnsi="Times New Roman"/>
                <w:sz w:val="14"/>
                <w:szCs w:val="14"/>
                <w:color w:val="auto"/>
              </w:rPr>
              <w:t>Int’l.</w:t>
            </w:r>
          </w:p>
        </w:tc>
        <w:tc>
          <w:tcPr>
            <w:tcW w:w="220" w:type="dxa"/>
            <w:vAlign w:val="bottom"/>
          </w:tcPr>
          <w:p>
            <w:pPr>
              <w:spacing w:after="0"/>
              <w:rPr>
                <w:sz w:val="17"/>
                <w:szCs w:val="17"/>
                <w:color w:val="auto"/>
              </w:rPr>
            </w:pPr>
          </w:p>
        </w:tc>
        <w:tc>
          <w:tcPr>
            <w:tcW w:w="340" w:type="dxa"/>
            <w:vAlign w:val="bottom"/>
            <w:tcBorders>
              <w:bottom w:val="single" w:sz="8" w:color="0077C0"/>
            </w:tcBorders>
          </w:tcPr>
          <w:p>
            <w:pPr>
              <w:spacing w:after="0"/>
              <w:rPr>
                <w:sz w:val="17"/>
                <w:szCs w:val="17"/>
                <w:color w:val="auto"/>
              </w:rPr>
            </w:pPr>
          </w:p>
        </w:tc>
        <w:tc>
          <w:tcPr>
            <w:tcW w:w="80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0077C0"/>
            </w:tcBorders>
          </w:tcPr>
          <w:p>
            <w:pPr>
              <w:spacing w:after="0"/>
              <w:rPr>
                <w:sz w:val="17"/>
                <w:szCs w:val="17"/>
                <w:color w:val="auto"/>
              </w:rPr>
            </w:pPr>
          </w:p>
        </w:tc>
        <w:tc>
          <w:tcPr>
            <w:tcW w:w="9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9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charges and other assets</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607</w:t>
            </w:r>
          </w:p>
        </w:tc>
        <w:tc>
          <w:tcPr>
            <w:tcW w:w="4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right w:val="single" w:sz="8" w:color="0077C0"/>
            </w:tcBorders>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655</w:t>
            </w:r>
          </w:p>
        </w:tc>
        <w:tc>
          <w:tcPr>
            <w:tcW w:w="4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w:t>
            </w:r>
          </w:p>
        </w:tc>
        <w:tc>
          <w:tcPr>
            <w:tcW w:w="4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w w:val="95"/>
              </w:rPr>
              <w:t>703</w:t>
            </w:r>
          </w:p>
        </w:tc>
        <w:tc>
          <w:tcPr>
            <w:tcW w:w="22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liabilities</w:t>
            </w:r>
          </w:p>
        </w:tc>
        <w:tc>
          <w:tcPr>
            <w:tcW w:w="34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(146)</w:t>
            </w:r>
          </w:p>
        </w:tc>
        <w:tc>
          <w:tcPr>
            <w:tcW w:w="420" w:type="dxa"/>
            <w:vAlign w:val="bottom"/>
          </w:tcPr>
          <w:p>
            <w:pPr>
              <w:spacing w:after="0"/>
              <w:rPr>
                <w:sz w:val="16"/>
                <w:szCs w:val="16"/>
                <w:color w:val="auto"/>
              </w:rPr>
            </w:pPr>
          </w:p>
        </w:tc>
        <w:tc>
          <w:tcPr>
            <w:tcW w:w="760" w:type="dxa"/>
            <w:vAlign w:val="bottom"/>
            <w:tcBorders>
              <w:right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(71)</w:t>
            </w:r>
          </w:p>
        </w:tc>
        <w:tc>
          <w:tcPr>
            <w:tcW w:w="4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(145)</w:t>
            </w:r>
          </w:p>
        </w:tc>
        <w:tc>
          <w:tcPr>
            <w:tcW w:w="4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Borders>
              <w:right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(149)</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203"/>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employee benefit plans</w:t>
            </w:r>
          </w:p>
        </w:tc>
        <w:tc>
          <w:tcPr>
            <w:tcW w:w="3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(1,064)</w:t>
            </w:r>
          </w:p>
        </w:tc>
        <w:tc>
          <w:tcPr>
            <w:tcW w:w="420" w:type="dxa"/>
            <w:vAlign w:val="bottom"/>
          </w:tcPr>
          <w:p>
            <w:pPr>
              <w:spacing w:after="0"/>
              <w:rPr>
                <w:sz w:val="17"/>
                <w:szCs w:val="17"/>
                <w:color w:val="auto"/>
              </w:rPr>
            </w:pPr>
          </w:p>
        </w:tc>
        <w:tc>
          <w:tcPr>
            <w:tcW w:w="760" w:type="dxa"/>
            <w:vAlign w:val="bottom"/>
            <w:tcBorders>
              <w:right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(812)</w:t>
            </w:r>
          </w:p>
        </w:tc>
        <w:tc>
          <w:tcPr>
            <w:tcW w:w="42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(1,141)</w:t>
            </w:r>
          </w:p>
        </w:tc>
        <w:tc>
          <w:tcPr>
            <w:tcW w:w="4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Borders>
              <w:right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(1,731)</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(1,863)</w:t>
            </w:r>
          </w:p>
        </w:tc>
        <w:tc>
          <w:tcPr>
            <w:tcW w:w="0" w:type="dxa"/>
            <w:vAlign w:val="bottom"/>
          </w:tcPr>
          <w:p>
            <w:pPr>
              <w:spacing w:after="0"/>
              <w:rPr>
                <w:sz w:val="1"/>
                <w:szCs w:val="1"/>
                <w:color w:val="auto"/>
              </w:rPr>
            </w:pPr>
          </w:p>
        </w:tc>
      </w:tr>
      <w:tr>
        <w:trPr>
          <w:trHeight w:val="23"/>
        </w:trPr>
        <w:tc>
          <w:tcPr>
            <w:tcW w:w="4280" w:type="dxa"/>
            <w:vAlign w:val="bottom"/>
            <w:tcBorders>
              <w:bottom w:val="single" w:sz="8" w:color="0077C0"/>
            </w:tcBorders>
          </w:tcPr>
          <w:p>
            <w:pPr>
              <w:spacing w:after="0"/>
              <w:rPr>
                <w:sz w:val="2"/>
                <w:szCs w:val="2"/>
                <w:color w:val="auto"/>
              </w:rPr>
            </w:pPr>
          </w:p>
        </w:tc>
        <w:tc>
          <w:tcPr>
            <w:tcW w:w="340" w:type="dxa"/>
            <w:vAlign w:val="bottom"/>
            <w:tcBorders>
              <w:bottom w:val="single" w:sz="8" w:color="0077C0"/>
            </w:tcBorders>
          </w:tcPr>
          <w:p>
            <w:pPr>
              <w:spacing w:after="0"/>
              <w:rPr>
                <w:sz w:val="2"/>
                <w:szCs w:val="2"/>
                <w:color w:val="auto"/>
              </w:rPr>
            </w:pPr>
          </w:p>
        </w:tc>
        <w:tc>
          <w:tcPr>
            <w:tcW w:w="740" w:type="dxa"/>
            <w:vAlign w:val="bottom"/>
            <w:tcBorders>
              <w:bottom w:val="single" w:sz="8" w:color="0077C0"/>
            </w:tcBorders>
          </w:tcPr>
          <w:p>
            <w:pPr>
              <w:spacing w:after="0"/>
              <w:rPr>
                <w:sz w:val="2"/>
                <w:szCs w:val="2"/>
                <w:color w:val="auto"/>
              </w:rPr>
            </w:pPr>
          </w:p>
        </w:tc>
        <w:tc>
          <w:tcPr>
            <w:tcW w:w="420" w:type="dxa"/>
            <w:vAlign w:val="bottom"/>
            <w:tcBorders>
              <w:bottom w:val="single" w:sz="8" w:color="0077C0"/>
            </w:tcBorders>
          </w:tcPr>
          <w:p>
            <w:pPr>
              <w:spacing w:after="0"/>
              <w:rPr>
                <w:sz w:val="2"/>
                <w:szCs w:val="2"/>
                <w:color w:val="auto"/>
              </w:rPr>
            </w:pPr>
          </w:p>
        </w:tc>
        <w:tc>
          <w:tcPr>
            <w:tcW w:w="760" w:type="dxa"/>
            <w:vAlign w:val="bottom"/>
            <w:tcBorders>
              <w:bottom w:val="single" w:sz="8" w:color="0077C0"/>
              <w:right w:val="single" w:sz="8" w:color="0077C0"/>
            </w:tcBorders>
          </w:tcPr>
          <w:p>
            <w:pPr>
              <w:spacing w:after="0"/>
              <w:rPr>
                <w:sz w:val="2"/>
                <w:szCs w:val="2"/>
                <w:color w:val="auto"/>
              </w:rPr>
            </w:pPr>
          </w:p>
        </w:tc>
        <w:tc>
          <w:tcPr>
            <w:tcW w:w="420" w:type="dxa"/>
            <w:vAlign w:val="bottom"/>
            <w:tcBorders>
              <w:bottom w:val="single" w:sz="8" w:color="0077C0"/>
            </w:tcBorders>
          </w:tcPr>
          <w:p>
            <w:pPr>
              <w:spacing w:after="0"/>
              <w:rPr>
                <w:sz w:val="2"/>
                <w:szCs w:val="2"/>
                <w:color w:val="auto"/>
              </w:rPr>
            </w:pPr>
          </w:p>
        </w:tc>
        <w:tc>
          <w:tcPr>
            <w:tcW w:w="740" w:type="dxa"/>
            <w:vAlign w:val="bottom"/>
            <w:tcBorders>
              <w:bottom w:val="single" w:sz="8" w:color="0077C0"/>
            </w:tcBorders>
          </w:tcPr>
          <w:p>
            <w:pPr>
              <w:spacing w:after="0"/>
              <w:rPr>
                <w:sz w:val="2"/>
                <w:szCs w:val="2"/>
                <w:color w:val="auto"/>
              </w:rPr>
            </w:pPr>
          </w:p>
        </w:tc>
        <w:tc>
          <w:tcPr>
            <w:tcW w:w="44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0077C0"/>
            </w:tcBorders>
          </w:tcPr>
          <w:p>
            <w:pPr>
              <w:spacing w:after="0"/>
              <w:rPr>
                <w:sz w:val="2"/>
                <w:szCs w:val="2"/>
                <w:color w:val="auto"/>
              </w:rPr>
            </w:pPr>
          </w:p>
        </w:tc>
        <w:tc>
          <w:tcPr>
            <w:tcW w:w="800" w:type="dxa"/>
            <w:vAlign w:val="bottom"/>
            <w:tcBorders>
              <w:bottom w:val="single" w:sz="8" w:color="0077C0"/>
              <w:right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8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amount recognized at December 31</w:t>
            </w:r>
          </w:p>
        </w:tc>
        <w:tc>
          <w:tcPr>
            <w:tcW w:w="340" w:type="dxa"/>
            <w:vAlign w:val="bottom"/>
            <w:tcBorders>
              <w:bottom w:val="single" w:sz="8" w:color="0077C0"/>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(603)</w:t>
            </w:r>
          </w:p>
        </w:tc>
        <w:tc>
          <w:tcPr>
            <w:tcW w:w="420" w:type="dxa"/>
            <w:vAlign w:val="bottom"/>
            <w:tcBorders>
              <w:bottom w:val="single" w:sz="8" w:color="0077C0"/>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0077C0"/>
              <w:right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(228)</w:t>
            </w:r>
          </w:p>
        </w:tc>
        <w:tc>
          <w:tcPr>
            <w:tcW w:w="420" w:type="dxa"/>
            <w:vAlign w:val="bottom"/>
            <w:tcBorders>
              <w:bottom w:val="single" w:sz="8" w:color="0077C0"/>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(1,255)</w:t>
            </w:r>
          </w:p>
        </w:tc>
        <w:tc>
          <w:tcPr>
            <w:tcW w:w="440" w:type="dxa"/>
            <w:vAlign w:val="bottom"/>
            <w:tcBorders>
              <w:bottom w:val="single" w:sz="8" w:color="0077C0"/>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220" w:type="dxa"/>
            <w:vAlign w:val="bottom"/>
            <w:tcBorders>
              <w:bottom w:val="single" w:sz="8" w:color="0077C0"/>
            </w:tcBorders>
          </w:tcPr>
          <w:p>
            <w:pPr>
              <w:spacing w:after="0"/>
              <w:rPr>
                <w:sz w:val="16"/>
                <w:szCs w:val="16"/>
                <w:color w:val="auto"/>
              </w:rPr>
            </w:pPr>
          </w:p>
        </w:tc>
        <w:tc>
          <w:tcPr>
            <w:tcW w:w="340" w:type="dxa"/>
            <w:vAlign w:val="bottom"/>
            <w:tcBorders>
              <w:bottom w:val="single" w:sz="8" w:color="0077C0"/>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0077C0"/>
              <w:right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(1,880)</w:t>
            </w:r>
          </w:p>
        </w:tc>
        <w:tc>
          <w:tcPr>
            <w:tcW w:w="2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For the year ended December 31, 2024, the decrease in benefit obligations was primarily due to actuarial gains caused by higher discount rates used to value the obligations. For the year ended December 31, 2023, the increase in benefit obligations was primarily due to actuarial losses caused by lower discount rates used to value the obligations.</w:t>
      </w:r>
    </w:p>
    <w:p>
      <w:pPr>
        <w:spacing w:after="0" w:line="6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Amounts recognized on a before-tax basis in “Accumulated other comprehensive loss” for the company’s pension and OPEB plans were $3,376 and $3,792 at the end of 2024 and 2023, respectively. These amounts consisted of:</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Pension Benefits</w:t>
            </w: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00" w:type="dxa"/>
            <w:vAlign w:val="bottom"/>
          </w:tcPr>
          <w:p>
            <w:pPr>
              <w:spacing w:after="0"/>
              <w:rPr>
                <w:sz w:val="2"/>
                <w:szCs w:val="2"/>
                <w:color w:val="auto"/>
              </w:rPr>
            </w:pPr>
          </w:p>
        </w:tc>
        <w:tc>
          <w:tcPr>
            <w:tcW w:w="36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c>
          <w:tcPr>
            <w:tcW w:w="460" w:type="dxa"/>
            <w:vAlign w:val="bottom"/>
            <w:tcBorders>
              <w:bottom w:val="single" w:sz="8" w:color="0077C0"/>
            </w:tcBorders>
          </w:tcPr>
          <w:p>
            <w:pPr>
              <w:spacing w:after="0"/>
              <w:rPr>
                <w:sz w:val="2"/>
                <w:szCs w:val="2"/>
                <w:color w:val="auto"/>
              </w:rPr>
            </w:pPr>
          </w:p>
        </w:tc>
        <w:tc>
          <w:tcPr>
            <w:tcW w:w="740" w:type="dxa"/>
            <w:vAlign w:val="bottom"/>
            <w:tcBorders>
              <w:bottom w:val="single" w:sz="8" w:color="0077C0"/>
            </w:tcBorders>
          </w:tcPr>
          <w:p>
            <w:pPr>
              <w:spacing w:after="0"/>
              <w:rPr>
                <w:sz w:val="2"/>
                <w:szCs w:val="2"/>
                <w:color w:val="auto"/>
              </w:rPr>
            </w:pPr>
          </w:p>
        </w:tc>
        <w:tc>
          <w:tcPr>
            <w:tcW w:w="440" w:type="dxa"/>
            <w:vAlign w:val="bottom"/>
            <w:tcBorders>
              <w:bottom w:val="single" w:sz="8" w:color="0077C0"/>
            </w:tcBorders>
          </w:tcPr>
          <w:p>
            <w:pPr>
              <w:spacing w:after="0"/>
              <w:rPr>
                <w:sz w:val="2"/>
                <w:szCs w:val="2"/>
                <w:color w:val="auto"/>
              </w:rPr>
            </w:pPr>
          </w:p>
        </w:tc>
        <w:tc>
          <w:tcPr>
            <w:tcW w:w="720" w:type="dxa"/>
            <w:vAlign w:val="bottom"/>
            <w:tcBorders>
              <w:bottom w:val="single" w:sz="8" w:color="0077C0"/>
            </w:tcBorders>
          </w:tcPr>
          <w:p>
            <w:pPr>
              <w:spacing w:after="0"/>
              <w:rPr>
                <w:sz w:val="2"/>
                <w:szCs w:val="2"/>
                <w:color w:val="auto"/>
              </w:rPr>
            </w:pPr>
          </w:p>
        </w:tc>
        <w:tc>
          <w:tcPr>
            <w:tcW w:w="44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Other Benefits</w:t>
            </w:r>
          </w:p>
        </w:tc>
        <w:tc>
          <w:tcPr>
            <w:tcW w:w="0" w:type="dxa"/>
            <w:vAlign w:val="bottom"/>
          </w:tcPr>
          <w:p>
            <w:pPr>
              <w:spacing w:after="0"/>
              <w:rPr>
                <w:sz w:val="1"/>
                <w:szCs w:val="1"/>
                <w:color w:val="auto"/>
              </w:rPr>
            </w:pPr>
          </w:p>
        </w:tc>
      </w:tr>
      <w:tr>
        <w:trPr>
          <w:trHeight w:val="190"/>
        </w:trPr>
        <w:tc>
          <w:tcPr>
            <w:tcW w:w="4300" w:type="dxa"/>
            <w:vAlign w:val="bottom"/>
          </w:tcPr>
          <w:p>
            <w:pPr>
              <w:spacing w:after="0"/>
              <w:rPr>
                <w:sz w:val="16"/>
                <w:szCs w:val="16"/>
                <w:color w:val="auto"/>
              </w:rPr>
            </w:pPr>
          </w:p>
        </w:tc>
        <w:tc>
          <w:tcPr>
            <w:tcW w:w="360" w:type="dxa"/>
            <w:vAlign w:val="bottom"/>
            <w:tcBorders>
              <w:bottom w:val="single" w:sz="8" w:color="0077C0"/>
            </w:tcBorders>
          </w:tcPr>
          <w:p>
            <w:pPr>
              <w:spacing w:after="0"/>
              <w:rPr>
                <w:sz w:val="16"/>
                <w:szCs w:val="16"/>
                <w:color w:val="auto"/>
              </w:rPr>
            </w:pPr>
          </w:p>
        </w:tc>
        <w:tc>
          <w:tcPr>
            <w:tcW w:w="700" w:type="dxa"/>
            <w:vAlign w:val="bottom"/>
            <w:tcBorders>
              <w:bottom w:val="single" w:sz="8" w:color="0077C0"/>
            </w:tcBorders>
          </w:tcPr>
          <w:p>
            <w:pPr>
              <w:spacing w:after="0"/>
              <w:rPr>
                <w:sz w:val="16"/>
                <w:szCs w:val="16"/>
                <w:color w:val="auto"/>
              </w:rPr>
            </w:pPr>
          </w:p>
        </w:tc>
        <w:tc>
          <w:tcPr>
            <w:tcW w:w="460" w:type="dxa"/>
            <w:vAlign w:val="bottom"/>
            <w:tcBorders>
              <w:bottom w:val="single" w:sz="8" w:color="0077C0"/>
            </w:tcBorders>
          </w:tcPr>
          <w:p>
            <w:pPr>
              <w:spacing w:after="0"/>
              <w:rPr>
                <w:sz w:val="16"/>
                <w:szCs w:val="16"/>
                <w:color w:val="auto"/>
              </w:rPr>
            </w:pPr>
          </w:p>
        </w:tc>
        <w:tc>
          <w:tcPr>
            <w:tcW w:w="740" w:type="dxa"/>
            <w:vAlign w:val="bottom"/>
            <w:tcBorders>
              <w:bottom w:val="single" w:sz="8" w:color="0077C0"/>
            </w:tcBorders>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0077C0"/>
            </w:tcBorders>
          </w:tcPr>
          <w:p>
            <w:pPr>
              <w:spacing w:after="0"/>
              <w:rPr>
                <w:sz w:val="16"/>
                <w:szCs w:val="16"/>
                <w:color w:val="auto"/>
              </w:rPr>
            </w:pPr>
          </w:p>
        </w:tc>
        <w:tc>
          <w:tcPr>
            <w:tcW w:w="720" w:type="dxa"/>
            <w:vAlign w:val="bottom"/>
            <w:tcBorders>
              <w:bottom w:val="single" w:sz="8" w:color="0077C0"/>
            </w:tcBorders>
          </w:tcPr>
          <w:p>
            <w:pPr>
              <w:spacing w:after="0"/>
              <w:rPr>
                <w:sz w:val="16"/>
                <w:szCs w:val="16"/>
                <w:color w:val="auto"/>
              </w:rPr>
            </w:pPr>
          </w:p>
        </w:tc>
        <w:tc>
          <w:tcPr>
            <w:tcW w:w="44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jc w:val="center"/>
              <w:ind w:left="228"/>
              <w:spacing w:after="0"/>
              <w:rPr>
                <w:sz w:val="20"/>
                <w:szCs w:val="20"/>
                <w:color w:val="auto"/>
              </w:rPr>
            </w:pPr>
            <w:r>
              <w:rPr>
                <w:rFonts w:ascii="Times New Roman" w:cs="Times New Roman" w:eastAsia="Times New Roman" w:hAnsi="Times New Roman"/>
                <w:sz w:val="14"/>
                <w:szCs w:val="14"/>
                <w:color w:val="auto"/>
                <w:w w:val="99"/>
              </w:rPr>
              <w:t>2023</w:t>
            </w:r>
          </w:p>
        </w:tc>
        <w:tc>
          <w:tcPr>
            <w:tcW w:w="220" w:type="dxa"/>
            <w:vAlign w:val="bottom"/>
          </w:tcPr>
          <w:p>
            <w:pPr>
              <w:spacing w:after="0"/>
              <w:rPr>
                <w:sz w:val="16"/>
                <w:szCs w:val="16"/>
                <w:color w:val="auto"/>
              </w:rPr>
            </w:pPr>
          </w:p>
        </w:tc>
        <w:tc>
          <w:tcPr>
            <w:tcW w:w="380" w:type="dxa"/>
            <w:vAlign w:val="bottom"/>
            <w:tcBorders>
              <w:bottom w:val="single" w:sz="8" w:color="0077C0"/>
            </w:tcBorders>
          </w:tcPr>
          <w:p>
            <w:pPr>
              <w:spacing w:after="0"/>
              <w:rPr>
                <w:sz w:val="16"/>
                <w:szCs w:val="16"/>
                <w:color w:val="auto"/>
              </w:rPr>
            </w:pPr>
          </w:p>
        </w:tc>
        <w:tc>
          <w:tcPr>
            <w:tcW w:w="760" w:type="dxa"/>
            <w:vAlign w:val="bottom"/>
            <w:tcBorders>
              <w:bottom w:val="single" w:sz="8" w:color="0077C0"/>
            </w:tcBorders>
          </w:tcPr>
          <w:p>
            <w:pPr>
              <w:spacing w:after="0"/>
              <w:rPr>
                <w:sz w:val="16"/>
                <w:szCs w:val="16"/>
                <w:color w:val="auto"/>
              </w:rPr>
            </w:pPr>
          </w:p>
        </w:tc>
        <w:tc>
          <w:tcPr>
            <w:tcW w:w="200" w:type="dxa"/>
            <w:vAlign w:val="bottom"/>
            <w:tcBorders>
              <w:bottom w:val="single" w:sz="8" w:color="0077C0"/>
            </w:tcBorders>
          </w:tcPr>
          <w:p>
            <w:pPr>
              <w:spacing w:after="0"/>
              <w:rPr>
                <w:sz w:val="16"/>
                <w:szCs w:val="16"/>
                <w:color w:val="auto"/>
              </w:rPr>
            </w:pPr>
          </w:p>
        </w:tc>
        <w:tc>
          <w:tcPr>
            <w:tcW w:w="900" w:type="dxa"/>
            <w:vAlign w:val="bottom"/>
            <w:tcBorders>
              <w:bottom w:val="single" w:sz="8" w:color="0077C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00" w:type="dxa"/>
            <w:vAlign w:val="bottom"/>
            <w:tcBorders>
              <w:bottom w:val="single" w:sz="8" w:color="0077C0"/>
            </w:tcBorders>
          </w:tcPr>
          <w:p>
            <w:pPr>
              <w:spacing w:after="0"/>
              <w:rPr>
                <w:sz w:val="17"/>
                <w:szCs w:val="17"/>
                <w:color w:val="auto"/>
              </w:rPr>
            </w:pPr>
          </w:p>
        </w:tc>
        <w:tc>
          <w:tcPr>
            <w:tcW w:w="360" w:type="dxa"/>
            <w:vAlign w:val="bottom"/>
            <w:tcBorders>
              <w:bottom w:val="single" w:sz="8" w:color="0077C0"/>
            </w:tcBorders>
          </w:tcPr>
          <w:p>
            <w:pPr>
              <w:spacing w:after="0"/>
              <w:rPr>
                <w:sz w:val="17"/>
                <w:szCs w:val="17"/>
                <w:color w:val="auto"/>
              </w:rPr>
            </w:pPr>
          </w:p>
        </w:tc>
        <w:tc>
          <w:tcPr>
            <w:tcW w:w="7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w:t>
            </w:r>
          </w:p>
        </w:tc>
        <w:tc>
          <w:tcPr>
            <w:tcW w:w="460" w:type="dxa"/>
            <w:vAlign w:val="bottom"/>
            <w:tcBorders>
              <w:bottom w:val="single" w:sz="8" w:color="0077C0"/>
            </w:tcBorders>
          </w:tcPr>
          <w:p>
            <w:pPr>
              <w:spacing w:after="0"/>
              <w:rPr>
                <w:sz w:val="17"/>
                <w:szCs w:val="17"/>
                <w:color w:val="auto"/>
              </w:rPr>
            </w:pPr>
          </w:p>
        </w:tc>
        <w:tc>
          <w:tcPr>
            <w:tcW w:w="740" w:type="dxa"/>
            <w:vAlign w:val="bottom"/>
            <w:tcBorders>
              <w:bottom w:val="single" w:sz="8" w:color="0077C0"/>
            </w:tcBorders>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Int’l.</w:t>
            </w:r>
          </w:p>
        </w:tc>
        <w:tc>
          <w:tcPr>
            <w:tcW w:w="440" w:type="dxa"/>
            <w:vAlign w:val="bottom"/>
            <w:tcBorders>
              <w:bottom w:val="single" w:sz="8" w:color="0077C0"/>
            </w:tcBorders>
          </w:tcPr>
          <w:p>
            <w:pPr>
              <w:spacing w:after="0"/>
              <w:rPr>
                <w:sz w:val="17"/>
                <w:szCs w:val="17"/>
                <w:color w:val="auto"/>
              </w:rPr>
            </w:pPr>
          </w:p>
        </w:tc>
        <w:tc>
          <w:tcPr>
            <w:tcW w:w="72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U.S.</w:t>
            </w:r>
          </w:p>
        </w:tc>
        <w:tc>
          <w:tcPr>
            <w:tcW w:w="440" w:type="dxa"/>
            <w:vAlign w:val="bottom"/>
            <w:tcBorders>
              <w:bottom w:val="single" w:sz="8" w:color="0077C0"/>
            </w:tcBorders>
          </w:tcPr>
          <w:p>
            <w:pPr>
              <w:spacing w:after="0"/>
              <w:rPr>
                <w:sz w:val="17"/>
                <w:szCs w:val="17"/>
                <w:color w:val="auto"/>
              </w:rPr>
            </w:pPr>
          </w:p>
        </w:tc>
        <w:tc>
          <w:tcPr>
            <w:tcW w:w="620" w:type="dxa"/>
            <w:vAlign w:val="bottom"/>
            <w:tcBorders>
              <w:bottom w:val="single" w:sz="8" w:color="0077C0"/>
            </w:tcBorders>
          </w:tcPr>
          <w:p>
            <w:pPr>
              <w:jc w:val="center"/>
              <w:ind w:left="228"/>
              <w:spacing w:after="0"/>
              <w:rPr>
                <w:sz w:val="20"/>
                <w:szCs w:val="20"/>
                <w:color w:val="auto"/>
              </w:rPr>
            </w:pPr>
            <w:r>
              <w:rPr>
                <w:rFonts w:ascii="Times New Roman" w:cs="Times New Roman" w:eastAsia="Times New Roman" w:hAnsi="Times New Roman"/>
                <w:sz w:val="14"/>
                <w:szCs w:val="14"/>
                <w:color w:val="auto"/>
              </w:rPr>
              <w:t>Int’l.</w:t>
            </w:r>
          </w:p>
        </w:tc>
        <w:tc>
          <w:tcPr>
            <w:tcW w:w="220" w:type="dxa"/>
            <w:vAlign w:val="bottom"/>
          </w:tcPr>
          <w:p>
            <w:pPr>
              <w:spacing w:after="0"/>
              <w:rPr>
                <w:sz w:val="17"/>
                <w:szCs w:val="17"/>
                <w:color w:val="auto"/>
              </w:rPr>
            </w:pPr>
          </w:p>
        </w:tc>
        <w:tc>
          <w:tcPr>
            <w:tcW w:w="380" w:type="dxa"/>
            <w:vAlign w:val="bottom"/>
            <w:tcBorders>
              <w:bottom w:val="single" w:sz="8" w:color="0077C0"/>
            </w:tcBorders>
          </w:tcPr>
          <w:p>
            <w:pPr>
              <w:spacing w:after="0"/>
              <w:rPr>
                <w:sz w:val="17"/>
                <w:szCs w:val="17"/>
                <w:color w:val="auto"/>
              </w:rPr>
            </w:pPr>
          </w:p>
        </w:tc>
        <w:tc>
          <w:tcPr>
            <w:tcW w:w="76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0077C0"/>
            </w:tcBorders>
          </w:tcPr>
          <w:p>
            <w:pPr>
              <w:spacing w:after="0"/>
              <w:rPr>
                <w:sz w:val="17"/>
                <w:szCs w:val="17"/>
                <w:color w:val="auto"/>
              </w:rPr>
            </w:pPr>
          </w:p>
        </w:tc>
        <w:tc>
          <w:tcPr>
            <w:tcW w:w="9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90"/>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actuarial (gain) loss</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2,796</w:t>
            </w:r>
          </w:p>
        </w:tc>
        <w:tc>
          <w:tcPr>
            <w:tcW w:w="46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right w:val="single" w:sz="8" w:color="0077C0"/>
            </w:tcBorders>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849</w:t>
            </w:r>
          </w:p>
        </w:tc>
        <w:tc>
          <w:tcPr>
            <w:tcW w:w="4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3,161</w:t>
            </w:r>
          </w:p>
        </w:tc>
        <w:tc>
          <w:tcPr>
            <w:tcW w:w="4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823</w:t>
            </w:r>
          </w:p>
        </w:tc>
        <w:tc>
          <w:tcPr>
            <w:tcW w:w="22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right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(401)</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0" w:type="dxa"/>
            <w:vAlign w:val="bottom"/>
          </w:tcPr>
          <w:p>
            <w:pPr>
              <w:spacing w:after="0"/>
              <w:rPr>
                <w:sz w:val="1"/>
                <w:szCs w:val="1"/>
                <w:color w:val="auto"/>
              </w:rPr>
            </w:pPr>
          </w:p>
        </w:tc>
      </w:tr>
      <w:tr>
        <w:trPr>
          <w:trHeight w:val="191"/>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Prior service (credits) costs</w:t>
            </w:r>
          </w:p>
        </w:tc>
        <w:tc>
          <w:tcPr>
            <w:tcW w:w="36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33</w:t>
            </w:r>
          </w:p>
        </w:tc>
        <w:tc>
          <w:tcPr>
            <w:tcW w:w="460" w:type="dxa"/>
            <w:vAlign w:val="bottom"/>
          </w:tcPr>
          <w:p>
            <w:pPr>
              <w:spacing w:after="0"/>
              <w:rPr>
                <w:sz w:val="16"/>
                <w:szCs w:val="16"/>
                <w:color w:val="auto"/>
              </w:rPr>
            </w:pPr>
          </w:p>
        </w:tc>
        <w:tc>
          <w:tcPr>
            <w:tcW w:w="740" w:type="dxa"/>
            <w:vAlign w:val="bottom"/>
            <w:tcBorders>
              <w:right w:val="single" w:sz="8" w:color="0077C0"/>
            </w:tcBorders>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133</w:t>
            </w:r>
          </w:p>
        </w:tc>
        <w:tc>
          <w:tcPr>
            <w:tcW w:w="44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w:t>
            </w:r>
          </w:p>
        </w:tc>
        <w:tc>
          <w:tcPr>
            <w:tcW w:w="440" w:type="dxa"/>
            <w:vAlign w:val="bottom"/>
          </w:tcPr>
          <w:p>
            <w:pPr>
              <w:spacing w:after="0"/>
              <w:rPr>
                <w:sz w:val="16"/>
                <w:szCs w:val="16"/>
                <w:color w:val="auto"/>
              </w:rPr>
            </w:pPr>
          </w:p>
        </w:tc>
        <w:tc>
          <w:tcPr>
            <w:tcW w:w="62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126</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Borders>
              <w:right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(34)</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23"/>
        </w:trPr>
        <w:tc>
          <w:tcPr>
            <w:tcW w:w="4300" w:type="dxa"/>
            <w:vAlign w:val="bottom"/>
            <w:tcBorders>
              <w:bottom w:val="single" w:sz="8" w:color="0077C0"/>
            </w:tcBorders>
          </w:tcPr>
          <w:p>
            <w:pPr>
              <w:spacing w:after="0"/>
              <w:rPr>
                <w:sz w:val="2"/>
                <w:szCs w:val="2"/>
                <w:color w:val="auto"/>
              </w:rPr>
            </w:pPr>
          </w:p>
        </w:tc>
        <w:tc>
          <w:tcPr>
            <w:tcW w:w="36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c>
          <w:tcPr>
            <w:tcW w:w="460" w:type="dxa"/>
            <w:vAlign w:val="bottom"/>
            <w:tcBorders>
              <w:bottom w:val="single" w:sz="8" w:color="0077C0"/>
            </w:tcBorders>
          </w:tcPr>
          <w:p>
            <w:pPr>
              <w:spacing w:after="0"/>
              <w:rPr>
                <w:sz w:val="2"/>
                <w:szCs w:val="2"/>
                <w:color w:val="auto"/>
              </w:rPr>
            </w:pPr>
          </w:p>
        </w:tc>
        <w:tc>
          <w:tcPr>
            <w:tcW w:w="740" w:type="dxa"/>
            <w:vAlign w:val="bottom"/>
            <w:tcBorders>
              <w:bottom w:val="single" w:sz="8" w:color="0077C0"/>
              <w:right w:val="single" w:sz="8" w:color="0077C0"/>
            </w:tcBorders>
          </w:tcPr>
          <w:p>
            <w:pPr>
              <w:spacing w:after="0"/>
              <w:rPr>
                <w:sz w:val="2"/>
                <w:szCs w:val="2"/>
                <w:color w:val="auto"/>
              </w:rPr>
            </w:pPr>
          </w:p>
        </w:tc>
        <w:tc>
          <w:tcPr>
            <w:tcW w:w="440" w:type="dxa"/>
            <w:vAlign w:val="bottom"/>
            <w:tcBorders>
              <w:bottom w:val="single" w:sz="8" w:color="0077C0"/>
            </w:tcBorders>
          </w:tcPr>
          <w:p>
            <w:pPr>
              <w:spacing w:after="0"/>
              <w:rPr>
                <w:sz w:val="2"/>
                <w:szCs w:val="2"/>
                <w:color w:val="auto"/>
              </w:rPr>
            </w:pPr>
          </w:p>
        </w:tc>
        <w:tc>
          <w:tcPr>
            <w:tcW w:w="720" w:type="dxa"/>
            <w:vAlign w:val="bottom"/>
            <w:tcBorders>
              <w:bottom w:val="single" w:sz="8" w:color="0077C0"/>
            </w:tcBorders>
          </w:tcPr>
          <w:p>
            <w:pPr>
              <w:spacing w:after="0"/>
              <w:rPr>
                <w:sz w:val="2"/>
                <w:szCs w:val="2"/>
                <w:color w:val="auto"/>
              </w:rPr>
            </w:pPr>
          </w:p>
        </w:tc>
        <w:tc>
          <w:tcPr>
            <w:tcW w:w="44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0077C0"/>
            </w:tcBorders>
          </w:tcPr>
          <w:p>
            <w:pPr>
              <w:spacing w:after="0"/>
              <w:rPr>
                <w:sz w:val="2"/>
                <w:szCs w:val="2"/>
                <w:color w:val="auto"/>
              </w:rPr>
            </w:pPr>
          </w:p>
        </w:tc>
        <w:tc>
          <w:tcPr>
            <w:tcW w:w="760" w:type="dxa"/>
            <w:vAlign w:val="bottom"/>
            <w:tcBorders>
              <w:bottom w:val="single" w:sz="8" w:color="0077C0"/>
              <w:right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0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recognized at December 31</w:t>
            </w:r>
          </w:p>
        </w:tc>
        <w:tc>
          <w:tcPr>
            <w:tcW w:w="360" w:type="dxa"/>
            <w:vAlign w:val="bottom"/>
            <w:tcBorders>
              <w:bottom w:val="single" w:sz="8" w:color="0077C0"/>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2,829</w:t>
            </w:r>
          </w:p>
        </w:tc>
        <w:tc>
          <w:tcPr>
            <w:tcW w:w="460" w:type="dxa"/>
            <w:vAlign w:val="bottom"/>
            <w:tcBorders>
              <w:bottom w:val="single" w:sz="8" w:color="0077C0"/>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0077C0"/>
              <w:right w:val="single" w:sz="8" w:color="0077C0"/>
            </w:tcBorders>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982</w:t>
            </w:r>
          </w:p>
        </w:tc>
        <w:tc>
          <w:tcPr>
            <w:tcW w:w="440" w:type="dxa"/>
            <w:vAlign w:val="bottom"/>
            <w:tcBorders>
              <w:bottom w:val="single" w:sz="8" w:color="0077C0"/>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color w:val="auto"/>
              </w:rPr>
              <w:t>3,198</w:t>
            </w:r>
          </w:p>
        </w:tc>
        <w:tc>
          <w:tcPr>
            <w:tcW w:w="440" w:type="dxa"/>
            <w:vAlign w:val="bottom"/>
            <w:tcBorders>
              <w:bottom w:val="single" w:sz="8" w:color="0077C0"/>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0077C0"/>
            </w:tcBorders>
          </w:tcPr>
          <w:p>
            <w:pPr>
              <w:jc w:val="center"/>
              <w:ind w:left="208"/>
              <w:spacing w:after="0"/>
              <w:rPr>
                <w:sz w:val="20"/>
                <w:szCs w:val="20"/>
                <w:color w:val="auto"/>
              </w:rPr>
            </w:pPr>
            <w:r>
              <w:rPr>
                <w:rFonts w:ascii="Times New Roman" w:cs="Times New Roman" w:eastAsia="Times New Roman" w:hAnsi="Times New Roman"/>
                <w:sz w:val="14"/>
                <w:szCs w:val="14"/>
                <w:color w:val="auto"/>
              </w:rPr>
              <w:t>949</w:t>
            </w:r>
          </w:p>
        </w:tc>
        <w:tc>
          <w:tcPr>
            <w:tcW w:w="220" w:type="dxa"/>
            <w:vAlign w:val="bottom"/>
            <w:tcBorders>
              <w:bottom w:val="single" w:sz="8" w:color="0077C0"/>
            </w:tcBorders>
          </w:tcPr>
          <w:p>
            <w:pPr>
              <w:spacing w:after="0"/>
              <w:rPr>
                <w:sz w:val="16"/>
                <w:szCs w:val="16"/>
                <w:color w:val="auto"/>
              </w:rPr>
            </w:pPr>
          </w:p>
        </w:tc>
        <w:tc>
          <w:tcPr>
            <w:tcW w:w="380" w:type="dxa"/>
            <w:vAlign w:val="bottom"/>
            <w:tcBorders>
              <w:bottom w:val="single" w:sz="8" w:color="0077C0"/>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0077C0"/>
              <w:right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(435)</w:t>
            </w:r>
          </w:p>
        </w:tc>
        <w:tc>
          <w:tcPr>
            <w:tcW w:w="2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accumulated benefit obligations for all U.S. and international pension plans were $9,053 and $3,066, respectively, at December 31, 2024, and $9,284 and $3,378, respectively, at December 31, 2023.</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for U.S. and international pension plans with an accumulated benefit obligation in excess of plan assets at December 31, 2024 and 2023, was: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Pension Benefits</w:t>
            </w:r>
          </w:p>
        </w:tc>
      </w:tr>
      <w:tr>
        <w:trPr>
          <w:trHeight w:val="23"/>
        </w:trPr>
        <w:tc>
          <w:tcPr>
            <w:tcW w:w="5520" w:type="dxa"/>
            <w:vAlign w:val="bottom"/>
          </w:tcPr>
          <w:p>
            <w:pPr>
              <w:spacing w:after="0"/>
              <w:rPr>
                <w:sz w:val="2"/>
                <w:szCs w:val="2"/>
                <w:color w:val="auto"/>
              </w:rPr>
            </w:pPr>
          </w:p>
        </w:tc>
        <w:tc>
          <w:tcPr>
            <w:tcW w:w="500" w:type="dxa"/>
            <w:vAlign w:val="bottom"/>
            <w:tcBorders>
              <w:bottom w:val="single" w:sz="8" w:color="0077C0"/>
            </w:tcBorders>
          </w:tcPr>
          <w:p>
            <w:pPr>
              <w:spacing w:after="0"/>
              <w:rPr>
                <w:sz w:val="2"/>
                <w:szCs w:val="2"/>
                <w:color w:val="auto"/>
              </w:rPr>
            </w:pPr>
          </w:p>
        </w:tc>
        <w:tc>
          <w:tcPr>
            <w:tcW w:w="84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84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1180" w:type="dxa"/>
            <w:vAlign w:val="bottom"/>
            <w:tcBorders>
              <w:bottom w:val="single" w:sz="8" w:color="0077C0"/>
            </w:tcBorders>
          </w:tcPr>
          <w:p>
            <w:pPr>
              <w:spacing w:after="0"/>
              <w:rPr>
                <w:sz w:val="2"/>
                <w:szCs w:val="2"/>
                <w:color w:val="auto"/>
              </w:rPr>
            </w:pPr>
          </w:p>
        </w:tc>
      </w:tr>
      <w:tr>
        <w:trPr>
          <w:trHeight w:val="190"/>
        </w:trPr>
        <w:tc>
          <w:tcPr>
            <w:tcW w:w="5520" w:type="dxa"/>
            <w:vAlign w:val="bottom"/>
          </w:tcPr>
          <w:p>
            <w:pPr>
              <w:spacing w:after="0"/>
              <w:rPr>
                <w:sz w:val="16"/>
                <w:szCs w:val="16"/>
                <w:color w:val="auto"/>
              </w:rPr>
            </w:pPr>
          </w:p>
        </w:tc>
        <w:tc>
          <w:tcPr>
            <w:tcW w:w="500" w:type="dxa"/>
            <w:vAlign w:val="bottom"/>
            <w:tcBorders>
              <w:bottom w:val="single" w:sz="8" w:color="0077C0"/>
            </w:tcBorders>
          </w:tcPr>
          <w:p>
            <w:pPr>
              <w:spacing w:after="0"/>
              <w:rPr>
                <w:sz w:val="16"/>
                <w:szCs w:val="16"/>
                <w:color w:val="auto"/>
              </w:rPr>
            </w:pPr>
          </w:p>
        </w:tc>
        <w:tc>
          <w:tcPr>
            <w:tcW w:w="840" w:type="dxa"/>
            <w:vAlign w:val="bottom"/>
            <w:tcBorders>
              <w:bottom w:val="single" w:sz="8" w:color="0077C0"/>
            </w:tcBorders>
          </w:tcPr>
          <w:p>
            <w:pPr>
              <w:spacing w:after="0"/>
              <w:rPr>
                <w:sz w:val="16"/>
                <w:szCs w:val="16"/>
                <w:color w:val="auto"/>
              </w:rPr>
            </w:pPr>
          </w:p>
        </w:tc>
        <w:tc>
          <w:tcPr>
            <w:tcW w:w="580" w:type="dxa"/>
            <w:vAlign w:val="bottom"/>
            <w:tcBorders>
              <w:bottom w:val="single" w:sz="8" w:color="0077C0"/>
            </w:tcBorders>
          </w:tcPr>
          <w:p>
            <w:pPr>
              <w:spacing w:after="0"/>
              <w:rPr>
                <w:sz w:val="16"/>
                <w:szCs w:val="16"/>
                <w:color w:val="auto"/>
              </w:rPr>
            </w:pPr>
          </w:p>
        </w:tc>
        <w:tc>
          <w:tcPr>
            <w:tcW w:w="88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0077C0"/>
            </w:tcBorders>
          </w:tcPr>
          <w:p>
            <w:pPr>
              <w:spacing w:after="0"/>
              <w:rPr>
                <w:sz w:val="16"/>
                <w:szCs w:val="16"/>
                <w:color w:val="auto"/>
              </w:rPr>
            </w:pPr>
          </w:p>
        </w:tc>
        <w:tc>
          <w:tcPr>
            <w:tcW w:w="840" w:type="dxa"/>
            <w:vAlign w:val="bottom"/>
            <w:tcBorders>
              <w:bottom w:val="single" w:sz="8" w:color="0077C0"/>
            </w:tcBorders>
          </w:tcPr>
          <w:p>
            <w:pPr>
              <w:spacing w:after="0"/>
              <w:rPr>
                <w:sz w:val="16"/>
                <w:szCs w:val="16"/>
                <w:color w:val="auto"/>
              </w:rPr>
            </w:pPr>
          </w:p>
        </w:tc>
        <w:tc>
          <w:tcPr>
            <w:tcW w:w="320" w:type="dxa"/>
            <w:vAlign w:val="bottom"/>
            <w:tcBorders>
              <w:bottom w:val="single" w:sz="8" w:color="0077C0"/>
            </w:tcBorders>
          </w:tcPr>
          <w:p>
            <w:pPr>
              <w:spacing w:after="0"/>
              <w:rPr>
                <w:sz w:val="16"/>
                <w:szCs w:val="16"/>
                <w:color w:val="auto"/>
              </w:rPr>
            </w:pPr>
          </w:p>
        </w:tc>
        <w:tc>
          <w:tcPr>
            <w:tcW w:w="11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196"/>
        </w:trPr>
        <w:tc>
          <w:tcPr>
            <w:tcW w:w="5520" w:type="dxa"/>
            <w:vAlign w:val="bottom"/>
            <w:tcBorders>
              <w:bottom w:val="single" w:sz="8" w:color="0077C0"/>
            </w:tcBorders>
          </w:tcPr>
          <w:p>
            <w:pPr>
              <w:spacing w:after="0"/>
              <w:rPr>
                <w:sz w:val="17"/>
                <w:szCs w:val="17"/>
                <w:color w:val="auto"/>
              </w:rPr>
            </w:pPr>
          </w:p>
        </w:tc>
        <w:tc>
          <w:tcPr>
            <w:tcW w:w="500" w:type="dxa"/>
            <w:vAlign w:val="bottom"/>
            <w:tcBorders>
              <w:bottom w:val="single" w:sz="8" w:color="0077C0"/>
            </w:tcBorders>
          </w:tcPr>
          <w:p>
            <w:pPr>
              <w:spacing w:after="0"/>
              <w:rPr>
                <w:sz w:val="17"/>
                <w:szCs w:val="17"/>
                <w:color w:val="auto"/>
              </w:rPr>
            </w:pPr>
          </w:p>
        </w:tc>
        <w:tc>
          <w:tcPr>
            <w:tcW w:w="8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w:t>
            </w:r>
          </w:p>
        </w:tc>
        <w:tc>
          <w:tcPr>
            <w:tcW w:w="580" w:type="dxa"/>
            <w:vAlign w:val="bottom"/>
            <w:tcBorders>
              <w:bottom w:val="single" w:sz="8" w:color="0077C0"/>
            </w:tcBorders>
          </w:tcPr>
          <w:p>
            <w:pPr>
              <w:spacing w:after="0"/>
              <w:rPr>
                <w:sz w:val="17"/>
                <w:szCs w:val="17"/>
                <w:color w:val="auto"/>
              </w:rPr>
            </w:pPr>
          </w:p>
        </w:tc>
        <w:tc>
          <w:tcPr>
            <w:tcW w:w="88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Int’l.</w:t>
            </w:r>
          </w:p>
        </w:tc>
        <w:tc>
          <w:tcPr>
            <w:tcW w:w="580" w:type="dxa"/>
            <w:vAlign w:val="bottom"/>
            <w:tcBorders>
              <w:bottom w:val="single" w:sz="8" w:color="0077C0"/>
            </w:tcBorders>
          </w:tcPr>
          <w:p>
            <w:pPr>
              <w:spacing w:after="0"/>
              <w:rPr>
                <w:sz w:val="17"/>
                <w:szCs w:val="17"/>
                <w:color w:val="auto"/>
              </w:rPr>
            </w:pPr>
          </w:p>
        </w:tc>
        <w:tc>
          <w:tcPr>
            <w:tcW w:w="84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U.S.</w:t>
            </w:r>
          </w:p>
        </w:tc>
        <w:tc>
          <w:tcPr>
            <w:tcW w:w="320" w:type="dxa"/>
            <w:vAlign w:val="bottom"/>
            <w:tcBorders>
              <w:bottom w:val="single" w:sz="8" w:color="0077C0"/>
            </w:tcBorders>
          </w:tcPr>
          <w:p>
            <w:pPr>
              <w:spacing w:after="0"/>
              <w:rPr>
                <w:sz w:val="17"/>
                <w:szCs w:val="17"/>
                <w:color w:val="auto"/>
              </w:rPr>
            </w:pPr>
          </w:p>
        </w:tc>
        <w:tc>
          <w:tcPr>
            <w:tcW w:w="11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Int’l.</w:t>
            </w:r>
          </w:p>
        </w:tc>
      </w:tr>
      <w:tr>
        <w:trPr>
          <w:trHeight w:val="190"/>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Projected benefit obligations</w:t>
            </w:r>
          </w:p>
        </w:tc>
        <w:tc>
          <w:tcPr>
            <w:tcW w:w="5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1,214</w:t>
            </w:r>
          </w:p>
        </w:tc>
        <w:tc>
          <w:tcPr>
            <w:tcW w:w="58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884</w:t>
            </w:r>
          </w:p>
        </w:tc>
        <w:tc>
          <w:tcPr>
            <w:tcW w:w="5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1,203</w:t>
            </w:r>
          </w:p>
        </w:tc>
        <w:tc>
          <w:tcPr>
            <w:tcW w:w="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w:t>
            </w:r>
          </w:p>
        </w:tc>
      </w:tr>
      <w:tr>
        <w:trPr>
          <w:trHeight w:val="191"/>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benefit obligations</w:t>
            </w:r>
          </w:p>
        </w:tc>
        <w:tc>
          <w:tcPr>
            <w:tcW w:w="50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1,145</w:t>
            </w:r>
          </w:p>
        </w:tc>
        <w:tc>
          <w:tcPr>
            <w:tcW w:w="580" w:type="dxa"/>
            <w:vAlign w:val="bottom"/>
          </w:tcPr>
          <w:p>
            <w:pPr>
              <w:spacing w:after="0"/>
              <w:rPr>
                <w:sz w:val="16"/>
                <w:szCs w:val="16"/>
                <w:color w:val="auto"/>
              </w:rPr>
            </w:pPr>
          </w:p>
        </w:tc>
        <w:tc>
          <w:tcPr>
            <w:tcW w:w="88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744</w:t>
            </w:r>
          </w:p>
        </w:tc>
        <w:tc>
          <w:tcPr>
            <w:tcW w:w="58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1,108</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w:t>
            </w:r>
          </w:p>
        </w:tc>
      </w:tr>
      <w:tr>
        <w:trPr>
          <w:trHeight w:val="203"/>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of plan assets</w:t>
            </w:r>
          </w:p>
        </w:tc>
        <w:tc>
          <w:tcPr>
            <w:tcW w:w="500" w:type="dxa"/>
            <w:vAlign w:val="bottom"/>
          </w:tcPr>
          <w:p>
            <w:pPr>
              <w:spacing w:after="0"/>
              <w:rPr>
                <w:sz w:val="17"/>
                <w:szCs w:val="17"/>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7</w:t>
            </w:r>
          </w:p>
        </w:tc>
        <w:tc>
          <w:tcPr>
            <w:tcW w:w="580" w:type="dxa"/>
            <w:vAlign w:val="bottom"/>
          </w:tcPr>
          <w:p>
            <w:pPr>
              <w:spacing w:after="0"/>
              <w:rPr>
                <w:sz w:val="17"/>
                <w:szCs w:val="17"/>
                <w:color w:val="auto"/>
              </w:rPr>
            </w:pPr>
          </w:p>
        </w:tc>
        <w:tc>
          <w:tcPr>
            <w:tcW w:w="88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w:t>
            </w:r>
          </w:p>
        </w:tc>
        <w:tc>
          <w:tcPr>
            <w:tcW w:w="580" w:type="dxa"/>
            <w:vAlign w:val="bottom"/>
          </w:tcPr>
          <w:p>
            <w:pPr>
              <w:spacing w:after="0"/>
              <w:rPr>
                <w:sz w:val="17"/>
                <w:szCs w:val="17"/>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3"/>
        </w:trPr>
        <w:tc>
          <w:tcPr>
            <w:tcW w:w="5520" w:type="dxa"/>
            <w:vAlign w:val="bottom"/>
            <w:tcBorders>
              <w:bottom w:val="single" w:sz="8" w:color="0077C0"/>
            </w:tcBorders>
          </w:tcPr>
          <w:p>
            <w:pPr>
              <w:spacing w:after="0"/>
              <w:rPr>
                <w:sz w:val="2"/>
                <w:szCs w:val="2"/>
                <w:color w:val="auto"/>
              </w:rPr>
            </w:pPr>
          </w:p>
        </w:tc>
        <w:tc>
          <w:tcPr>
            <w:tcW w:w="500" w:type="dxa"/>
            <w:vAlign w:val="bottom"/>
            <w:tcBorders>
              <w:bottom w:val="single" w:sz="8" w:color="0077C0"/>
            </w:tcBorders>
          </w:tcPr>
          <w:p>
            <w:pPr>
              <w:spacing w:after="0"/>
              <w:rPr>
                <w:sz w:val="2"/>
                <w:szCs w:val="2"/>
                <w:color w:val="auto"/>
              </w:rPr>
            </w:pPr>
          </w:p>
        </w:tc>
        <w:tc>
          <w:tcPr>
            <w:tcW w:w="84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880" w:type="dxa"/>
            <w:vAlign w:val="bottom"/>
            <w:tcBorders>
              <w:bottom w:val="single" w:sz="8" w:color="0077C0"/>
              <w:right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84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1180" w:type="dxa"/>
            <w:vAlign w:val="bottom"/>
            <w:tcBorders>
              <w:bottom w:val="single" w:sz="8" w:color="0077C0"/>
            </w:tcBorders>
          </w:tcPr>
          <w:p>
            <w:pPr>
              <w:spacing w:after="0"/>
              <w:rPr>
                <w:sz w:val="2"/>
                <w:szCs w:val="2"/>
                <w:color w:val="auto"/>
              </w:rPr>
            </w:pPr>
          </w:p>
        </w:tc>
      </w:tr>
    </w:tbl>
    <w:p>
      <w:pPr>
        <w:spacing w:after="0" w:line="117"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The components of net periodic benefit cost and amounts recognized in the Consolidated Statement of Comprehensive Income for 2024, 2023 and 2022 are shown in the table below:</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96" w:name="page97"/>
    <w:bookmarkEnd w:id="96"/>
    <w:p>
      <w:pPr>
        <w:ind w:left="20"/>
        <w:spacing w:after="0"/>
        <w:rPr>
          <w:sz w:val="20"/>
          <w:szCs w:val="20"/>
          <w:color w:val="auto"/>
        </w:rPr>
      </w:pPr>
      <w:r>
        <w:rPr>
          <w:rFonts w:ascii="Arial" w:cs="Arial" w:eastAsia="Arial" w:hAnsi="Arial"/>
          <w:sz w:val="14"/>
          <w:szCs w:val="14"/>
          <w:color w:val="0077C0"/>
        </w:rPr>
        <w:t>Notes to the Consolidated Financial Statements</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11"/>
          <w:szCs w:val="11"/>
          <w:color w:val="0077C0"/>
        </w:rPr>
        <w:t>Millions of dollars, except per-share amounts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Pension Benefits</w:t>
            </w: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50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34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240" w:type="dxa"/>
            <w:vAlign w:val="bottom"/>
            <w:tcBorders>
              <w:bottom w:val="single" w:sz="8" w:color="0077C0"/>
            </w:tcBorders>
          </w:tcPr>
          <w:p>
            <w:pPr>
              <w:spacing w:after="0"/>
              <w:rPr>
                <w:sz w:val="2"/>
                <w:szCs w:val="2"/>
                <w:color w:val="auto"/>
              </w:rPr>
            </w:pPr>
          </w:p>
        </w:tc>
        <w:tc>
          <w:tcPr>
            <w:tcW w:w="50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50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20" w:type="dxa"/>
            <w:vAlign w:val="bottom"/>
          </w:tcPr>
          <w:p>
            <w:pPr>
              <w:spacing w:after="0"/>
              <w:rPr>
                <w:sz w:val="16"/>
                <w:szCs w:val="16"/>
                <w:color w:val="auto"/>
              </w:rPr>
            </w:pPr>
          </w:p>
        </w:tc>
        <w:tc>
          <w:tcPr>
            <w:tcW w:w="260" w:type="dxa"/>
            <w:vAlign w:val="bottom"/>
            <w:tcBorders>
              <w:bottom w:val="single" w:sz="8" w:color="0077C0"/>
            </w:tcBorders>
          </w:tcPr>
          <w:p>
            <w:pPr>
              <w:spacing w:after="0"/>
              <w:rPr>
                <w:sz w:val="16"/>
                <w:szCs w:val="16"/>
                <w:color w:val="auto"/>
              </w:rPr>
            </w:pPr>
          </w:p>
        </w:tc>
        <w:tc>
          <w:tcPr>
            <w:tcW w:w="500" w:type="dxa"/>
            <w:vAlign w:val="bottom"/>
            <w:tcBorders>
              <w:bottom w:val="single" w:sz="8" w:color="0077C0"/>
            </w:tcBorders>
          </w:tcPr>
          <w:p>
            <w:pPr>
              <w:spacing w:after="0"/>
              <w:rPr>
                <w:sz w:val="16"/>
                <w:szCs w:val="16"/>
                <w:color w:val="auto"/>
              </w:rPr>
            </w:pPr>
          </w:p>
        </w:tc>
        <w:tc>
          <w:tcPr>
            <w:tcW w:w="26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0077C0"/>
            </w:tcBorders>
          </w:tcPr>
          <w:p>
            <w:pPr>
              <w:spacing w:after="0"/>
              <w:rPr>
                <w:sz w:val="16"/>
                <w:szCs w:val="16"/>
                <w:color w:val="auto"/>
              </w:rPr>
            </w:pPr>
          </w:p>
        </w:tc>
        <w:tc>
          <w:tcPr>
            <w:tcW w:w="520" w:type="dxa"/>
            <w:vAlign w:val="bottom"/>
            <w:tcBorders>
              <w:bottom w:val="single" w:sz="8" w:color="0077C0"/>
            </w:tcBorders>
          </w:tcPr>
          <w:p>
            <w:pPr>
              <w:spacing w:after="0"/>
              <w:rPr>
                <w:sz w:val="16"/>
                <w:szCs w:val="16"/>
                <w:color w:val="auto"/>
              </w:rPr>
            </w:pPr>
          </w:p>
        </w:tc>
        <w:tc>
          <w:tcPr>
            <w:tcW w:w="240" w:type="dxa"/>
            <w:vAlign w:val="bottom"/>
            <w:tcBorders>
              <w:bottom w:val="single" w:sz="8" w:color="0077C0"/>
            </w:tcBorders>
          </w:tcPr>
          <w:p>
            <w:pPr>
              <w:spacing w:after="0"/>
              <w:rPr>
                <w:sz w:val="16"/>
                <w:szCs w:val="16"/>
                <w:color w:val="auto"/>
              </w:rPr>
            </w:pPr>
          </w:p>
        </w:tc>
        <w:tc>
          <w:tcPr>
            <w:tcW w:w="5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260" w:type="dxa"/>
            <w:vAlign w:val="bottom"/>
            <w:tcBorders>
              <w:bottom w:val="single" w:sz="8" w:color="0077C0"/>
            </w:tcBorders>
          </w:tcPr>
          <w:p>
            <w:pPr>
              <w:spacing w:after="0"/>
              <w:rPr>
                <w:sz w:val="16"/>
                <w:szCs w:val="16"/>
                <w:color w:val="auto"/>
              </w:rPr>
            </w:pPr>
          </w:p>
        </w:tc>
        <w:tc>
          <w:tcPr>
            <w:tcW w:w="500" w:type="dxa"/>
            <w:vAlign w:val="bottom"/>
            <w:tcBorders>
              <w:bottom w:val="single" w:sz="8" w:color="0077C0"/>
            </w:tcBorders>
          </w:tcPr>
          <w:p>
            <w:pPr>
              <w:spacing w:after="0"/>
              <w:rPr>
                <w:sz w:val="16"/>
                <w:szCs w:val="16"/>
                <w:color w:val="auto"/>
              </w:rPr>
            </w:pPr>
          </w:p>
        </w:tc>
        <w:tc>
          <w:tcPr>
            <w:tcW w:w="260" w:type="dxa"/>
            <w:vAlign w:val="bottom"/>
            <w:tcBorders>
              <w:bottom w:val="single" w:sz="8" w:color="0077C0"/>
            </w:tcBorders>
          </w:tcPr>
          <w:p>
            <w:pPr>
              <w:spacing w:after="0"/>
              <w:rPr>
                <w:sz w:val="16"/>
                <w:szCs w:val="16"/>
                <w:color w:val="auto"/>
              </w:rPr>
            </w:pPr>
          </w:p>
        </w:tc>
        <w:tc>
          <w:tcPr>
            <w:tcW w:w="5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196"/>
        </w:trPr>
        <w:tc>
          <w:tcPr>
            <w:tcW w:w="3620" w:type="dxa"/>
            <w:vAlign w:val="bottom"/>
            <w:tcBorders>
              <w:bottom w:val="single" w:sz="8" w:color="0077C0"/>
            </w:tcBorders>
          </w:tcPr>
          <w:p>
            <w:pPr>
              <w:spacing w:after="0"/>
              <w:rPr>
                <w:sz w:val="17"/>
                <w:szCs w:val="17"/>
                <w:color w:val="auto"/>
              </w:rPr>
            </w:pPr>
          </w:p>
        </w:tc>
        <w:tc>
          <w:tcPr>
            <w:tcW w:w="260" w:type="dxa"/>
            <w:vAlign w:val="bottom"/>
            <w:tcBorders>
              <w:bottom w:val="single" w:sz="8" w:color="0077C0"/>
            </w:tcBorders>
          </w:tcPr>
          <w:p>
            <w:pPr>
              <w:spacing w:after="0"/>
              <w:rPr>
                <w:sz w:val="17"/>
                <w:szCs w:val="17"/>
                <w:color w:val="auto"/>
              </w:rPr>
            </w:pPr>
          </w:p>
        </w:tc>
        <w:tc>
          <w:tcPr>
            <w:tcW w:w="5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w:t>
            </w:r>
          </w:p>
        </w:tc>
        <w:tc>
          <w:tcPr>
            <w:tcW w:w="260" w:type="dxa"/>
            <w:vAlign w:val="bottom"/>
            <w:tcBorders>
              <w:bottom w:val="single" w:sz="8" w:color="0077C0"/>
            </w:tcBorders>
          </w:tcPr>
          <w:p>
            <w:pPr>
              <w:spacing w:after="0"/>
              <w:rPr>
                <w:sz w:val="17"/>
                <w:szCs w:val="17"/>
                <w:color w:val="auto"/>
              </w:rPr>
            </w:pPr>
          </w:p>
        </w:tc>
        <w:tc>
          <w:tcPr>
            <w:tcW w:w="62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Int’l.</w:t>
            </w:r>
          </w:p>
        </w:tc>
        <w:tc>
          <w:tcPr>
            <w:tcW w:w="340" w:type="dxa"/>
            <w:vAlign w:val="bottom"/>
            <w:tcBorders>
              <w:bottom w:val="single" w:sz="8" w:color="0077C0"/>
            </w:tcBorders>
          </w:tcPr>
          <w:p>
            <w:pPr>
              <w:spacing w:after="0"/>
              <w:rPr>
                <w:sz w:val="17"/>
                <w:szCs w:val="17"/>
                <w:color w:val="auto"/>
              </w:rPr>
            </w:pPr>
          </w:p>
        </w:tc>
        <w:tc>
          <w:tcPr>
            <w:tcW w:w="5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U.S.</w:t>
            </w:r>
          </w:p>
        </w:tc>
        <w:tc>
          <w:tcPr>
            <w:tcW w:w="240" w:type="dxa"/>
            <w:vAlign w:val="bottom"/>
            <w:tcBorders>
              <w:bottom w:val="single" w:sz="8" w:color="0077C0"/>
            </w:tcBorders>
          </w:tcPr>
          <w:p>
            <w:pPr>
              <w:spacing w:after="0"/>
              <w:rPr>
                <w:sz w:val="17"/>
                <w:szCs w:val="17"/>
                <w:color w:val="auto"/>
              </w:rPr>
            </w:pPr>
          </w:p>
        </w:tc>
        <w:tc>
          <w:tcPr>
            <w:tcW w:w="5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Int’l.</w:t>
            </w:r>
          </w:p>
        </w:tc>
        <w:tc>
          <w:tcPr>
            <w:tcW w:w="260" w:type="dxa"/>
            <w:vAlign w:val="bottom"/>
            <w:tcBorders>
              <w:bottom w:val="single" w:sz="8" w:color="0077C0"/>
            </w:tcBorders>
          </w:tcPr>
          <w:p>
            <w:pPr>
              <w:spacing w:after="0"/>
              <w:rPr>
                <w:sz w:val="17"/>
                <w:szCs w:val="17"/>
                <w:color w:val="auto"/>
              </w:rPr>
            </w:pPr>
          </w:p>
        </w:tc>
        <w:tc>
          <w:tcPr>
            <w:tcW w:w="5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U.S.</w:t>
            </w:r>
          </w:p>
        </w:tc>
        <w:tc>
          <w:tcPr>
            <w:tcW w:w="260" w:type="dxa"/>
            <w:vAlign w:val="bottom"/>
            <w:tcBorders>
              <w:bottom w:val="single" w:sz="8" w:color="0077C0"/>
            </w:tcBorders>
          </w:tcPr>
          <w:p>
            <w:pPr>
              <w:spacing w:after="0"/>
              <w:rPr>
                <w:sz w:val="17"/>
                <w:szCs w:val="17"/>
                <w:color w:val="auto"/>
              </w:rPr>
            </w:pPr>
          </w:p>
        </w:tc>
        <w:tc>
          <w:tcPr>
            <w:tcW w:w="5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Int’l.</w:t>
            </w:r>
          </w:p>
        </w:tc>
        <w:tc>
          <w:tcPr>
            <w:tcW w:w="0" w:type="dxa"/>
            <w:vAlign w:val="bottom"/>
          </w:tcPr>
          <w:p>
            <w:pPr>
              <w:spacing w:after="0"/>
              <w:rPr>
                <w:sz w:val="1"/>
                <w:szCs w:val="1"/>
                <w:color w:val="auto"/>
              </w:rPr>
            </w:pPr>
          </w:p>
        </w:tc>
      </w:tr>
      <w:tr>
        <w:trPr>
          <w:trHeight w:val="188"/>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Periodic Benefit Cost</w:t>
            </w: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Borders>
              <w:right w:val="single" w:sz="8" w:color="0077C0"/>
            </w:tcBorders>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Service cost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357</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54</w:t>
            </w:r>
          </w:p>
        </w:tc>
        <w:tc>
          <w:tcPr>
            <w:tcW w:w="3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342</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203"/>
        </w:trPr>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cost</w:t>
            </w:r>
          </w:p>
        </w:tc>
        <w:tc>
          <w:tcPr>
            <w:tcW w:w="2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465</w:t>
            </w:r>
          </w:p>
        </w:tc>
        <w:tc>
          <w:tcPr>
            <w:tcW w:w="260" w:type="dxa"/>
            <w:vAlign w:val="bottom"/>
          </w:tcPr>
          <w:p>
            <w:pPr>
              <w:spacing w:after="0"/>
              <w:rPr>
                <w:sz w:val="17"/>
                <w:szCs w:val="17"/>
                <w:color w:val="auto"/>
              </w:rPr>
            </w:pPr>
          </w:p>
        </w:tc>
        <w:tc>
          <w:tcPr>
            <w:tcW w:w="62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191</w:t>
            </w:r>
          </w:p>
        </w:tc>
        <w:tc>
          <w:tcPr>
            <w:tcW w:w="34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448</w:t>
            </w:r>
          </w:p>
        </w:tc>
        <w:tc>
          <w:tcPr>
            <w:tcW w:w="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2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26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203"/>
        </w:trPr>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2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(597)</w:t>
            </w:r>
          </w:p>
        </w:tc>
        <w:tc>
          <w:tcPr>
            <w:tcW w:w="260" w:type="dxa"/>
            <w:vAlign w:val="bottom"/>
          </w:tcPr>
          <w:p>
            <w:pPr>
              <w:spacing w:after="0"/>
              <w:rPr>
                <w:sz w:val="17"/>
                <w:szCs w:val="17"/>
                <w:color w:val="auto"/>
              </w:rPr>
            </w:pPr>
          </w:p>
        </w:tc>
        <w:tc>
          <w:tcPr>
            <w:tcW w:w="620" w:type="dxa"/>
            <w:vAlign w:val="bottom"/>
            <w:tcBorders>
              <w:right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(196)</w:t>
            </w:r>
          </w:p>
        </w:tc>
        <w:tc>
          <w:tcPr>
            <w:tcW w:w="3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2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2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0" w:type="dxa"/>
            <w:vAlign w:val="bottom"/>
          </w:tcPr>
          <w:p>
            <w:pPr>
              <w:spacing w:after="0"/>
              <w:rPr>
                <w:sz w:val="1"/>
                <w:szCs w:val="1"/>
                <w:color w:val="auto"/>
              </w:rPr>
            </w:pPr>
          </w:p>
        </w:tc>
      </w:tr>
      <w:tr>
        <w:trPr>
          <w:trHeight w:val="203"/>
        </w:trPr>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Amortization of prior service costs (credits)</w:t>
            </w:r>
          </w:p>
        </w:tc>
        <w:tc>
          <w:tcPr>
            <w:tcW w:w="2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260" w:type="dxa"/>
            <w:vAlign w:val="bottom"/>
          </w:tcPr>
          <w:p>
            <w:pPr>
              <w:spacing w:after="0"/>
              <w:rPr>
                <w:sz w:val="17"/>
                <w:szCs w:val="17"/>
                <w:color w:val="auto"/>
              </w:rPr>
            </w:pPr>
          </w:p>
        </w:tc>
        <w:tc>
          <w:tcPr>
            <w:tcW w:w="62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11</w:t>
            </w:r>
          </w:p>
        </w:tc>
        <w:tc>
          <w:tcPr>
            <w:tcW w:w="34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3"/>
        </w:trPr>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Recognized actuarial (gains) losses</w:t>
            </w:r>
          </w:p>
        </w:tc>
        <w:tc>
          <w:tcPr>
            <w:tcW w:w="2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243</w:t>
            </w:r>
          </w:p>
        </w:tc>
        <w:tc>
          <w:tcPr>
            <w:tcW w:w="260" w:type="dxa"/>
            <w:vAlign w:val="bottom"/>
          </w:tcPr>
          <w:p>
            <w:pPr>
              <w:spacing w:after="0"/>
              <w:rPr>
                <w:sz w:val="17"/>
                <w:szCs w:val="17"/>
                <w:color w:val="auto"/>
              </w:rPr>
            </w:pPr>
          </w:p>
        </w:tc>
        <w:tc>
          <w:tcPr>
            <w:tcW w:w="62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18</w:t>
            </w:r>
          </w:p>
        </w:tc>
        <w:tc>
          <w:tcPr>
            <w:tcW w:w="34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199</w:t>
            </w:r>
          </w:p>
        </w:tc>
        <w:tc>
          <w:tcPr>
            <w:tcW w:w="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26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3"/>
        </w:trPr>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Settlement losses (gains)</w:t>
            </w:r>
          </w:p>
        </w:tc>
        <w:tc>
          <w:tcPr>
            <w:tcW w:w="2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7"/>
                <w:szCs w:val="17"/>
                <w:color w:val="auto"/>
              </w:rPr>
            </w:pPr>
          </w:p>
        </w:tc>
        <w:tc>
          <w:tcPr>
            <w:tcW w:w="62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w:t>
            </w:r>
          </w:p>
        </w:tc>
        <w:tc>
          <w:tcPr>
            <w:tcW w:w="34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w:t>
            </w:r>
          </w:p>
        </w:tc>
        <w:tc>
          <w:tcPr>
            <w:tcW w:w="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2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3"/>
        </w:trPr>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Curtailment losses (gains)</w:t>
            </w:r>
          </w:p>
        </w:tc>
        <w:tc>
          <w:tcPr>
            <w:tcW w:w="2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62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3"/>
        </w:trPr>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termination benefits</w:t>
            </w:r>
          </w:p>
        </w:tc>
        <w:tc>
          <w:tcPr>
            <w:tcW w:w="2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62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Acquisition/Divestiture losses (gains)</w:t>
            </w:r>
          </w:p>
        </w:tc>
        <w:tc>
          <w:tcPr>
            <w:tcW w:w="2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7"/>
                <w:szCs w:val="17"/>
                <w:color w:val="auto"/>
              </w:rPr>
            </w:pPr>
          </w:p>
        </w:tc>
        <w:tc>
          <w:tcPr>
            <w:tcW w:w="62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62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50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620" w:type="dxa"/>
            <w:vAlign w:val="bottom"/>
            <w:tcBorders>
              <w:bottom w:val="single" w:sz="8" w:color="0077C0"/>
              <w:right w:val="single" w:sz="8" w:color="0077C0"/>
            </w:tcBorders>
          </w:tcPr>
          <w:p>
            <w:pPr>
              <w:spacing w:after="0"/>
              <w:rPr>
                <w:sz w:val="2"/>
                <w:szCs w:val="2"/>
                <w:color w:val="auto"/>
              </w:rPr>
            </w:pPr>
          </w:p>
        </w:tc>
        <w:tc>
          <w:tcPr>
            <w:tcW w:w="34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240" w:type="dxa"/>
            <w:vAlign w:val="bottom"/>
            <w:tcBorders>
              <w:bottom w:val="single" w:sz="8" w:color="0077C0"/>
            </w:tcBorders>
          </w:tcPr>
          <w:p>
            <w:pPr>
              <w:spacing w:after="0"/>
              <w:rPr>
                <w:sz w:val="2"/>
                <w:szCs w:val="2"/>
                <w:color w:val="auto"/>
              </w:rPr>
            </w:pPr>
          </w:p>
        </w:tc>
        <w:tc>
          <w:tcPr>
            <w:tcW w:w="50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50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net periodic benefit cost</w:t>
            </w:r>
          </w:p>
        </w:tc>
        <w:tc>
          <w:tcPr>
            <w:tcW w:w="2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472</w:t>
            </w:r>
          </w:p>
        </w:tc>
        <w:tc>
          <w:tcPr>
            <w:tcW w:w="260" w:type="dxa"/>
            <w:vAlign w:val="bottom"/>
          </w:tcPr>
          <w:p>
            <w:pPr>
              <w:spacing w:after="0"/>
              <w:rPr>
                <w:sz w:val="15"/>
                <w:szCs w:val="15"/>
                <w:color w:val="auto"/>
              </w:rPr>
            </w:pPr>
          </w:p>
        </w:tc>
        <w:tc>
          <w:tcPr>
            <w:tcW w:w="62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79</w:t>
            </w:r>
          </w:p>
        </w:tc>
        <w:tc>
          <w:tcPr>
            <w:tcW w:w="340" w:type="dxa"/>
            <w:vAlign w:val="bottom"/>
          </w:tcPr>
          <w:p>
            <w:pPr>
              <w:spacing w:after="0"/>
              <w:rPr>
                <w:sz w:val="15"/>
                <w:szCs w:val="15"/>
                <w:color w:val="auto"/>
              </w:rPr>
            </w:pP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492</w:t>
            </w: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260" w:type="dxa"/>
            <w:vAlign w:val="bottom"/>
          </w:tcPr>
          <w:p>
            <w:pPr>
              <w:spacing w:after="0"/>
              <w:rPr>
                <w:sz w:val="15"/>
                <w:szCs w:val="15"/>
                <w:color w:val="auto"/>
              </w:rPr>
            </w:pP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9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Recognized in Comprehensive Income</w:t>
            </w: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Borders>
              <w:right w:val="single" w:sz="8" w:color="0077C0"/>
            </w:tcBorders>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actuarial (gain) loss during period</w:t>
            </w:r>
          </w:p>
        </w:tc>
        <w:tc>
          <w:tcPr>
            <w:tcW w:w="2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(122)</w:t>
            </w:r>
          </w:p>
        </w:tc>
        <w:tc>
          <w:tcPr>
            <w:tcW w:w="260" w:type="dxa"/>
            <w:vAlign w:val="bottom"/>
          </w:tcPr>
          <w:p>
            <w:pPr>
              <w:spacing w:after="0"/>
              <w:rPr>
                <w:sz w:val="17"/>
                <w:szCs w:val="17"/>
                <w:color w:val="auto"/>
              </w:rPr>
            </w:pPr>
          </w:p>
        </w:tc>
        <w:tc>
          <w:tcPr>
            <w:tcW w:w="62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45</w:t>
            </w:r>
          </w:p>
        </w:tc>
        <w:tc>
          <w:tcPr>
            <w:tcW w:w="34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270</w:t>
            </w:r>
          </w:p>
        </w:tc>
        <w:tc>
          <w:tcPr>
            <w:tcW w:w="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2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2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0" w:type="dxa"/>
            <w:vAlign w:val="bottom"/>
          </w:tcPr>
          <w:p>
            <w:pPr>
              <w:spacing w:after="0"/>
              <w:rPr>
                <w:sz w:val="1"/>
                <w:szCs w:val="1"/>
                <w:color w:val="auto"/>
              </w:rPr>
            </w:pPr>
          </w:p>
        </w:tc>
      </w:tr>
      <w:tr>
        <w:trPr>
          <w:trHeight w:val="203"/>
        </w:trPr>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Amortization of actuarial (gain) loss</w:t>
            </w:r>
          </w:p>
        </w:tc>
        <w:tc>
          <w:tcPr>
            <w:tcW w:w="2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(243)</w:t>
            </w:r>
          </w:p>
        </w:tc>
        <w:tc>
          <w:tcPr>
            <w:tcW w:w="260" w:type="dxa"/>
            <w:vAlign w:val="bottom"/>
          </w:tcPr>
          <w:p>
            <w:pPr>
              <w:spacing w:after="0"/>
              <w:rPr>
                <w:sz w:val="17"/>
                <w:szCs w:val="17"/>
                <w:color w:val="auto"/>
              </w:rPr>
            </w:pPr>
          </w:p>
        </w:tc>
        <w:tc>
          <w:tcPr>
            <w:tcW w:w="620" w:type="dxa"/>
            <w:vAlign w:val="bottom"/>
            <w:tcBorders>
              <w:right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(19)</w:t>
            </w:r>
          </w:p>
        </w:tc>
        <w:tc>
          <w:tcPr>
            <w:tcW w:w="3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2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3"/>
        </w:trPr>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Prior service (credits) costs during period</w:t>
            </w:r>
          </w:p>
        </w:tc>
        <w:tc>
          <w:tcPr>
            <w:tcW w:w="2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7"/>
                <w:szCs w:val="17"/>
                <w:color w:val="auto"/>
              </w:rPr>
            </w:pPr>
          </w:p>
        </w:tc>
        <w:tc>
          <w:tcPr>
            <w:tcW w:w="62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18</w:t>
            </w:r>
          </w:p>
        </w:tc>
        <w:tc>
          <w:tcPr>
            <w:tcW w:w="34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6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03"/>
        </w:trPr>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Amortization of prior service (costs) credits</w:t>
            </w:r>
          </w:p>
        </w:tc>
        <w:tc>
          <w:tcPr>
            <w:tcW w:w="2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260" w:type="dxa"/>
            <w:vAlign w:val="bottom"/>
          </w:tcPr>
          <w:p>
            <w:pPr>
              <w:spacing w:after="0"/>
              <w:rPr>
                <w:sz w:val="17"/>
                <w:szCs w:val="17"/>
                <w:color w:val="auto"/>
              </w:rPr>
            </w:pPr>
          </w:p>
        </w:tc>
        <w:tc>
          <w:tcPr>
            <w:tcW w:w="620" w:type="dxa"/>
            <w:vAlign w:val="bottom"/>
            <w:tcBorders>
              <w:right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(11)</w:t>
            </w:r>
          </w:p>
        </w:tc>
        <w:tc>
          <w:tcPr>
            <w:tcW w:w="3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3"/>
        </w:trPr>
        <w:tc>
          <w:tcPr>
            <w:tcW w:w="362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50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620" w:type="dxa"/>
            <w:vAlign w:val="bottom"/>
            <w:tcBorders>
              <w:bottom w:val="single" w:sz="8" w:color="0077C0"/>
              <w:right w:val="single" w:sz="8" w:color="0077C0"/>
            </w:tcBorders>
          </w:tcPr>
          <w:p>
            <w:pPr>
              <w:spacing w:after="0"/>
              <w:rPr>
                <w:sz w:val="2"/>
                <w:szCs w:val="2"/>
                <w:color w:val="auto"/>
              </w:rPr>
            </w:pPr>
          </w:p>
        </w:tc>
        <w:tc>
          <w:tcPr>
            <w:tcW w:w="34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240" w:type="dxa"/>
            <w:vAlign w:val="bottom"/>
            <w:tcBorders>
              <w:bottom w:val="single" w:sz="8" w:color="0077C0"/>
            </w:tcBorders>
          </w:tcPr>
          <w:p>
            <w:pPr>
              <w:spacing w:after="0"/>
              <w:rPr>
                <w:sz w:val="2"/>
                <w:szCs w:val="2"/>
                <w:color w:val="auto"/>
              </w:rPr>
            </w:pPr>
          </w:p>
        </w:tc>
        <w:tc>
          <w:tcPr>
            <w:tcW w:w="50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50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62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Total changes recognized in other</w:t>
            </w:r>
          </w:p>
        </w:tc>
        <w:tc>
          <w:tcPr>
            <w:tcW w:w="26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(369)</w:t>
            </w:r>
          </w:p>
        </w:tc>
        <w:tc>
          <w:tcPr>
            <w:tcW w:w="260" w:type="dxa"/>
            <w:vAlign w:val="bottom"/>
          </w:tcPr>
          <w:p>
            <w:pPr>
              <w:spacing w:after="0"/>
              <w:rPr>
                <w:sz w:val="11"/>
                <w:szCs w:val="11"/>
                <w:color w:val="auto"/>
              </w:rPr>
            </w:pPr>
          </w:p>
        </w:tc>
        <w:tc>
          <w:tcPr>
            <w:tcW w:w="620" w:type="dxa"/>
            <w:vAlign w:val="bottom"/>
            <w:tcBorders>
              <w:right w:val="single" w:sz="8" w:color="0077C0"/>
            </w:tcBorders>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33</w:t>
            </w:r>
          </w:p>
        </w:tc>
        <w:tc>
          <w:tcPr>
            <w:tcW w:w="340" w:type="dxa"/>
            <w:vAlign w:val="bottom"/>
          </w:tcPr>
          <w:p>
            <w:pPr>
              <w:spacing w:after="0"/>
              <w:rPr>
                <w:sz w:val="11"/>
                <w:szCs w:val="11"/>
                <w:color w:val="auto"/>
              </w:rPr>
            </w:pPr>
          </w:p>
        </w:tc>
        <w:tc>
          <w:tcPr>
            <w:tcW w:w="5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26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(822)</w:t>
            </w:r>
          </w:p>
        </w:tc>
        <w:tc>
          <w:tcPr>
            <w:tcW w:w="26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0" w:type="dxa"/>
            <w:vAlign w:val="bottom"/>
          </w:tcPr>
          <w:p>
            <w:pPr>
              <w:spacing w:after="0"/>
              <w:rPr>
                <w:sz w:val="1"/>
                <w:szCs w:val="1"/>
                <w:color w:val="auto"/>
              </w:rPr>
            </w:pPr>
          </w:p>
        </w:tc>
      </w:tr>
      <w:tr>
        <w:trPr>
          <w:trHeight w:val="196"/>
        </w:trPr>
        <w:tc>
          <w:tcPr>
            <w:tcW w:w="3620" w:type="dxa"/>
            <w:vAlign w:val="bottom"/>
            <w:tcBorders>
              <w:bottom w:val="single" w:sz="8" w:color="0077C0"/>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260" w:type="dxa"/>
            <w:vAlign w:val="bottom"/>
            <w:tcBorders>
              <w:bottom w:val="single" w:sz="8" w:color="0077C0"/>
            </w:tcBorders>
          </w:tcPr>
          <w:p>
            <w:pPr>
              <w:spacing w:after="0"/>
              <w:rPr>
                <w:sz w:val="17"/>
                <w:szCs w:val="17"/>
                <w:color w:val="auto"/>
              </w:rPr>
            </w:pPr>
          </w:p>
        </w:tc>
        <w:tc>
          <w:tcPr>
            <w:tcW w:w="500" w:type="dxa"/>
            <w:vAlign w:val="bottom"/>
            <w:tcBorders>
              <w:bottom w:val="single" w:sz="8" w:color="0077C0"/>
            </w:tcBorders>
            <w:vMerge w:val="continue"/>
          </w:tcPr>
          <w:p>
            <w:pPr>
              <w:spacing w:after="0"/>
              <w:rPr>
                <w:sz w:val="17"/>
                <w:szCs w:val="17"/>
                <w:color w:val="auto"/>
              </w:rPr>
            </w:pPr>
          </w:p>
        </w:tc>
        <w:tc>
          <w:tcPr>
            <w:tcW w:w="260" w:type="dxa"/>
            <w:vAlign w:val="bottom"/>
            <w:tcBorders>
              <w:bottom w:val="single" w:sz="8" w:color="0077C0"/>
            </w:tcBorders>
          </w:tcPr>
          <w:p>
            <w:pPr>
              <w:spacing w:after="0"/>
              <w:rPr>
                <w:sz w:val="17"/>
                <w:szCs w:val="17"/>
                <w:color w:val="auto"/>
              </w:rPr>
            </w:pPr>
          </w:p>
        </w:tc>
        <w:tc>
          <w:tcPr>
            <w:tcW w:w="620" w:type="dxa"/>
            <w:vAlign w:val="bottom"/>
            <w:tcBorders>
              <w:bottom w:val="single" w:sz="8" w:color="0077C0"/>
              <w:right w:val="single" w:sz="8" w:color="0077C0"/>
            </w:tcBorders>
            <w:vMerge w:val="continue"/>
          </w:tcPr>
          <w:p>
            <w:pPr>
              <w:spacing w:after="0"/>
              <w:rPr>
                <w:sz w:val="17"/>
                <w:szCs w:val="17"/>
                <w:color w:val="auto"/>
              </w:rPr>
            </w:pPr>
          </w:p>
        </w:tc>
        <w:tc>
          <w:tcPr>
            <w:tcW w:w="340" w:type="dxa"/>
            <w:vAlign w:val="bottom"/>
            <w:tcBorders>
              <w:bottom w:val="single" w:sz="8" w:color="0077C0"/>
            </w:tcBorders>
          </w:tcPr>
          <w:p>
            <w:pPr>
              <w:spacing w:after="0"/>
              <w:rPr>
                <w:sz w:val="17"/>
                <w:szCs w:val="17"/>
                <w:color w:val="auto"/>
              </w:rPr>
            </w:pPr>
          </w:p>
        </w:tc>
        <w:tc>
          <w:tcPr>
            <w:tcW w:w="520" w:type="dxa"/>
            <w:vAlign w:val="bottom"/>
            <w:tcBorders>
              <w:bottom w:val="single" w:sz="8" w:color="0077C0"/>
            </w:tcBorders>
            <w:vMerge w:val="continue"/>
          </w:tcPr>
          <w:p>
            <w:pPr>
              <w:spacing w:after="0"/>
              <w:rPr>
                <w:sz w:val="17"/>
                <w:szCs w:val="17"/>
                <w:color w:val="auto"/>
              </w:rPr>
            </w:pPr>
          </w:p>
        </w:tc>
        <w:tc>
          <w:tcPr>
            <w:tcW w:w="240" w:type="dxa"/>
            <w:vAlign w:val="bottom"/>
            <w:tcBorders>
              <w:bottom w:val="single" w:sz="8" w:color="0077C0"/>
            </w:tcBorders>
          </w:tcPr>
          <w:p>
            <w:pPr>
              <w:spacing w:after="0"/>
              <w:rPr>
                <w:sz w:val="17"/>
                <w:szCs w:val="17"/>
                <w:color w:val="auto"/>
              </w:rPr>
            </w:pPr>
          </w:p>
        </w:tc>
        <w:tc>
          <w:tcPr>
            <w:tcW w:w="500" w:type="dxa"/>
            <w:vAlign w:val="bottom"/>
            <w:tcBorders>
              <w:bottom w:val="single" w:sz="8" w:color="0077C0"/>
            </w:tcBorders>
            <w:vMerge w:val="continue"/>
          </w:tcPr>
          <w:p>
            <w:pPr>
              <w:spacing w:after="0"/>
              <w:rPr>
                <w:sz w:val="17"/>
                <w:szCs w:val="17"/>
                <w:color w:val="auto"/>
              </w:rPr>
            </w:pPr>
          </w:p>
        </w:tc>
        <w:tc>
          <w:tcPr>
            <w:tcW w:w="260" w:type="dxa"/>
            <w:vAlign w:val="bottom"/>
            <w:tcBorders>
              <w:bottom w:val="single" w:sz="8" w:color="0077C0"/>
            </w:tcBorders>
          </w:tcPr>
          <w:p>
            <w:pPr>
              <w:spacing w:after="0"/>
              <w:rPr>
                <w:sz w:val="17"/>
                <w:szCs w:val="17"/>
                <w:color w:val="auto"/>
              </w:rPr>
            </w:pPr>
          </w:p>
        </w:tc>
        <w:tc>
          <w:tcPr>
            <w:tcW w:w="500" w:type="dxa"/>
            <w:vAlign w:val="bottom"/>
            <w:tcBorders>
              <w:bottom w:val="single" w:sz="8" w:color="0077C0"/>
            </w:tcBorders>
            <w:vMerge w:val="continue"/>
          </w:tcPr>
          <w:p>
            <w:pPr>
              <w:spacing w:after="0"/>
              <w:rPr>
                <w:sz w:val="17"/>
                <w:szCs w:val="17"/>
                <w:color w:val="auto"/>
              </w:rPr>
            </w:pPr>
          </w:p>
        </w:tc>
        <w:tc>
          <w:tcPr>
            <w:tcW w:w="260" w:type="dxa"/>
            <w:vAlign w:val="bottom"/>
            <w:tcBorders>
              <w:bottom w:val="single" w:sz="8" w:color="0077C0"/>
            </w:tcBorders>
          </w:tcPr>
          <w:p>
            <w:pPr>
              <w:spacing w:after="0"/>
              <w:rPr>
                <w:sz w:val="17"/>
                <w:szCs w:val="17"/>
                <w:color w:val="auto"/>
              </w:rPr>
            </w:pPr>
          </w:p>
        </w:tc>
        <w:tc>
          <w:tcPr>
            <w:tcW w:w="520" w:type="dxa"/>
            <w:vAlign w:val="bottom"/>
            <w:tcBorders>
              <w:bottom w:val="single" w:sz="8" w:color="0077C0"/>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6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Recognized in Net Periodic Benefit Cost and Other</w:t>
            </w:r>
          </w:p>
        </w:tc>
        <w:tc>
          <w:tcPr>
            <w:tcW w:w="2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103</w:t>
            </w:r>
          </w:p>
        </w:tc>
        <w:tc>
          <w:tcPr>
            <w:tcW w:w="2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right w:val="single" w:sz="8" w:color="0077C0"/>
            </w:tcBorders>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112</w:t>
            </w:r>
          </w:p>
        </w:tc>
        <w:tc>
          <w:tcPr>
            <w:tcW w:w="3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503</w:t>
            </w:r>
          </w:p>
        </w:tc>
        <w:tc>
          <w:tcPr>
            <w:tcW w:w="2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2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2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0" w:type="dxa"/>
            <w:vAlign w:val="bottom"/>
          </w:tcPr>
          <w:p>
            <w:pPr>
              <w:spacing w:after="0"/>
              <w:rPr>
                <w:sz w:val="1"/>
                <w:szCs w:val="1"/>
                <w:color w:val="auto"/>
              </w:rPr>
            </w:pPr>
          </w:p>
        </w:tc>
      </w:tr>
      <w:tr>
        <w:trPr>
          <w:trHeight w:val="190"/>
        </w:trPr>
        <w:tc>
          <w:tcPr>
            <w:tcW w:w="36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26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620" w:type="dxa"/>
            <w:vAlign w:val="bottom"/>
            <w:tcBorders>
              <w:right w:val="single" w:sz="8" w:color="0077C0"/>
            </w:tcBorders>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Borders>
              <w:right w:val="single" w:sz="8" w:color="0077C0"/>
            </w:tcBorders>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880"/>
        <w:spacing w:after="0"/>
        <w:rPr>
          <w:sz w:val="20"/>
          <w:szCs w:val="20"/>
          <w:color w:val="auto"/>
        </w:rPr>
      </w:pPr>
      <w:r>
        <w:rPr>
          <w:rFonts w:ascii="Arial" w:cs="Arial" w:eastAsia="Arial" w:hAnsi="Arial"/>
          <w:sz w:val="14"/>
          <w:szCs w:val="14"/>
          <w:color w:val="0077C0"/>
        </w:rPr>
        <w:t>Financial 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Other Benefits</w:t>
            </w:r>
          </w:p>
        </w:tc>
      </w:tr>
      <w:tr>
        <w:trPr>
          <w:trHeight w:val="23"/>
        </w:trPr>
        <w:tc>
          <w:tcPr>
            <w:tcW w:w="26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360" w:type="dxa"/>
            <w:vAlign w:val="bottom"/>
            <w:tcBorders>
              <w:bottom w:val="single" w:sz="8" w:color="0077C0"/>
            </w:tcBorders>
          </w:tcPr>
          <w:p>
            <w:pPr>
              <w:spacing w:after="0"/>
              <w:rPr>
                <w:sz w:val="2"/>
                <w:szCs w:val="2"/>
                <w:color w:val="auto"/>
              </w:rPr>
            </w:pPr>
          </w:p>
        </w:tc>
        <w:tc>
          <w:tcPr>
            <w:tcW w:w="500" w:type="dxa"/>
            <w:vAlign w:val="bottom"/>
            <w:tcBorders>
              <w:bottom w:val="single" w:sz="8" w:color="0077C0"/>
            </w:tcBorders>
          </w:tcPr>
          <w:p>
            <w:pPr>
              <w:spacing w:after="0"/>
              <w:rPr>
                <w:sz w:val="2"/>
                <w:szCs w:val="2"/>
                <w:color w:val="auto"/>
              </w:rPr>
            </w:pPr>
          </w:p>
        </w:tc>
        <w:tc>
          <w:tcPr>
            <w:tcW w:w="380" w:type="dxa"/>
            <w:vAlign w:val="bottom"/>
            <w:tcBorders>
              <w:bottom w:val="single" w:sz="8" w:color="0077C0"/>
            </w:tcBorders>
          </w:tcPr>
          <w:p>
            <w:pPr>
              <w:spacing w:after="0"/>
              <w:rPr>
                <w:sz w:val="2"/>
                <w:szCs w:val="2"/>
                <w:color w:val="auto"/>
              </w:rPr>
            </w:pPr>
          </w:p>
        </w:tc>
        <w:tc>
          <w:tcPr>
            <w:tcW w:w="500" w:type="dxa"/>
            <w:vAlign w:val="bottom"/>
            <w:tcBorders>
              <w:bottom w:val="single" w:sz="8" w:color="0077C0"/>
            </w:tcBorders>
          </w:tcPr>
          <w:p>
            <w:pPr>
              <w:spacing w:after="0"/>
              <w:rPr>
                <w:sz w:val="2"/>
                <w:szCs w:val="2"/>
                <w:color w:val="auto"/>
              </w:rPr>
            </w:pPr>
          </w:p>
        </w:tc>
      </w:tr>
      <w:tr>
        <w:trPr>
          <w:trHeight w:val="190"/>
        </w:trPr>
        <w:tc>
          <w:tcPr>
            <w:tcW w:w="26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0077C0"/>
            </w:tcBorders>
          </w:tcPr>
          <w:p>
            <w:pPr>
              <w:spacing w:after="0"/>
              <w:rPr>
                <w:sz w:val="16"/>
                <w:szCs w:val="16"/>
                <w:color w:val="auto"/>
              </w:rPr>
            </w:pPr>
          </w:p>
        </w:tc>
        <w:tc>
          <w:tcPr>
            <w:tcW w:w="5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380" w:type="dxa"/>
            <w:vAlign w:val="bottom"/>
            <w:tcBorders>
              <w:bottom w:val="single" w:sz="8" w:color="0077C0"/>
            </w:tcBorders>
          </w:tcPr>
          <w:p>
            <w:pPr>
              <w:spacing w:after="0"/>
              <w:rPr>
                <w:sz w:val="16"/>
                <w:szCs w:val="16"/>
                <w:color w:val="auto"/>
              </w:rPr>
            </w:pPr>
          </w:p>
        </w:tc>
        <w:tc>
          <w:tcPr>
            <w:tcW w:w="5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r>
      <w:tr>
        <w:trPr>
          <w:trHeight w:val="381"/>
        </w:trPr>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34</w:t>
            </w:r>
          </w:p>
        </w:tc>
        <w:tc>
          <w:tcPr>
            <w:tcW w:w="3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3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203"/>
        </w:trPr>
        <w:tc>
          <w:tcPr>
            <w:tcW w:w="260" w:type="dxa"/>
            <w:vAlign w:val="bottom"/>
          </w:tcPr>
          <w:p>
            <w:pPr>
              <w:spacing w:after="0"/>
              <w:rPr>
                <w:sz w:val="17"/>
                <w:szCs w:val="17"/>
                <w:color w:val="auto"/>
              </w:rPr>
            </w:pPr>
          </w:p>
        </w:tc>
        <w:tc>
          <w:tcPr>
            <w:tcW w:w="64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98</w:t>
            </w:r>
          </w:p>
        </w:tc>
        <w:tc>
          <w:tcPr>
            <w:tcW w:w="3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3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203"/>
        </w:trPr>
        <w:tc>
          <w:tcPr>
            <w:tcW w:w="260" w:type="dxa"/>
            <w:vAlign w:val="bottom"/>
          </w:tcPr>
          <w:p>
            <w:pPr>
              <w:spacing w:after="0"/>
              <w:rPr>
                <w:sz w:val="17"/>
                <w:szCs w:val="17"/>
                <w:color w:val="auto"/>
              </w:rPr>
            </w:pPr>
          </w:p>
        </w:tc>
        <w:tc>
          <w:tcPr>
            <w:tcW w:w="64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60" w:type="dxa"/>
            <w:vAlign w:val="bottom"/>
          </w:tcPr>
          <w:p>
            <w:pPr>
              <w:spacing w:after="0"/>
              <w:rPr>
                <w:sz w:val="17"/>
                <w:szCs w:val="17"/>
                <w:color w:val="auto"/>
              </w:rPr>
            </w:pPr>
          </w:p>
        </w:tc>
        <w:tc>
          <w:tcPr>
            <w:tcW w:w="640" w:type="dxa"/>
            <w:vAlign w:val="bottom"/>
            <w:tcBorders>
              <w:right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(25)</w:t>
            </w:r>
          </w:p>
        </w:tc>
        <w:tc>
          <w:tcPr>
            <w:tcW w:w="3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3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03"/>
        </w:trPr>
        <w:tc>
          <w:tcPr>
            <w:tcW w:w="260" w:type="dxa"/>
            <w:vAlign w:val="bottom"/>
          </w:tcPr>
          <w:p>
            <w:pPr>
              <w:spacing w:after="0"/>
              <w:rPr>
                <w:sz w:val="17"/>
                <w:szCs w:val="17"/>
                <w:color w:val="auto"/>
              </w:rPr>
            </w:pPr>
          </w:p>
        </w:tc>
        <w:tc>
          <w:tcPr>
            <w:tcW w:w="640" w:type="dxa"/>
            <w:vAlign w:val="bottom"/>
            <w:tcBorders>
              <w:right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(15)</w:t>
            </w:r>
          </w:p>
        </w:tc>
        <w:tc>
          <w:tcPr>
            <w:tcW w:w="3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3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03"/>
        </w:trPr>
        <w:tc>
          <w:tcPr>
            <w:tcW w:w="260" w:type="dxa"/>
            <w:vAlign w:val="bottom"/>
          </w:tcPr>
          <w:p>
            <w:pPr>
              <w:spacing w:after="0"/>
              <w:rPr>
                <w:sz w:val="17"/>
                <w:szCs w:val="17"/>
                <w:color w:val="auto"/>
              </w:rPr>
            </w:pPr>
          </w:p>
        </w:tc>
        <w:tc>
          <w:tcPr>
            <w:tcW w:w="64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60" w:type="dxa"/>
            <w:vAlign w:val="bottom"/>
          </w:tcPr>
          <w:p>
            <w:pPr>
              <w:spacing w:after="0"/>
              <w:rPr>
                <w:sz w:val="17"/>
                <w:szCs w:val="17"/>
                <w:color w:val="auto"/>
              </w:rPr>
            </w:pPr>
          </w:p>
        </w:tc>
        <w:tc>
          <w:tcPr>
            <w:tcW w:w="640" w:type="dxa"/>
            <w:vAlign w:val="bottom"/>
            <w:tcBorders>
              <w:right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w:t>
            </w:r>
          </w:p>
        </w:tc>
        <w:tc>
          <w:tcPr>
            <w:tcW w:w="3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60" w:type="dxa"/>
            <w:vAlign w:val="bottom"/>
          </w:tcPr>
          <w:p>
            <w:pPr>
              <w:spacing w:after="0"/>
              <w:rPr>
                <w:sz w:val="17"/>
                <w:szCs w:val="17"/>
                <w:color w:val="auto"/>
              </w:rPr>
            </w:pPr>
          </w:p>
        </w:tc>
        <w:tc>
          <w:tcPr>
            <w:tcW w:w="64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60" w:type="dxa"/>
            <w:vAlign w:val="bottom"/>
          </w:tcPr>
          <w:p>
            <w:pPr>
              <w:spacing w:after="0"/>
              <w:rPr>
                <w:sz w:val="17"/>
                <w:szCs w:val="17"/>
                <w:color w:val="auto"/>
              </w:rPr>
            </w:pPr>
          </w:p>
        </w:tc>
        <w:tc>
          <w:tcPr>
            <w:tcW w:w="64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260" w:type="dxa"/>
            <w:vAlign w:val="bottom"/>
            <w:tcBorders>
              <w:bottom w:val="single" w:sz="8" w:color="0077C0"/>
            </w:tcBorders>
          </w:tcPr>
          <w:p>
            <w:pPr>
              <w:spacing w:after="0"/>
              <w:rPr>
                <w:sz w:val="2"/>
                <w:szCs w:val="2"/>
                <w:color w:val="auto"/>
              </w:rPr>
            </w:pPr>
          </w:p>
        </w:tc>
        <w:tc>
          <w:tcPr>
            <w:tcW w:w="640" w:type="dxa"/>
            <w:vAlign w:val="bottom"/>
            <w:tcBorders>
              <w:bottom w:val="single" w:sz="8" w:color="0077C0"/>
              <w:right w:val="single" w:sz="8" w:color="0077C0"/>
            </w:tcBorders>
          </w:tcPr>
          <w:p>
            <w:pPr>
              <w:spacing w:after="0"/>
              <w:rPr>
                <w:sz w:val="2"/>
                <w:szCs w:val="2"/>
                <w:color w:val="auto"/>
              </w:rPr>
            </w:pPr>
          </w:p>
        </w:tc>
        <w:tc>
          <w:tcPr>
            <w:tcW w:w="360" w:type="dxa"/>
            <w:vAlign w:val="bottom"/>
            <w:tcBorders>
              <w:bottom w:val="single" w:sz="8" w:color="0077C0"/>
            </w:tcBorders>
          </w:tcPr>
          <w:p>
            <w:pPr>
              <w:spacing w:after="0"/>
              <w:rPr>
                <w:sz w:val="2"/>
                <w:szCs w:val="2"/>
                <w:color w:val="auto"/>
              </w:rPr>
            </w:pPr>
          </w:p>
        </w:tc>
        <w:tc>
          <w:tcPr>
            <w:tcW w:w="500" w:type="dxa"/>
            <w:vAlign w:val="bottom"/>
            <w:tcBorders>
              <w:bottom w:val="single" w:sz="8" w:color="0077C0"/>
            </w:tcBorders>
          </w:tcPr>
          <w:p>
            <w:pPr>
              <w:spacing w:after="0"/>
              <w:rPr>
                <w:sz w:val="2"/>
                <w:szCs w:val="2"/>
                <w:color w:val="auto"/>
              </w:rPr>
            </w:pPr>
          </w:p>
        </w:tc>
        <w:tc>
          <w:tcPr>
            <w:tcW w:w="380" w:type="dxa"/>
            <w:vAlign w:val="bottom"/>
            <w:tcBorders>
              <w:bottom w:val="single" w:sz="8" w:color="0077C0"/>
            </w:tcBorders>
          </w:tcPr>
          <w:p>
            <w:pPr>
              <w:spacing w:after="0"/>
              <w:rPr>
                <w:sz w:val="2"/>
                <w:szCs w:val="2"/>
                <w:color w:val="auto"/>
              </w:rPr>
            </w:pPr>
          </w:p>
        </w:tc>
        <w:tc>
          <w:tcPr>
            <w:tcW w:w="500" w:type="dxa"/>
            <w:vAlign w:val="bottom"/>
            <w:tcBorders>
              <w:bottom w:val="single" w:sz="8" w:color="0077C0"/>
            </w:tcBorders>
          </w:tcPr>
          <w:p>
            <w:pPr>
              <w:spacing w:after="0"/>
              <w:rPr>
                <w:sz w:val="2"/>
                <w:szCs w:val="2"/>
                <w:color w:val="auto"/>
              </w:rPr>
            </w:pPr>
          </w:p>
        </w:tc>
      </w:tr>
      <w:tr>
        <w:trPr>
          <w:trHeight w:val="184"/>
        </w:trPr>
        <w:tc>
          <w:tcPr>
            <w:tcW w:w="260" w:type="dxa"/>
            <w:vAlign w:val="bottom"/>
          </w:tcPr>
          <w:p>
            <w:pPr>
              <w:spacing w:after="0"/>
              <w:rPr>
                <w:sz w:val="15"/>
                <w:szCs w:val="15"/>
                <w:color w:val="auto"/>
              </w:rPr>
            </w:pPr>
          </w:p>
        </w:tc>
        <w:tc>
          <w:tcPr>
            <w:tcW w:w="64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91</w:t>
            </w:r>
          </w:p>
        </w:tc>
        <w:tc>
          <w:tcPr>
            <w:tcW w:w="3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3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394"/>
        </w:trPr>
        <w:tc>
          <w:tcPr>
            <w:tcW w:w="260" w:type="dxa"/>
            <w:vAlign w:val="bottom"/>
          </w:tcPr>
          <w:p>
            <w:pPr>
              <w:spacing w:after="0"/>
              <w:rPr>
                <w:sz w:val="24"/>
                <w:szCs w:val="24"/>
                <w:color w:val="auto"/>
              </w:rPr>
            </w:pPr>
          </w:p>
        </w:tc>
        <w:tc>
          <w:tcPr>
            <w:tcW w:w="640" w:type="dxa"/>
            <w:vAlign w:val="bottom"/>
            <w:tcBorders>
              <w:right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(151)</w:t>
            </w:r>
          </w:p>
        </w:tc>
        <w:tc>
          <w:tcPr>
            <w:tcW w:w="3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3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w:t>
            </w:r>
          </w:p>
        </w:tc>
      </w:tr>
      <w:tr>
        <w:trPr>
          <w:trHeight w:val="203"/>
        </w:trPr>
        <w:tc>
          <w:tcPr>
            <w:tcW w:w="260" w:type="dxa"/>
            <w:vAlign w:val="bottom"/>
          </w:tcPr>
          <w:p>
            <w:pPr>
              <w:spacing w:after="0"/>
              <w:rPr>
                <w:sz w:val="17"/>
                <w:szCs w:val="17"/>
                <w:color w:val="auto"/>
              </w:rPr>
            </w:pPr>
          </w:p>
        </w:tc>
        <w:tc>
          <w:tcPr>
            <w:tcW w:w="64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15</w:t>
            </w:r>
          </w:p>
        </w:tc>
        <w:tc>
          <w:tcPr>
            <w:tcW w:w="3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3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03"/>
        </w:trPr>
        <w:tc>
          <w:tcPr>
            <w:tcW w:w="260" w:type="dxa"/>
            <w:vAlign w:val="bottom"/>
          </w:tcPr>
          <w:p>
            <w:pPr>
              <w:spacing w:after="0"/>
              <w:rPr>
                <w:sz w:val="17"/>
                <w:szCs w:val="17"/>
                <w:color w:val="auto"/>
              </w:rPr>
            </w:pPr>
          </w:p>
        </w:tc>
        <w:tc>
          <w:tcPr>
            <w:tcW w:w="64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30</w:t>
            </w:r>
          </w:p>
        </w:tc>
        <w:tc>
          <w:tcPr>
            <w:tcW w:w="3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03"/>
        </w:trPr>
        <w:tc>
          <w:tcPr>
            <w:tcW w:w="260" w:type="dxa"/>
            <w:vAlign w:val="bottom"/>
          </w:tcPr>
          <w:p>
            <w:pPr>
              <w:spacing w:after="0"/>
              <w:rPr>
                <w:sz w:val="17"/>
                <w:szCs w:val="17"/>
                <w:color w:val="auto"/>
              </w:rPr>
            </w:pPr>
          </w:p>
        </w:tc>
        <w:tc>
          <w:tcPr>
            <w:tcW w:w="64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25</w:t>
            </w:r>
          </w:p>
        </w:tc>
        <w:tc>
          <w:tcPr>
            <w:tcW w:w="3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3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3"/>
        </w:trPr>
        <w:tc>
          <w:tcPr>
            <w:tcW w:w="260" w:type="dxa"/>
            <w:vAlign w:val="bottom"/>
            <w:tcBorders>
              <w:bottom w:val="single" w:sz="8" w:color="0077C0"/>
            </w:tcBorders>
          </w:tcPr>
          <w:p>
            <w:pPr>
              <w:spacing w:after="0"/>
              <w:rPr>
                <w:sz w:val="2"/>
                <w:szCs w:val="2"/>
                <w:color w:val="auto"/>
              </w:rPr>
            </w:pPr>
          </w:p>
        </w:tc>
        <w:tc>
          <w:tcPr>
            <w:tcW w:w="640" w:type="dxa"/>
            <w:vAlign w:val="bottom"/>
            <w:tcBorders>
              <w:bottom w:val="single" w:sz="8" w:color="0077C0"/>
              <w:right w:val="single" w:sz="8" w:color="0077C0"/>
            </w:tcBorders>
          </w:tcPr>
          <w:p>
            <w:pPr>
              <w:spacing w:after="0"/>
              <w:rPr>
                <w:sz w:val="2"/>
                <w:szCs w:val="2"/>
                <w:color w:val="auto"/>
              </w:rPr>
            </w:pPr>
          </w:p>
        </w:tc>
        <w:tc>
          <w:tcPr>
            <w:tcW w:w="360" w:type="dxa"/>
            <w:vAlign w:val="bottom"/>
            <w:tcBorders>
              <w:bottom w:val="single" w:sz="8" w:color="0077C0"/>
            </w:tcBorders>
          </w:tcPr>
          <w:p>
            <w:pPr>
              <w:spacing w:after="0"/>
              <w:rPr>
                <w:sz w:val="2"/>
                <w:szCs w:val="2"/>
                <w:color w:val="auto"/>
              </w:rPr>
            </w:pPr>
          </w:p>
        </w:tc>
        <w:tc>
          <w:tcPr>
            <w:tcW w:w="500" w:type="dxa"/>
            <w:vAlign w:val="bottom"/>
            <w:tcBorders>
              <w:bottom w:val="single" w:sz="8" w:color="0077C0"/>
            </w:tcBorders>
          </w:tcPr>
          <w:p>
            <w:pPr>
              <w:spacing w:after="0"/>
              <w:rPr>
                <w:sz w:val="2"/>
                <w:szCs w:val="2"/>
                <w:color w:val="auto"/>
              </w:rPr>
            </w:pPr>
          </w:p>
        </w:tc>
        <w:tc>
          <w:tcPr>
            <w:tcW w:w="380" w:type="dxa"/>
            <w:vAlign w:val="bottom"/>
            <w:tcBorders>
              <w:bottom w:val="single" w:sz="8" w:color="0077C0"/>
            </w:tcBorders>
          </w:tcPr>
          <w:p>
            <w:pPr>
              <w:spacing w:after="0"/>
              <w:rPr>
                <w:sz w:val="2"/>
                <w:szCs w:val="2"/>
                <w:color w:val="auto"/>
              </w:rPr>
            </w:pPr>
          </w:p>
        </w:tc>
        <w:tc>
          <w:tcPr>
            <w:tcW w:w="500" w:type="dxa"/>
            <w:vAlign w:val="bottom"/>
            <w:tcBorders>
              <w:bottom w:val="single" w:sz="8" w:color="0077C0"/>
            </w:tcBorders>
          </w:tcPr>
          <w:p>
            <w:pPr>
              <w:spacing w:after="0"/>
              <w:rPr>
                <w:sz w:val="2"/>
                <w:szCs w:val="2"/>
                <w:color w:val="auto"/>
              </w:rPr>
            </w:pPr>
          </w:p>
        </w:tc>
      </w:tr>
      <w:tr>
        <w:trPr>
          <w:trHeight w:val="308"/>
        </w:trPr>
        <w:tc>
          <w:tcPr>
            <w:tcW w:w="260" w:type="dxa"/>
            <w:vAlign w:val="bottom"/>
          </w:tcPr>
          <w:p>
            <w:pPr>
              <w:spacing w:after="0"/>
              <w:rPr>
                <w:sz w:val="24"/>
                <w:szCs w:val="24"/>
                <w:color w:val="auto"/>
              </w:rPr>
            </w:pPr>
          </w:p>
        </w:tc>
        <w:tc>
          <w:tcPr>
            <w:tcW w:w="640" w:type="dxa"/>
            <w:vAlign w:val="bottom"/>
            <w:tcBorders>
              <w:right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(81)</w:t>
            </w:r>
          </w:p>
        </w:tc>
        <w:tc>
          <w:tcPr>
            <w:tcW w:w="3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3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w:t>
            </w:r>
          </w:p>
        </w:tc>
      </w:tr>
      <w:tr>
        <w:trPr>
          <w:trHeight w:val="23"/>
        </w:trPr>
        <w:tc>
          <w:tcPr>
            <w:tcW w:w="260" w:type="dxa"/>
            <w:vAlign w:val="bottom"/>
            <w:tcBorders>
              <w:bottom w:val="single" w:sz="8" w:color="0077C0"/>
            </w:tcBorders>
          </w:tcPr>
          <w:p>
            <w:pPr>
              <w:spacing w:after="0"/>
              <w:rPr>
                <w:sz w:val="2"/>
                <w:szCs w:val="2"/>
                <w:color w:val="auto"/>
              </w:rPr>
            </w:pPr>
          </w:p>
        </w:tc>
        <w:tc>
          <w:tcPr>
            <w:tcW w:w="640" w:type="dxa"/>
            <w:vAlign w:val="bottom"/>
            <w:tcBorders>
              <w:bottom w:val="single" w:sz="8" w:color="0077C0"/>
              <w:right w:val="single" w:sz="8" w:color="0077C0"/>
            </w:tcBorders>
          </w:tcPr>
          <w:p>
            <w:pPr>
              <w:spacing w:after="0"/>
              <w:rPr>
                <w:sz w:val="2"/>
                <w:szCs w:val="2"/>
                <w:color w:val="auto"/>
              </w:rPr>
            </w:pPr>
          </w:p>
        </w:tc>
        <w:tc>
          <w:tcPr>
            <w:tcW w:w="360" w:type="dxa"/>
            <w:vAlign w:val="bottom"/>
            <w:tcBorders>
              <w:bottom w:val="single" w:sz="8" w:color="0077C0"/>
            </w:tcBorders>
          </w:tcPr>
          <w:p>
            <w:pPr>
              <w:spacing w:after="0"/>
              <w:rPr>
                <w:sz w:val="2"/>
                <w:szCs w:val="2"/>
                <w:color w:val="auto"/>
              </w:rPr>
            </w:pPr>
          </w:p>
        </w:tc>
        <w:tc>
          <w:tcPr>
            <w:tcW w:w="500" w:type="dxa"/>
            <w:vAlign w:val="bottom"/>
            <w:tcBorders>
              <w:bottom w:val="single" w:sz="8" w:color="0077C0"/>
            </w:tcBorders>
          </w:tcPr>
          <w:p>
            <w:pPr>
              <w:spacing w:after="0"/>
              <w:rPr>
                <w:sz w:val="2"/>
                <w:szCs w:val="2"/>
                <w:color w:val="auto"/>
              </w:rPr>
            </w:pPr>
          </w:p>
        </w:tc>
        <w:tc>
          <w:tcPr>
            <w:tcW w:w="380" w:type="dxa"/>
            <w:vAlign w:val="bottom"/>
            <w:tcBorders>
              <w:bottom w:val="single" w:sz="8" w:color="0077C0"/>
            </w:tcBorders>
          </w:tcPr>
          <w:p>
            <w:pPr>
              <w:spacing w:after="0"/>
              <w:rPr>
                <w:sz w:val="2"/>
                <w:szCs w:val="2"/>
                <w:color w:val="auto"/>
              </w:rPr>
            </w:pPr>
          </w:p>
        </w:tc>
        <w:tc>
          <w:tcPr>
            <w:tcW w:w="500" w:type="dxa"/>
            <w:vAlign w:val="bottom"/>
            <w:tcBorders>
              <w:bottom w:val="single" w:sz="8" w:color="0077C0"/>
            </w:tcBorders>
          </w:tcPr>
          <w:p>
            <w:pPr>
              <w:spacing w:after="0"/>
              <w:rPr>
                <w:sz w:val="2"/>
                <w:szCs w:val="2"/>
                <w:color w:val="auto"/>
              </w:rPr>
            </w:pPr>
          </w:p>
        </w:tc>
      </w:tr>
      <w:tr>
        <w:trPr>
          <w:trHeight w:val="308"/>
        </w:trPr>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10</w:t>
            </w:r>
          </w:p>
        </w:tc>
        <w:tc>
          <w:tcPr>
            <w:tcW w:w="3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3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w:t>
            </w:r>
          </w:p>
        </w:tc>
      </w:tr>
      <w:tr>
        <w:trPr>
          <w:trHeight w:val="37"/>
        </w:trPr>
        <w:tc>
          <w:tcPr>
            <w:tcW w:w="260" w:type="dxa"/>
            <w:vAlign w:val="bottom"/>
          </w:tcPr>
          <w:p>
            <w:pPr>
              <w:spacing w:after="0"/>
              <w:rPr>
                <w:sz w:val="3"/>
                <w:szCs w:val="3"/>
                <w:color w:val="auto"/>
              </w:rPr>
            </w:pPr>
          </w:p>
        </w:tc>
        <w:tc>
          <w:tcPr>
            <w:tcW w:w="640" w:type="dxa"/>
            <w:vAlign w:val="bottom"/>
            <w:tcBorders>
              <w:right w:val="single" w:sz="8" w:color="0077C0"/>
            </w:tcBorders>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2">
            <w:col w:w="8400" w:space="200"/>
            <w:col w:w="2640"/>
          </w:cols>
          <w:pgMar w:left="320" w:top="184" w:right="339" w:bottom="1440" w:gutter="0" w:footer="0" w:header="0"/>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FF0000"/>
        </w:rPr>
        <w:t xml:space="preserve">Assumptions </w:t>
      </w:r>
      <w:r>
        <w:rPr>
          <w:rFonts w:ascii="Times New Roman" w:cs="Times New Roman" w:eastAsia="Times New Roman" w:hAnsi="Times New Roman"/>
          <w:sz w:val="18"/>
          <w:szCs w:val="18"/>
          <w:color w:val="000000"/>
        </w:rPr>
        <w:t>The following weighted-average assumptions were used to determine benefit obligations and net periodic benefit costs for years ended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Pension Benefits</w:t>
            </w:r>
          </w:p>
        </w:tc>
        <w:tc>
          <w:tcPr>
            <w:tcW w:w="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c>
          <w:tcPr>
            <w:tcW w:w="800" w:type="dxa"/>
            <w:vAlign w:val="bottom"/>
            <w:tcBorders>
              <w:bottom w:val="single" w:sz="8" w:color="0077C0"/>
            </w:tcBorders>
          </w:tcPr>
          <w:p>
            <w:pPr>
              <w:spacing w:after="0"/>
              <w:rPr>
                <w:sz w:val="2"/>
                <w:szCs w:val="2"/>
                <w:color w:val="auto"/>
              </w:rPr>
            </w:pPr>
          </w:p>
        </w:tc>
        <w:tc>
          <w:tcPr>
            <w:tcW w:w="78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Other Benefits</w:t>
            </w:r>
          </w:p>
        </w:tc>
        <w:tc>
          <w:tcPr>
            <w:tcW w:w="0" w:type="dxa"/>
            <w:vAlign w:val="bottom"/>
          </w:tcPr>
          <w:p>
            <w:pPr>
              <w:spacing w:after="0"/>
              <w:rPr>
                <w:sz w:val="1"/>
                <w:szCs w:val="1"/>
                <w:color w:val="auto"/>
              </w:rPr>
            </w:pPr>
          </w:p>
        </w:tc>
      </w:tr>
      <w:tr>
        <w:trPr>
          <w:trHeight w:val="190"/>
        </w:trPr>
        <w:tc>
          <w:tcPr>
            <w:tcW w:w="3660" w:type="dxa"/>
            <w:vAlign w:val="bottom"/>
          </w:tcPr>
          <w:p>
            <w:pPr>
              <w:spacing w:after="0"/>
              <w:rPr>
                <w:sz w:val="16"/>
                <w:szCs w:val="16"/>
                <w:color w:val="auto"/>
              </w:rPr>
            </w:pPr>
          </w:p>
        </w:tc>
        <w:tc>
          <w:tcPr>
            <w:tcW w:w="920" w:type="dxa"/>
            <w:vAlign w:val="bottom"/>
            <w:tcBorders>
              <w:bottom w:val="single" w:sz="8" w:color="0077C0"/>
            </w:tcBorders>
          </w:tcPr>
          <w:p>
            <w:pPr>
              <w:spacing w:after="0"/>
              <w:rPr>
                <w:sz w:val="16"/>
                <w:szCs w:val="16"/>
                <w:color w:val="auto"/>
              </w:rPr>
            </w:pPr>
          </w:p>
        </w:tc>
        <w:tc>
          <w:tcPr>
            <w:tcW w:w="70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tcBorders>
              <w:bottom w:val="single" w:sz="8" w:color="0077C0"/>
            </w:tcBorders>
          </w:tcPr>
          <w:p>
            <w:pPr>
              <w:spacing w:after="0"/>
              <w:rPr>
                <w:sz w:val="16"/>
                <w:szCs w:val="16"/>
                <w:color w:val="auto"/>
              </w:rPr>
            </w:pPr>
          </w:p>
        </w:tc>
        <w:tc>
          <w:tcPr>
            <w:tcW w:w="800" w:type="dxa"/>
            <w:vAlign w:val="bottom"/>
            <w:tcBorders>
              <w:bottom w:val="single" w:sz="8" w:color="0077C0"/>
            </w:tcBorders>
          </w:tcPr>
          <w:p>
            <w:pPr>
              <w:jc w:val="right"/>
              <w:ind w:right="188"/>
              <w:spacing w:after="0"/>
              <w:rPr>
                <w:sz w:val="20"/>
                <w:szCs w:val="20"/>
                <w:color w:val="auto"/>
              </w:rPr>
            </w:pPr>
            <w:r>
              <w:rPr>
                <w:rFonts w:ascii="Times New Roman" w:cs="Times New Roman" w:eastAsia="Times New Roman" w:hAnsi="Times New Roman"/>
                <w:sz w:val="14"/>
                <w:szCs w:val="14"/>
                <w:color w:val="auto"/>
              </w:rPr>
              <w:t>2023</w:t>
            </w:r>
          </w:p>
        </w:tc>
        <w:tc>
          <w:tcPr>
            <w:tcW w:w="780" w:type="dxa"/>
            <w:vAlign w:val="bottom"/>
            <w:tcBorders>
              <w:bottom w:val="single" w:sz="8" w:color="0077C0"/>
            </w:tcBorders>
          </w:tcPr>
          <w:p>
            <w:pPr>
              <w:spacing w:after="0"/>
              <w:rPr>
                <w:sz w:val="16"/>
                <w:szCs w:val="16"/>
                <w:color w:val="auto"/>
              </w:rPr>
            </w:pPr>
          </w:p>
        </w:tc>
        <w:tc>
          <w:tcPr>
            <w:tcW w:w="5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200" w:type="dxa"/>
            <w:vAlign w:val="bottom"/>
          </w:tcPr>
          <w:p>
            <w:pPr>
              <w:spacing w:after="0"/>
              <w:rPr>
                <w:sz w:val="16"/>
                <w:szCs w:val="16"/>
                <w:color w:val="auto"/>
              </w:rPr>
            </w:pPr>
          </w:p>
        </w:tc>
        <w:tc>
          <w:tcPr>
            <w:tcW w:w="900" w:type="dxa"/>
            <w:vAlign w:val="bottom"/>
            <w:tcBorders>
              <w:bottom w:val="single" w:sz="8" w:color="0077C0"/>
            </w:tcBorders>
          </w:tcPr>
          <w:p>
            <w:pPr>
              <w:spacing w:after="0"/>
              <w:rPr>
                <w:sz w:val="16"/>
                <w:szCs w:val="16"/>
                <w:color w:val="auto"/>
              </w:rPr>
            </w:pPr>
          </w:p>
        </w:tc>
        <w:tc>
          <w:tcPr>
            <w:tcW w:w="820" w:type="dxa"/>
            <w:vAlign w:val="bottom"/>
            <w:tcBorders>
              <w:bottom w:val="single" w:sz="8" w:color="0077C0"/>
            </w:tcBorders>
          </w:tcPr>
          <w:p>
            <w:pPr>
              <w:spacing w:after="0"/>
              <w:rPr>
                <w:sz w:val="16"/>
                <w:szCs w:val="16"/>
                <w:color w:val="auto"/>
              </w:rPr>
            </w:pPr>
          </w:p>
        </w:tc>
        <w:tc>
          <w:tcPr>
            <w:tcW w:w="880" w:type="dxa"/>
            <w:vAlign w:val="bottom"/>
            <w:tcBorders>
              <w:bottom w:val="single" w:sz="8" w:color="0077C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60" w:type="dxa"/>
            <w:vAlign w:val="bottom"/>
            <w:tcBorders>
              <w:bottom w:val="single" w:sz="8" w:color="0077C0"/>
            </w:tcBorders>
          </w:tcPr>
          <w:p>
            <w:pPr>
              <w:spacing w:after="0"/>
              <w:rPr>
                <w:sz w:val="17"/>
                <w:szCs w:val="17"/>
                <w:color w:val="auto"/>
              </w:rPr>
            </w:pPr>
          </w:p>
        </w:tc>
        <w:tc>
          <w:tcPr>
            <w:tcW w:w="92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U.S.</w:t>
            </w:r>
          </w:p>
        </w:tc>
        <w:tc>
          <w:tcPr>
            <w:tcW w:w="70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Int’l.</w:t>
            </w:r>
          </w:p>
        </w:tc>
        <w:tc>
          <w:tcPr>
            <w:tcW w:w="1000" w:type="dxa"/>
            <w:vAlign w:val="bottom"/>
            <w:tcBorders>
              <w:bottom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color w:val="auto"/>
              </w:rPr>
              <w:t>U.S.</w:t>
            </w:r>
          </w:p>
        </w:tc>
        <w:tc>
          <w:tcPr>
            <w:tcW w:w="800" w:type="dxa"/>
            <w:vAlign w:val="bottom"/>
            <w:tcBorders>
              <w:bottom w:val="single" w:sz="8" w:color="0077C0"/>
            </w:tcBorders>
          </w:tcPr>
          <w:p>
            <w:pPr>
              <w:jc w:val="right"/>
              <w:ind w:right="188"/>
              <w:spacing w:after="0"/>
              <w:rPr>
                <w:sz w:val="20"/>
                <w:szCs w:val="20"/>
                <w:color w:val="auto"/>
              </w:rPr>
            </w:pPr>
            <w:r>
              <w:rPr>
                <w:rFonts w:ascii="Times New Roman" w:cs="Times New Roman" w:eastAsia="Times New Roman" w:hAnsi="Times New Roman"/>
                <w:sz w:val="14"/>
                <w:szCs w:val="14"/>
                <w:color w:val="auto"/>
              </w:rPr>
              <w:t>Int’l.</w:t>
            </w:r>
          </w:p>
        </w:tc>
        <w:tc>
          <w:tcPr>
            <w:tcW w:w="78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color w:val="auto"/>
              </w:rPr>
              <w:t>U.S.</w:t>
            </w:r>
          </w:p>
        </w:tc>
        <w:tc>
          <w:tcPr>
            <w:tcW w:w="5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Int’l.</w:t>
            </w:r>
          </w:p>
        </w:tc>
        <w:tc>
          <w:tcPr>
            <w:tcW w:w="200" w:type="dxa"/>
            <w:vAlign w:val="bottom"/>
          </w:tcPr>
          <w:p>
            <w:pPr>
              <w:spacing w:after="0"/>
              <w:rPr>
                <w:sz w:val="17"/>
                <w:szCs w:val="17"/>
                <w:color w:val="auto"/>
              </w:rPr>
            </w:pPr>
          </w:p>
        </w:tc>
        <w:tc>
          <w:tcPr>
            <w:tcW w:w="900" w:type="dxa"/>
            <w:vAlign w:val="bottom"/>
            <w:tcBorders>
              <w:bottom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8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188"/>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Assumptions used to determine benefit obligations:</w:t>
            </w:r>
          </w:p>
        </w:tc>
        <w:tc>
          <w:tcPr>
            <w:tcW w:w="920" w:type="dxa"/>
            <w:vAlign w:val="bottom"/>
          </w:tcPr>
          <w:p>
            <w:pPr>
              <w:spacing w:after="0"/>
              <w:rPr>
                <w:sz w:val="16"/>
                <w:szCs w:val="16"/>
                <w:color w:val="auto"/>
              </w:rPr>
            </w:pPr>
          </w:p>
        </w:tc>
        <w:tc>
          <w:tcPr>
            <w:tcW w:w="700" w:type="dxa"/>
            <w:vAlign w:val="bottom"/>
            <w:tcBorders>
              <w:right w:val="single" w:sz="8" w:color="0077C0"/>
            </w:tcBorders>
          </w:tcPr>
          <w:p>
            <w:pPr>
              <w:spacing w:after="0"/>
              <w:rPr>
                <w:sz w:val="16"/>
                <w:szCs w:val="16"/>
                <w:color w:val="auto"/>
              </w:rPr>
            </w:pPr>
          </w:p>
        </w:tc>
        <w:tc>
          <w:tcPr>
            <w:tcW w:w="1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Borders>
              <w:right w:val="single" w:sz="8" w:color="0077C0"/>
            </w:tcBorders>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Discount rate</w:t>
            </w: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5.7 %</w:t>
            </w:r>
          </w:p>
        </w:tc>
        <w:tc>
          <w:tcPr>
            <w:tcW w:w="700" w:type="dxa"/>
            <w:vAlign w:val="bottom"/>
            <w:tcBorders>
              <w:right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6.0 %</w:t>
            </w: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5.0 %</w:t>
            </w:r>
          </w:p>
        </w:tc>
        <w:tc>
          <w:tcPr>
            <w:tcW w:w="8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5.5 %</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5.2 %</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5.8 %</w:t>
            </w:r>
          </w:p>
        </w:tc>
        <w:tc>
          <w:tcPr>
            <w:tcW w:w="200" w:type="dxa"/>
            <w:vAlign w:val="bottom"/>
          </w:tcPr>
          <w:p>
            <w:pPr>
              <w:spacing w:after="0"/>
              <w:rPr>
                <w:sz w:val="16"/>
                <w:szCs w:val="16"/>
                <w:color w:val="auto"/>
              </w:rPr>
            </w:pPr>
          </w:p>
        </w:tc>
        <w:tc>
          <w:tcPr>
            <w:tcW w:w="900" w:type="dxa"/>
            <w:vAlign w:val="bottom"/>
            <w:tcBorders>
              <w:right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5.7 %</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0" w:type="dxa"/>
            <w:vAlign w:val="bottom"/>
          </w:tcPr>
          <w:p>
            <w:pPr>
              <w:spacing w:after="0"/>
              <w:rPr>
                <w:sz w:val="1"/>
                <w:szCs w:val="1"/>
                <w:color w:val="auto"/>
              </w:rPr>
            </w:pPr>
          </w:p>
        </w:tc>
      </w:tr>
      <w:tr>
        <w:trPr>
          <w:trHeight w:val="203"/>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Rate of compensation increase</w:t>
            </w: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4.5 %</w:t>
            </w:r>
          </w:p>
        </w:tc>
        <w:tc>
          <w:tcPr>
            <w:tcW w:w="700" w:type="dxa"/>
            <w:vAlign w:val="bottom"/>
            <w:tcBorders>
              <w:right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3.9 %</w:t>
            </w: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4.5 %</w:t>
            </w:r>
          </w:p>
        </w:tc>
        <w:tc>
          <w:tcPr>
            <w:tcW w:w="8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3.9 %</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4.5 %</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200" w:type="dxa"/>
            <w:vAlign w:val="bottom"/>
          </w:tcPr>
          <w:p>
            <w:pPr>
              <w:spacing w:after="0"/>
              <w:rPr>
                <w:sz w:val="17"/>
                <w:szCs w:val="17"/>
                <w:color w:val="auto"/>
              </w:rPr>
            </w:pPr>
          </w:p>
        </w:tc>
        <w:tc>
          <w:tcPr>
            <w:tcW w:w="900" w:type="dxa"/>
            <w:vAlign w:val="bottom"/>
            <w:tcBorders>
              <w:right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N/A</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03"/>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Assumptions used to determine net periodic benefit cost:</w:t>
            </w:r>
          </w:p>
        </w:tc>
        <w:tc>
          <w:tcPr>
            <w:tcW w:w="920" w:type="dxa"/>
            <w:vAlign w:val="bottom"/>
          </w:tcPr>
          <w:p>
            <w:pPr>
              <w:spacing w:after="0"/>
              <w:rPr>
                <w:sz w:val="17"/>
                <w:szCs w:val="17"/>
                <w:color w:val="auto"/>
              </w:rPr>
            </w:pPr>
          </w:p>
        </w:tc>
        <w:tc>
          <w:tcPr>
            <w:tcW w:w="700" w:type="dxa"/>
            <w:vAlign w:val="bottom"/>
            <w:tcBorders>
              <w:right w:val="single" w:sz="8" w:color="0077C0"/>
            </w:tcBorders>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Borders>
              <w:right w:val="single" w:sz="8" w:color="0077C0"/>
            </w:tcBorders>
          </w:tcPr>
          <w:p>
            <w:pPr>
              <w:spacing w:after="0"/>
              <w:rPr>
                <w:sz w:val="17"/>
                <w:szCs w:val="17"/>
                <w:color w:val="auto"/>
              </w:rPr>
            </w:pP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Discount rate for service cost</w:t>
            </w: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5.0 %</w:t>
            </w:r>
          </w:p>
        </w:tc>
        <w:tc>
          <w:tcPr>
            <w:tcW w:w="700" w:type="dxa"/>
            <w:vAlign w:val="bottom"/>
            <w:tcBorders>
              <w:right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5.5 %</w:t>
            </w: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5.2 %</w:t>
            </w:r>
          </w:p>
        </w:tc>
        <w:tc>
          <w:tcPr>
            <w:tcW w:w="8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5.8 %</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3.6 %</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200" w:type="dxa"/>
            <w:vAlign w:val="bottom"/>
          </w:tcPr>
          <w:p>
            <w:pPr>
              <w:spacing w:after="0"/>
              <w:rPr>
                <w:sz w:val="17"/>
                <w:szCs w:val="17"/>
                <w:color w:val="auto"/>
              </w:rPr>
            </w:pPr>
          </w:p>
        </w:tc>
        <w:tc>
          <w:tcPr>
            <w:tcW w:w="900" w:type="dxa"/>
            <w:vAlign w:val="bottom"/>
            <w:tcBorders>
              <w:right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5.2 %</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0" w:type="dxa"/>
            <w:vAlign w:val="bottom"/>
          </w:tcPr>
          <w:p>
            <w:pPr>
              <w:spacing w:after="0"/>
              <w:rPr>
                <w:sz w:val="1"/>
                <w:szCs w:val="1"/>
                <w:color w:val="auto"/>
              </w:rPr>
            </w:pPr>
          </w:p>
        </w:tc>
      </w:tr>
      <w:tr>
        <w:trPr>
          <w:trHeight w:val="203"/>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Discount rate for interest cost</w:t>
            </w: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4.8 %</w:t>
            </w:r>
          </w:p>
        </w:tc>
        <w:tc>
          <w:tcPr>
            <w:tcW w:w="700" w:type="dxa"/>
            <w:vAlign w:val="bottom"/>
            <w:tcBorders>
              <w:right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5.5 %</w:t>
            </w: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5.0 %</w:t>
            </w:r>
          </w:p>
        </w:tc>
        <w:tc>
          <w:tcPr>
            <w:tcW w:w="8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5.8 %</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2.8 %</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200" w:type="dxa"/>
            <w:vAlign w:val="bottom"/>
          </w:tcPr>
          <w:p>
            <w:pPr>
              <w:spacing w:after="0"/>
              <w:rPr>
                <w:sz w:val="17"/>
                <w:szCs w:val="17"/>
                <w:color w:val="auto"/>
              </w:rPr>
            </w:pPr>
          </w:p>
        </w:tc>
        <w:tc>
          <w:tcPr>
            <w:tcW w:w="900" w:type="dxa"/>
            <w:vAlign w:val="bottom"/>
            <w:tcBorders>
              <w:right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5.1 %</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5.2 %</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0" w:type="dxa"/>
            <w:vAlign w:val="bottom"/>
          </w:tcPr>
          <w:p>
            <w:pPr>
              <w:spacing w:after="0"/>
              <w:rPr>
                <w:sz w:val="1"/>
                <w:szCs w:val="1"/>
                <w:color w:val="auto"/>
              </w:rPr>
            </w:pPr>
          </w:p>
        </w:tc>
      </w:tr>
      <w:tr>
        <w:trPr>
          <w:trHeight w:val="203"/>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7.0 %</w:t>
            </w:r>
          </w:p>
        </w:tc>
        <w:tc>
          <w:tcPr>
            <w:tcW w:w="700" w:type="dxa"/>
            <w:vAlign w:val="bottom"/>
            <w:tcBorders>
              <w:right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5.9 %</w:t>
            </w: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7.0 %</w:t>
            </w:r>
          </w:p>
        </w:tc>
        <w:tc>
          <w:tcPr>
            <w:tcW w:w="8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6.1 %</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6.6 %</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200" w:type="dxa"/>
            <w:vAlign w:val="bottom"/>
          </w:tcPr>
          <w:p>
            <w:pPr>
              <w:spacing w:after="0"/>
              <w:rPr>
                <w:sz w:val="17"/>
                <w:szCs w:val="17"/>
                <w:color w:val="auto"/>
              </w:rPr>
            </w:pPr>
          </w:p>
        </w:tc>
        <w:tc>
          <w:tcPr>
            <w:tcW w:w="900" w:type="dxa"/>
            <w:vAlign w:val="bottom"/>
            <w:tcBorders>
              <w:right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N/A</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03"/>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Rate of compensation increase</w:t>
            </w: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4.5 %</w:t>
            </w:r>
          </w:p>
        </w:tc>
        <w:tc>
          <w:tcPr>
            <w:tcW w:w="700" w:type="dxa"/>
            <w:vAlign w:val="bottom"/>
            <w:tcBorders>
              <w:right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3.9 %</w:t>
            </w: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4.5 %</w:t>
            </w:r>
          </w:p>
        </w:tc>
        <w:tc>
          <w:tcPr>
            <w:tcW w:w="8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4.2 %</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4.5 %</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200" w:type="dxa"/>
            <w:vAlign w:val="bottom"/>
          </w:tcPr>
          <w:p>
            <w:pPr>
              <w:spacing w:after="0"/>
              <w:rPr>
                <w:sz w:val="17"/>
                <w:szCs w:val="17"/>
                <w:color w:val="auto"/>
              </w:rPr>
            </w:pPr>
          </w:p>
        </w:tc>
        <w:tc>
          <w:tcPr>
            <w:tcW w:w="900" w:type="dxa"/>
            <w:vAlign w:val="bottom"/>
            <w:tcBorders>
              <w:right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N/A</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3"/>
        </w:trPr>
        <w:tc>
          <w:tcPr>
            <w:tcW w:w="366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700" w:type="dxa"/>
            <w:vAlign w:val="bottom"/>
            <w:tcBorders>
              <w:bottom w:val="single" w:sz="8" w:color="0077C0"/>
              <w:right w:val="single" w:sz="8" w:color="0077C0"/>
            </w:tcBorders>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c>
          <w:tcPr>
            <w:tcW w:w="800" w:type="dxa"/>
            <w:vAlign w:val="bottom"/>
            <w:tcBorders>
              <w:bottom w:val="single" w:sz="8" w:color="0077C0"/>
            </w:tcBorders>
          </w:tcPr>
          <w:p>
            <w:pPr>
              <w:spacing w:after="0"/>
              <w:rPr>
                <w:sz w:val="2"/>
                <w:szCs w:val="2"/>
                <w:color w:val="auto"/>
              </w:rPr>
            </w:pPr>
          </w:p>
        </w:tc>
        <w:tc>
          <w:tcPr>
            <w:tcW w:w="78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900" w:type="dxa"/>
            <w:vAlign w:val="bottom"/>
            <w:tcBorders>
              <w:bottom w:val="single" w:sz="8" w:color="0077C0"/>
              <w:right w:val="single" w:sz="8" w:color="0077C0"/>
            </w:tcBorders>
          </w:tcPr>
          <w:p>
            <w:pPr>
              <w:spacing w:after="0"/>
              <w:rPr>
                <w:sz w:val="2"/>
                <w:szCs w:val="2"/>
                <w:color w:val="auto"/>
              </w:rPr>
            </w:pPr>
          </w:p>
        </w:tc>
        <w:tc>
          <w:tcPr>
            <w:tcW w:w="82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Expected Return on Plan Assets </w:t>
      </w:r>
      <w:r>
        <w:rPr>
          <w:rFonts w:ascii="Times New Roman" w:cs="Times New Roman" w:eastAsia="Times New Roman" w:hAnsi="Times New Roman"/>
          <w:sz w:val="18"/>
          <w:szCs w:val="18"/>
          <w:color w:val="000000"/>
        </w:rPr>
        <w:t>The company’s estimated long-term rates of return on pension assets are driven primarily by actual historical asset-class</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returns, an assessment of expected future performance, advice from external actuarial firms and the incorporation of specific asset-class risk factors. Asset allocations are periodically updated using pension plan asset/liability studies, and the company’s estimated long-term rates of return are consistent with these studies. For 2024, the company used an expected long-term rate of return of 7.0 percent for U.S. pension plan assets, which account for 73 percent of the company’s pension plan assets at the beginning of the year.</w:t>
      </w:r>
    </w:p>
    <w:p>
      <w:pPr>
        <w:spacing w:after="0" w:line="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market-related value of assets of the main U.S. pension plan used in the determination of pension expense was based on the market values in the three months preceding the year-end measurement date. Management considers the three-month time period long enough to minimize the effects of distortions from day-to-day market volatility and still be contemporaneous to the end of the year. For other plans, market value of assets as of year-end is used in calculating the pension expense.</w:t>
      </w:r>
    </w:p>
    <w:p>
      <w:pPr>
        <w:spacing w:after="0" w:line="4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Discount Rate </w:t>
      </w:r>
      <w:r>
        <w:rPr>
          <w:rFonts w:ascii="Times New Roman" w:cs="Times New Roman" w:eastAsia="Times New Roman" w:hAnsi="Times New Roman"/>
          <w:sz w:val="18"/>
          <w:szCs w:val="18"/>
          <w:color w:val="000000"/>
        </w:rPr>
        <w:t>The discount rate assumptions used to determine the U.S. and international pension and OPEB plan obligations and expense reflect the rate</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at which benefits could be effectively settled, and are equal to the equivalent single rate resulting from yield curve analysis. This analysis considered the projected benefit payments specific to the company’s plans and the yields on high-quality bonds. The projected cash flows were discounted to the valuation date using the yield curve for the main U.S. pension and OPEB plans. The effective discount rates derived from this analysis were 5.7 percent, 5.0 percent, and 5.2 percent for 2024, 2023, and 2022, respectively, for the main U.S. pension plan and 5.6 percent, 5.0 percent, and 5.2 percent for 2024, 2023, and 2022, respectively, for the main U.S. OPEB plans.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97" w:name="page98"/>
    <w:bookmarkEnd w:id="97"/>
    <w:p>
      <w:pPr>
        <w:ind w:left="20"/>
        <w:spacing w:after="0"/>
        <w:tabs>
          <w:tab w:leader="none" w:pos="9460" w:val="left"/>
        </w:tabs>
        <w:rPr>
          <w:sz w:val="20"/>
          <w:szCs w:val="20"/>
          <w:color w:val="auto"/>
        </w:rPr>
      </w:pPr>
      <w:r>
        <w:rPr>
          <w:rFonts w:ascii="Arial" w:cs="Arial" w:eastAsia="Arial" w:hAnsi="Arial"/>
          <w:sz w:val="14"/>
          <w:szCs w:val="14"/>
          <w:color w:val="0077C0"/>
        </w:rPr>
        <w:t>Notes to the Consolidated Financial Statements</w:t>
      </w:r>
      <w:r>
        <w:rPr>
          <w:sz w:val="20"/>
          <w:szCs w:val="20"/>
          <w:color w:val="auto"/>
        </w:rPr>
        <w:tab/>
      </w:r>
      <w:r>
        <w:rPr>
          <w:rFonts w:ascii="Arial" w:cs="Arial" w:eastAsia="Arial" w:hAnsi="Arial"/>
          <w:sz w:val="14"/>
          <w:szCs w:val="14"/>
          <w:color w:val="0077C0"/>
        </w:rPr>
        <w:t>Financial Table of Contents</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11"/>
          <w:szCs w:val="11"/>
          <w:color w:val="0077C0"/>
        </w:rPr>
        <w:t>Millions of dollars, except per-share amounts</w:t>
      </w:r>
    </w:p>
    <w:p>
      <w:pPr>
        <w:spacing w:after="0" w:line="200" w:lineRule="exact"/>
        <w:rPr>
          <w:sz w:val="20"/>
          <w:szCs w:val="20"/>
          <w:color w:val="auto"/>
        </w:rPr>
      </w:pPr>
    </w:p>
    <w:p>
      <w:pPr>
        <w:spacing w:after="0" w:line="36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Other Benefit Assumptions </w:t>
      </w:r>
      <w:r>
        <w:rPr>
          <w:rFonts w:ascii="Times New Roman" w:cs="Times New Roman" w:eastAsia="Times New Roman" w:hAnsi="Times New Roman"/>
          <w:sz w:val="18"/>
          <w:szCs w:val="18"/>
          <w:color w:val="000000"/>
        </w:rPr>
        <w:t>For the measurement of accumulated post-employment benefit obligation at December 31, 2024, for the main U.S. OPEB plan,</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the assumed health care cost-trend rates start with 8.4 percent in 2025 and gradually decline to 4.5 percent for 2034 and beyond. For this measurement at December 31, 2023, the assumed health care cost-trend rates started with 8.4 percent in 2024 and gradually declined to 4.5 percent for 2033 and beyond.</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FF0000"/>
        </w:rPr>
        <w:t>Plan Assets and Investment Strategy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measurements of the company’s pension plans for 2024 and 2023 are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U.S.</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Int’l.</w:t>
            </w:r>
          </w:p>
        </w:tc>
      </w:tr>
      <w:tr>
        <w:trPr>
          <w:trHeight w:val="23"/>
        </w:trPr>
        <w:tc>
          <w:tcPr>
            <w:tcW w:w="2700" w:type="dxa"/>
            <w:vAlign w:val="bottom"/>
          </w:tcPr>
          <w:p>
            <w:pPr>
              <w:spacing w:after="0"/>
              <w:rPr>
                <w:sz w:val="2"/>
                <w:szCs w:val="2"/>
                <w:color w:val="auto"/>
              </w:rPr>
            </w:pPr>
          </w:p>
        </w:tc>
        <w:tc>
          <w:tcPr>
            <w:tcW w:w="24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24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24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24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24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24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r>
      <w:tr>
        <w:trPr>
          <w:trHeight w:val="189"/>
        </w:trPr>
        <w:tc>
          <w:tcPr>
            <w:tcW w:w="2700" w:type="dxa"/>
            <w:vAlign w:val="bottom"/>
            <w:tcBorders>
              <w:bottom w:val="single" w:sz="8" w:color="0077C0"/>
            </w:tcBorders>
          </w:tcPr>
          <w:p>
            <w:pPr>
              <w:spacing w:after="0"/>
              <w:rPr>
                <w:sz w:val="16"/>
                <w:szCs w:val="16"/>
                <w:color w:val="auto"/>
              </w:rPr>
            </w:pPr>
          </w:p>
        </w:tc>
        <w:tc>
          <w:tcPr>
            <w:tcW w:w="240" w:type="dxa"/>
            <w:vAlign w:val="bottom"/>
            <w:tcBorders>
              <w:bottom w:val="single" w:sz="8" w:color="0077C0"/>
            </w:tcBorders>
          </w:tcPr>
          <w:p>
            <w:pPr>
              <w:spacing w:after="0"/>
              <w:rPr>
                <w:sz w:val="16"/>
                <w:szCs w:val="16"/>
                <w:color w:val="auto"/>
              </w:rPr>
            </w:pPr>
          </w:p>
        </w:tc>
        <w:tc>
          <w:tcPr>
            <w:tcW w:w="58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0077C0"/>
            </w:tcBorders>
          </w:tcPr>
          <w:p>
            <w:pPr>
              <w:spacing w:after="0"/>
              <w:rPr>
                <w:sz w:val="16"/>
                <w:szCs w:val="16"/>
                <w:color w:val="auto"/>
              </w:rPr>
            </w:pP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Level 1</w:t>
            </w:r>
          </w:p>
        </w:tc>
        <w:tc>
          <w:tcPr>
            <w:tcW w:w="260" w:type="dxa"/>
            <w:vAlign w:val="bottom"/>
            <w:tcBorders>
              <w:bottom w:val="single" w:sz="8" w:color="0077C0"/>
            </w:tcBorders>
          </w:tcPr>
          <w:p>
            <w:pPr>
              <w:spacing w:after="0"/>
              <w:rPr>
                <w:sz w:val="16"/>
                <w:szCs w:val="16"/>
                <w:color w:val="auto"/>
              </w:rPr>
            </w:pPr>
          </w:p>
        </w:tc>
        <w:tc>
          <w:tcPr>
            <w:tcW w:w="60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Level 2</w:t>
            </w:r>
          </w:p>
        </w:tc>
        <w:tc>
          <w:tcPr>
            <w:tcW w:w="240" w:type="dxa"/>
            <w:vAlign w:val="bottom"/>
            <w:tcBorders>
              <w:bottom w:val="single" w:sz="8" w:color="0077C0"/>
            </w:tcBorders>
          </w:tcPr>
          <w:p>
            <w:pPr>
              <w:spacing w:after="0"/>
              <w:rPr>
                <w:sz w:val="16"/>
                <w:szCs w:val="16"/>
                <w:color w:val="auto"/>
              </w:rPr>
            </w:pP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Level 3</w:t>
            </w:r>
          </w:p>
        </w:tc>
        <w:tc>
          <w:tcPr>
            <w:tcW w:w="280" w:type="dxa"/>
            <w:vAlign w:val="bottom"/>
            <w:tcBorders>
              <w:bottom w:val="single" w:sz="8" w:color="0077C0"/>
            </w:tcBorders>
          </w:tcPr>
          <w:p>
            <w:pPr>
              <w:spacing w:after="0"/>
              <w:rPr>
                <w:sz w:val="16"/>
                <w:szCs w:val="16"/>
                <w:color w:val="auto"/>
              </w:rPr>
            </w:pPr>
          </w:p>
        </w:tc>
        <w:tc>
          <w:tcPr>
            <w:tcW w:w="660" w:type="dxa"/>
            <w:vAlign w:val="bottom"/>
            <w:tcBorders>
              <w:bottom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color w:val="auto"/>
              </w:rPr>
              <w:t>NAV</w:t>
            </w:r>
          </w:p>
        </w:tc>
        <w:tc>
          <w:tcPr>
            <w:tcW w:w="80" w:type="dxa"/>
            <w:vAlign w:val="bottom"/>
            <w:tcBorders>
              <w:bottom w:val="single" w:sz="8" w:color="0077C0"/>
            </w:tcBorders>
          </w:tcPr>
          <w:p>
            <w:pPr>
              <w:spacing w:after="0"/>
              <w:rPr>
                <w:sz w:val="16"/>
                <w:szCs w:val="16"/>
                <w:color w:val="auto"/>
              </w:rPr>
            </w:pPr>
          </w:p>
        </w:tc>
        <w:tc>
          <w:tcPr>
            <w:tcW w:w="240" w:type="dxa"/>
            <w:vAlign w:val="bottom"/>
            <w:tcBorders>
              <w:bottom w:val="single" w:sz="8" w:color="0077C0"/>
            </w:tcBorders>
          </w:tcPr>
          <w:p>
            <w:pPr>
              <w:spacing w:after="0"/>
              <w:rPr>
                <w:sz w:val="16"/>
                <w:szCs w:val="16"/>
                <w:color w:val="auto"/>
              </w:rPr>
            </w:pPr>
          </w:p>
        </w:tc>
        <w:tc>
          <w:tcPr>
            <w:tcW w:w="58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0077C0"/>
            </w:tcBorders>
          </w:tcPr>
          <w:p>
            <w:pPr>
              <w:spacing w:after="0"/>
              <w:rPr>
                <w:sz w:val="16"/>
                <w:szCs w:val="16"/>
                <w:color w:val="auto"/>
              </w:rPr>
            </w:pP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Level 1</w:t>
            </w:r>
          </w:p>
        </w:tc>
        <w:tc>
          <w:tcPr>
            <w:tcW w:w="24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Level 2</w:t>
            </w:r>
          </w:p>
        </w:tc>
        <w:tc>
          <w:tcPr>
            <w:tcW w:w="240" w:type="dxa"/>
            <w:vAlign w:val="bottom"/>
            <w:tcBorders>
              <w:bottom w:val="single" w:sz="8" w:color="0077C0"/>
            </w:tcBorders>
          </w:tcPr>
          <w:p>
            <w:pPr>
              <w:spacing w:after="0"/>
              <w:rPr>
                <w:sz w:val="16"/>
                <w:szCs w:val="16"/>
                <w:color w:val="auto"/>
              </w:rPr>
            </w:pPr>
          </w:p>
        </w:tc>
        <w:tc>
          <w:tcPr>
            <w:tcW w:w="600" w:type="dxa"/>
            <w:vAlign w:val="bottom"/>
            <w:tcBorders>
              <w:bottom w:val="single" w:sz="8" w:color="0077C0"/>
            </w:tcBorders>
          </w:tcPr>
          <w:p>
            <w:pPr>
              <w:ind w:left="100"/>
              <w:spacing w:after="0"/>
              <w:rPr>
                <w:sz w:val="20"/>
                <w:szCs w:val="20"/>
                <w:color w:val="auto"/>
              </w:rPr>
            </w:pPr>
            <w:r>
              <w:rPr>
                <w:rFonts w:ascii="Times New Roman" w:cs="Times New Roman" w:eastAsia="Times New Roman" w:hAnsi="Times New Roman"/>
                <w:sz w:val="14"/>
                <w:szCs w:val="14"/>
                <w:color w:val="auto"/>
              </w:rPr>
              <w:t>Level 3</w:t>
            </w:r>
          </w:p>
        </w:tc>
        <w:tc>
          <w:tcPr>
            <w:tcW w:w="280" w:type="dxa"/>
            <w:vAlign w:val="bottom"/>
            <w:tcBorders>
              <w:bottom w:val="single" w:sz="8" w:color="0077C0"/>
            </w:tcBorders>
          </w:tcPr>
          <w:p>
            <w:pPr>
              <w:spacing w:after="0"/>
              <w:rPr>
                <w:sz w:val="16"/>
                <w:szCs w:val="16"/>
                <w:color w:val="auto"/>
              </w:rPr>
            </w:pPr>
          </w:p>
        </w:tc>
        <w:tc>
          <w:tcPr>
            <w:tcW w:w="5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NAV</w:t>
            </w:r>
          </w:p>
        </w:tc>
      </w:tr>
      <w:tr>
        <w:trPr>
          <w:trHeight w:val="188"/>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At December 31, 2023</w:t>
            </w: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Borders>
              <w:right w:val="single" w:sz="8" w:color="0077C0"/>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193"/>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Equities</w:t>
            </w: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Borders>
              <w:right w:val="single" w:sz="8" w:color="0077C0"/>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17"/>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U.S.</w:t>
            </w:r>
            <w:r>
              <w:rPr>
                <w:rFonts w:ascii="Times New Roman" w:cs="Times New Roman" w:eastAsia="Times New Roman" w:hAnsi="Times New Roman"/>
                <w:sz w:val="18"/>
                <w:szCs w:val="18"/>
                <w:color w:val="auto"/>
                <w:vertAlign w:val="superscript"/>
              </w:rPr>
              <w:t>1</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1,691</w:t>
            </w:r>
          </w:p>
        </w:tc>
        <w:tc>
          <w:tcPr>
            <w:tcW w:w="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1,689</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188</w:t>
            </w:r>
          </w:p>
        </w:tc>
        <w:tc>
          <w:tcPr>
            <w:tcW w:w="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188</w:t>
            </w:r>
          </w:p>
        </w:tc>
        <w:tc>
          <w:tcPr>
            <w:tcW w:w="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International</w:t>
            </w:r>
          </w:p>
        </w:tc>
        <w:tc>
          <w:tcPr>
            <w:tcW w:w="24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1,128</w:t>
            </w:r>
          </w:p>
        </w:tc>
        <w:tc>
          <w:tcPr>
            <w:tcW w:w="24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1,128</w:t>
            </w:r>
          </w:p>
        </w:tc>
        <w:tc>
          <w:tcPr>
            <w:tcW w:w="26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6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124</w:t>
            </w:r>
          </w:p>
        </w:tc>
        <w:tc>
          <w:tcPr>
            <w:tcW w:w="24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124</w:t>
            </w:r>
          </w:p>
        </w:tc>
        <w:tc>
          <w:tcPr>
            <w:tcW w:w="24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7"/>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Collective Trusts/Mutual Funds</w:t>
            </w:r>
            <w:r>
              <w:rPr>
                <w:rFonts w:ascii="Times New Roman" w:cs="Times New Roman" w:eastAsia="Times New Roman" w:hAnsi="Times New Roman"/>
                <w:sz w:val="18"/>
                <w:szCs w:val="18"/>
                <w:color w:val="auto"/>
                <w:vertAlign w:val="superscript"/>
              </w:rPr>
              <w:t>2</w:t>
            </w:r>
          </w:p>
        </w:tc>
        <w:tc>
          <w:tcPr>
            <w:tcW w:w="240" w:type="dxa"/>
            <w:vAlign w:val="bottom"/>
          </w:tcPr>
          <w:p>
            <w:pPr>
              <w:spacing w:after="0"/>
              <w:rPr>
                <w:sz w:val="18"/>
                <w:szCs w:val="18"/>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1,269</w:t>
            </w:r>
          </w:p>
        </w:tc>
        <w:tc>
          <w:tcPr>
            <w:tcW w:w="240" w:type="dxa"/>
            <w:vAlign w:val="bottom"/>
          </w:tcPr>
          <w:p>
            <w:pPr>
              <w:spacing w:after="0"/>
              <w:rPr>
                <w:sz w:val="18"/>
                <w:szCs w:val="18"/>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c>
          <w:tcPr>
            <w:tcW w:w="260" w:type="dxa"/>
            <w:vAlign w:val="bottom"/>
          </w:tcPr>
          <w:p>
            <w:pPr>
              <w:spacing w:after="0"/>
              <w:rPr>
                <w:sz w:val="18"/>
                <w:szCs w:val="18"/>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8"/>
                <w:szCs w:val="18"/>
                <w:color w:val="auto"/>
              </w:rPr>
            </w:pPr>
          </w:p>
        </w:tc>
        <w:tc>
          <w:tcPr>
            <w:tcW w:w="66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color w:val="auto"/>
              </w:rPr>
              <w:t>1,265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95</w:t>
            </w:r>
          </w:p>
        </w:tc>
        <w:tc>
          <w:tcPr>
            <w:tcW w:w="240" w:type="dxa"/>
            <w:vAlign w:val="bottom"/>
          </w:tcPr>
          <w:p>
            <w:pPr>
              <w:spacing w:after="0"/>
              <w:rPr>
                <w:sz w:val="18"/>
                <w:szCs w:val="18"/>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tcPr>
          <w:p>
            <w:pPr>
              <w:spacing w:after="0"/>
              <w:rPr>
                <w:sz w:val="18"/>
                <w:szCs w:val="18"/>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188"/>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Income</w:t>
            </w: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Borders>
              <w:right w:val="single" w:sz="8" w:color="0077C0"/>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03"/>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Government</w:t>
            </w:r>
          </w:p>
        </w:tc>
        <w:tc>
          <w:tcPr>
            <w:tcW w:w="240" w:type="dxa"/>
            <w:vAlign w:val="bottom"/>
          </w:tcPr>
          <w:p>
            <w:pPr>
              <w:spacing w:after="0"/>
              <w:rPr>
                <w:sz w:val="17"/>
                <w:szCs w:val="17"/>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82</w:t>
            </w:r>
          </w:p>
        </w:tc>
        <w:tc>
          <w:tcPr>
            <w:tcW w:w="24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82</w:t>
            </w:r>
          </w:p>
        </w:tc>
        <w:tc>
          <w:tcPr>
            <w:tcW w:w="24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66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172</w:t>
            </w:r>
          </w:p>
        </w:tc>
        <w:tc>
          <w:tcPr>
            <w:tcW w:w="240" w:type="dxa"/>
            <w:vAlign w:val="bottom"/>
          </w:tcPr>
          <w:p>
            <w:pPr>
              <w:spacing w:after="0"/>
              <w:rPr>
                <w:sz w:val="17"/>
                <w:szCs w:val="17"/>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101</w:t>
            </w:r>
          </w:p>
        </w:tc>
        <w:tc>
          <w:tcPr>
            <w:tcW w:w="240" w:type="dxa"/>
            <w:vAlign w:val="bottom"/>
          </w:tcPr>
          <w:p>
            <w:pPr>
              <w:spacing w:after="0"/>
              <w:rPr>
                <w:sz w:val="17"/>
                <w:szCs w:val="17"/>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71</w:t>
            </w:r>
          </w:p>
        </w:tc>
        <w:tc>
          <w:tcPr>
            <w:tcW w:w="240" w:type="dxa"/>
            <w:vAlign w:val="bottom"/>
          </w:tcPr>
          <w:p>
            <w:pPr>
              <w:spacing w:after="0"/>
              <w:rPr>
                <w:sz w:val="17"/>
                <w:szCs w:val="17"/>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Corporate</w:t>
            </w:r>
          </w:p>
        </w:tc>
        <w:tc>
          <w:tcPr>
            <w:tcW w:w="240" w:type="dxa"/>
            <w:vAlign w:val="bottom"/>
          </w:tcPr>
          <w:p>
            <w:pPr>
              <w:spacing w:after="0"/>
              <w:rPr>
                <w:sz w:val="17"/>
                <w:szCs w:val="17"/>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964</w:t>
            </w:r>
          </w:p>
        </w:tc>
        <w:tc>
          <w:tcPr>
            <w:tcW w:w="24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964</w:t>
            </w:r>
          </w:p>
        </w:tc>
        <w:tc>
          <w:tcPr>
            <w:tcW w:w="24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66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431</w:t>
            </w:r>
          </w:p>
        </w:tc>
        <w:tc>
          <w:tcPr>
            <w:tcW w:w="240" w:type="dxa"/>
            <w:vAlign w:val="bottom"/>
          </w:tcPr>
          <w:p>
            <w:pPr>
              <w:spacing w:after="0"/>
              <w:rPr>
                <w:sz w:val="17"/>
                <w:szCs w:val="17"/>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tcPr>
          <w:p>
            <w:pPr>
              <w:spacing w:after="0"/>
              <w:rPr>
                <w:sz w:val="17"/>
                <w:szCs w:val="17"/>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427</w:t>
            </w:r>
          </w:p>
        </w:tc>
        <w:tc>
          <w:tcPr>
            <w:tcW w:w="240" w:type="dxa"/>
            <w:vAlign w:val="bottom"/>
          </w:tcPr>
          <w:p>
            <w:pPr>
              <w:spacing w:after="0"/>
              <w:rPr>
                <w:sz w:val="17"/>
                <w:szCs w:val="17"/>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Bank Loans</w:t>
            </w:r>
          </w:p>
        </w:tc>
        <w:tc>
          <w:tcPr>
            <w:tcW w:w="240" w:type="dxa"/>
            <w:vAlign w:val="bottom"/>
          </w:tcPr>
          <w:p>
            <w:pPr>
              <w:spacing w:after="0"/>
              <w:rPr>
                <w:sz w:val="17"/>
                <w:szCs w:val="17"/>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66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Mortgage/Asset Backed</w:t>
            </w:r>
          </w:p>
        </w:tc>
        <w:tc>
          <w:tcPr>
            <w:tcW w:w="240" w:type="dxa"/>
            <w:vAlign w:val="bottom"/>
          </w:tcPr>
          <w:p>
            <w:pPr>
              <w:spacing w:after="0"/>
              <w:rPr>
                <w:sz w:val="17"/>
                <w:szCs w:val="17"/>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66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spacing w:after="0"/>
              <w:rPr>
                <w:sz w:val="17"/>
                <w:szCs w:val="17"/>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spacing w:after="0"/>
              <w:rPr>
                <w:sz w:val="17"/>
                <w:szCs w:val="17"/>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4"/>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Collective Trusts/Mutual Funds</w:t>
            </w:r>
            <w:r>
              <w:rPr>
                <w:rFonts w:ascii="Times New Roman" w:cs="Times New Roman" w:eastAsia="Times New Roman" w:hAnsi="Times New Roman"/>
                <w:sz w:val="18"/>
                <w:szCs w:val="18"/>
                <w:color w:val="auto"/>
                <w:vertAlign w:val="superscript"/>
              </w:rPr>
              <w:t>2</w:t>
            </w:r>
          </w:p>
        </w:tc>
        <w:tc>
          <w:tcPr>
            <w:tcW w:w="240" w:type="dxa"/>
            <w:vAlign w:val="bottom"/>
          </w:tcPr>
          <w:p>
            <w:pPr>
              <w:spacing w:after="0"/>
              <w:rPr>
                <w:sz w:val="18"/>
                <w:szCs w:val="18"/>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2,293</w:t>
            </w:r>
          </w:p>
        </w:tc>
        <w:tc>
          <w:tcPr>
            <w:tcW w:w="240" w:type="dxa"/>
            <w:vAlign w:val="bottom"/>
          </w:tcPr>
          <w:p>
            <w:pPr>
              <w:spacing w:after="0"/>
              <w:rPr>
                <w:sz w:val="18"/>
                <w:szCs w:val="18"/>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8"/>
                <w:szCs w:val="18"/>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8"/>
                <w:szCs w:val="18"/>
                <w:color w:val="auto"/>
              </w:rPr>
            </w:pPr>
          </w:p>
        </w:tc>
        <w:tc>
          <w:tcPr>
            <w:tcW w:w="66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color w:val="auto"/>
              </w:rPr>
              <w:t>2,293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1,819</w:t>
            </w:r>
          </w:p>
        </w:tc>
        <w:tc>
          <w:tcPr>
            <w:tcW w:w="240" w:type="dxa"/>
            <w:vAlign w:val="bottom"/>
          </w:tcPr>
          <w:p>
            <w:pPr>
              <w:spacing w:after="0"/>
              <w:rPr>
                <w:sz w:val="18"/>
                <w:szCs w:val="18"/>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1,819</w:t>
            </w:r>
          </w:p>
        </w:tc>
      </w:tr>
      <w:tr>
        <w:trPr>
          <w:trHeight w:val="203"/>
        </w:trPr>
        <w:tc>
          <w:tcPr>
            <w:tcW w:w="270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Mixed Funds</w:t>
            </w:r>
            <w:r>
              <w:rPr>
                <w:rFonts w:ascii="Times New Roman" w:cs="Times New Roman" w:eastAsia="Times New Roman" w:hAnsi="Times New Roman"/>
                <w:sz w:val="18"/>
                <w:szCs w:val="18"/>
                <w:color w:val="auto"/>
                <w:vertAlign w:val="superscript"/>
              </w:rPr>
              <w:t>3</w:t>
            </w:r>
          </w:p>
        </w:tc>
        <w:tc>
          <w:tcPr>
            <w:tcW w:w="240" w:type="dxa"/>
            <w:vAlign w:val="bottom"/>
          </w:tcPr>
          <w:p>
            <w:pPr>
              <w:spacing w:after="0"/>
              <w:rPr>
                <w:sz w:val="17"/>
                <w:szCs w:val="17"/>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66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85</w:t>
            </w:r>
          </w:p>
        </w:tc>
        <w:tc>
          <w:tcPr>
            <w:tcW w:w="240" w:type="dxa"/>
            <w:vAlign w:val="bottom"/>
          </w:tcPr>
          <w:p>
            <w:pPr>
              <w:spacing w:after="0"/>
              <w:rPr>
                <w:sz w:val="17"/>
                <w:szCs w:val="17"/>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240" w:type="dxa"/>
            <w:vAlign w:val="bottom"/>
          </w:tcPr>
          <w:p>
            <w:pPr>
              <w:spacing w:after="0"/>
              <w:rPr>
                <w:sz w:val="17"/>
                <w:szCs w:val="17"/>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77</w:t>
            </w:r>
          </w:p>
        </w:tc>
        <w:tc>
          <w:tcPr>
            <w:tcW w:w="240" w:type="dxa"/>
            <w:vAlign w:val="bottom"/>
          </w:tcPr>
          <w:p>
            <w:pPr>
              <w:spacing w:after="0"/>
              <w:rPr>
                <w:sz w:val="17"/>
                <w:szCs w:val="17"/>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2700" w:type="dxa"/>
            <w:vAlign w:val="bottom"/>
          </w:tcPr>
          <w:p>
            <w:pPr>
              <w:ind w:left="20"/>
              <w:spacing w:after="0" w:line="206" w:lineRule="exact"/>
              <w:rPr>
                <w:sz w:val="20"/>
                <w:szCs w:val="20"/>
                <w:color w:val="auto"/>
              </w:rPr>
            </w:pPr>
            <w:r>
              <w:rPr>
                <w:rFonts w:ascii="Times New Roman" w:cs="Times New Roman" w:eastAsia="Times New Roman" w:hAnsi="Times New Roman"/>
                <w:sz w:val="14"/>
                <w:szCs w:val="14"/>
                <w:color w:val="auto"/>
              </w:rPr>
              <w:t>Real Estate</w:t>
            </w:r>
            <w:r>
              <w:rPr>
                <w:rFonts w:ascii="Times New Roman" w:cs="Times New Roman" w:eastAsia="Times New Roman" w:hAnsi="Times New Roman"/>
                <w:sz w:val="18"/>
                <w:szCs w:val="18"/>
                <w:color w:val="auto"/>
                <w:vertAlign w:val="superscript"/>
              </w:rPr>
              <w:t>4</w:t>
            </w:r>
          </w:p>
        </w:tc>
        <w:tc>
          <w:tcPr>
            <w:tcW w:w="240" w:type="dxa"/>
            <w:vAlign w:val="bottom"/>
          </w:tcPr>
          <w:p>
            <w:pPr>
              <w:spacing w:after="0"/>
              <w:rPr>
                <w:sz w:val="17"/>
                <w:szCs w:val="17"/>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1,087</w:t>
            </w:r>
          </w:p>
        </w:tc>
        <w:tc>
          <w:tcPr>
            <w:tcW w:w="24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66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color w:val="auto"/>
              </w:rPr>
              <w:t>1,087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147</w:t>
            </w:r>
          </w:p>
        </w:tc>
        <w:tc>
          <w:tcPr>
            <w:tcW w:w="240" w:type="dxa"/>
            <w:vAlign w:val="bottom"/>
          </w:tcPr>
          <w:p>
            <w:pPr>
              <w:spacing w:after="0"/>
              <w:rPr>
                <w:sz w:val="17"/>
                <w:szCs w:val="17"/>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w:t>
            </w:r>
          </w:p>
        </w:tc>
        <w:tc>
          <w:tcPr>
            <w:tcW w:w="240" w:type="dxa"/>
            <w:vAlign w:val="bottom"/>
          </w:tcPr>
          <w:p>
            <w:pPr>
              <w:spacing w:after="0"/>
              <w:rPr>
                <w:sz w:val="17"/>
                <w:szCs w:val="17"/>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r>
      <w:tr>
        <w:trPr>
          <w:trHeight w:val="188"/>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Alternative Investments</w:t>
            </w:r>
          </w:p>
        </w:tc>
        <w:tc>
          <w:tcPr>
            <w:tcW w:w="24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6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tcPr>
          <w:p>
            <w:pPr>
              <w:spacing w:after="0"/>
              <w:rPr>
                <w:sz w:val="16"/>
                <w:szCs w:val="16"/>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tcPr>
          <w:p>
            <w:pPr>
              <w:spacing w:after="0"/>
              <w:rPr>
                <w:sz w:val="17"/>
                <w:szCs w:val="17"/>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548</w:t>
            </w:r>
          </w:p>
        </w:tc>
        <w:tc>
          <w:tcPr>
            <w:tcW w:w="24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w:t>
            </w:r>
          </w:p>
        </w:tc>
        <w:tc>
          <w:tcPr>
            <w:tcW w:w="260" w:type="dxa"/>
            <w:vAlign w:val="bottom"/>
          </w:tcPr>
          <w:p>
            <w:pPr>
              <w:spacing w:after="0"/>
              <w:rPr>
                <w:sz w:val="17"/>
                <w:szCs w:val="17"/>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66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color w:val="auto"/>
              </w:rPr>
              <w:t>536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81</w:t>
            </w:r>
          </w:p>
        </w:tc>
        <w:tc>
          <w:tcPr>
            <w:tcW w:w="240" w:type="dxa"/>
            <w:vAlign w:val="bottom"/>
          </w:tcPr>
          <w:p>
            <w:pPr>
              <w:spacing w:after="0"/>
              <w:rPr>
                <w:sz w:val="17"/>
                <w:szCs w:val="17"/>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74</w:t>
            </w:r>
          </w:p>
        </w:tc>
        <w:tc>
          <w:tcPr>
            <w:tcW w:w="240" w:type="dxa"/>
            <w:vAlign w:val="bottom"/>
          </w:tcPr>
          <w:p>
            <w:pPr>
              <w:spacing w:after="0"/>
              <w:rPr>
                <w:sz w:val="17"/>
                <w:szCs w:val="17"/>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7"/>
                <w:szCs w:val="17"/>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26"/>
        </w:trPr>
        <w:tc>
          <w:tcPr>
            <w:tcW w:w="270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color w:val="auto"/>
                <w:vertAlign w:val="superscript"/>
              </w:rPr>
              <w:t>5</w:t>
            </w:r>
          </w:p>
        </w:tc>
        <w:tc>
          <w:tcPr>
            <w:tcW w:w="240" w:type="dxa"/>
            <w:vAlign w:val="bottom"/>
            <w:tcBorders>
              <w:bottom w:val="single" w:sz="8" w:color="0077C0"/>
            </w:tcBorders>
          </w:tcPr>
          <w:p>
            <w:pPr>
              <w:spacing w:after="0"/>
              <w:rPr>
                <w:sz w:val="19"/>
                <w:szCs w:val="19"/>
                <w:color w:val="auto"/>
              </w:rPr>
            </w:pPr>
          </w:p>
        </w:tc>
        <w:tc>
          <w:tcPr>
            <w:tcW w:w="580" w:type="dxa"/>
            <w:vAlign w:val="bottom"/>
            <w:tcBorders>
              <w:bottom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color w:val="auto"/>
              </w:rPr>
              <w:t>69</w:t>
            </w:r>
          </w:p>
        </w:tc>
        <w:tc>
          <w:tcPr>
            <w:tcW w:w="240" w:type="dxa"/>
            <w:vAlign w:val="bottom"/>
            <w:tcBorders>
              <w:bottom w:val="single" w:sz="8" w:color="0077C0"/>
            </w:tcBorders>
          </w:tcPr>
          <w:p>
            <w:pPr>
              <w:spacing w:after="0"/>
              <w:rPr>
                <w:sz w:val="19"/>
                <w:szCs w:val="19"/>
                <w:color w:val="auto"/>
              </w:rPr>
            </w:pPr>
          </w:p>
        </w:tc>
        <w:tc>
          <w:tcPr>
            <w:tcW w:w="60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tcBorders>
              <w:bottom w:val="single" w:sz="8" w:color="0077C0"/>
            </w:tcBorders>
          </w:tcPr>
          <w:p>
            <w:pPr>
              <w:spacing w:after="0"/>
              <w:rPr>
                <w:sz w:val="19"/>
                <w:szCs w:val="19"/>
                <w:color w:val="auto"/>
              </w:rPr>
            </w:pPr>
          </w:p>
        </w:tc>
        <w:tc>
          <w:tcPr>
            <w:tcW w:w="600" w:type="dxa"/>
            <w:vAlign w:val="bottom"/>
            <w:tcBorders>
              <w:bottom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c>
          <w:tcPr>
            <w:tcW w:w="240" w:type="dxa"/>
            <w:vAlign w:val="bottom"/>
            <w:tcBorders>
              <w:bottom w:val="single" w:sz="8" w:color="0077C0"/>
            </w:tcBorders>
          </w:tcPr>
          <w:p>
            <w:pPr>
              <w:spacing w:after="0"/>
              <w:rPr>
                <w:sz w:val="19"/>
                <w:szCs w:val="19"/>
                <w:color w:val="auto"/>
              </w:rPr>
            </w:pPr>
          </w:p>
        </w:tc>
        <w:tc>
          <w:tcPr>
            <w:tcW w:w="60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56</w:t>
            </w:r>
          </w:p>
        </w:tc>
        <w:tc>
          <w:tcPr>
            <w:tcW w:w="280" w:type="dxa"/>
            <w:vAlign w:val="bottom"/>
            <w:tcBorders>
              <w:bottom w:val="single" w:sz="8" w:color="0077C0"/>
            </w:tcBorders>
          </w:tcPr>
          <w:p>
            <w:pPr>
              <w:spacing w:after="0"/>
              <w:rPr>
                <w:sz w:val="19"/>
                <w:szCs w:val="19"/>
                <w:color w:val="auto"/>
              </w:rPr>
            </w:pPr>
          </w:p>
        </w:tc>
        <w:tc>
          <w:tcPr>
            <w:tcW w:w="660" w:type="dxa"/>
            <w:vAlign w:val="bottom"/>
            <w:tcBorders>
              <w:bottom w:val="single" w:sz="8" w:color="0077C0"/>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0077C0"/>
            </w:tcBorders>
          </w:tcPr>
          <w:p>
            <w:pPr>
              <w:spacing w:after="0"/>
              <w:rPr>
                <w:sz w:val="19"/>
                <w:szCs w:val="19"/>
                <w:color w:val="auto"/>
              </w:rPr>
            </w:pPr>
          </w:p>
        </w:tc>
        <w:tc>
          <w:tcPr>
            <w:tcW w:w="240" w:type="dxa"/>
            <w:vAlign w:val="bottom"/>
            <w:tcBorders>
              <w:bottom w:val="single" w:sz="8" w:color="0077C0"/>
            </w:tcBorders>
          </w:tcPr>
          <w:p>
            <w:pPr>
              <w:spacing w:after="0"/>
              <w:rPr>
                <w:sz w:val="19"/>
                <w:szCs w:val="19"/>
                <w:color w:val="auto"/>
              </w:rPr>
            </w:pPr>
          </w:p>
        </w:tc>
        <w:tc>
          <w:tcPr>
            <w:tcW w:w="580" w:type="dxa"/>
            <w:vAlign w:val="bottom"/>
            <w:tcBorders>
              <w:bottom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color w:val="auto"/>
              </w:rPr>
              <w:t>242</w:t>
            </w:r>
          </w:p>
        </w:tc>
        <w:tc>
          <w:tcPr>
            <w:tcW w:w="240" w:type="dxa"/>
            <w:vAlign w:val="bottom"/>
            <w:tcBorders>
              <w:bottom w:val="single" w:sz="8" w:color="0077C0"/>
            </w:tcBorders>
          </w:tcPr>
          <w:p>
            <w:pPr>
              <w:spacing w:after="0"/>
              <w:rPr>
                <w:sz w:val="19"/>
                <w:szCs w:val="19"/>
                <w:color w:val="auto"/>
              </w:rPr>
            </w:pPr>
          </w:p>
        </w:tc>
        <w:tc>
          <w:tcPr>
            <w:tcW w:w="600" w:type="dxa"/>
            <w:vAlign w:val="bottom"/>
            <w:tcBorders>
              <w:bottom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tcBorders>
              <w:bottom w:val="single" w:sz="8" w:color="0077C0"/>
            </w:tcBorders>
          </w:tcPr>
          <w:p>
            <w:pPr>
              <w:spacing w:after="0"/>
              <w:rPr>
                <w:sz w:val="19"/>
                <w:szCs w:val="19"/>
                <w:color w:val="auto"/>
              </w:rPr>
            </w:pPr>
          </w:p>
        </w:tc>
        <w:tc>
          <w:tcPr>
            <w:tcW w:w="600" w:type="dxa"/>
            <w:vAlign w:val="bottom"/>
            <w:tcBorders>
              <w:bottom w:val="single" w:sz="8" w:color="0077C0"/>
            </w:tcBorders>
          </w:tcPr>
          <w:p>
            <w:pPr>
              <w:ind w:left="340"/>
              <w:spacing w:after="0"/>
              <w:rPr>
                <w:sz w:val="20"/>
                <w:szCs w:val="20"/>
                <w:color w:val="auto"/>
              </w:rPr>
            </w:pPr>
            <w:r>
              <w:rPr>
                <w:rFonts w:ascii="Times New Roman" w:cs="Times New Roman" w:eastAsia="Times New Roman" w:hAnsi="Times New Roman"/>
                <w:sz w:val="14"/>
                <w:szCs w:val="14"/>
                <w:color w:val="auto"/>
              </w:rPr>
              <w:t>81</w:t>
            </w:r>
          </w:p>
        </w:tc>
        <w:tc>
          <w:tcPr>
            <w:tcW w:w="280" w:type="dxa"/>
            <w:vAlign w:val="bottom"/>
            <w:tcBorders>
              <w:bottom w:val="single" w:sz="8" w:color="0077C0"/>
            </w:tcBorders>
          </w:tcPr>
          <w:p>
            <w:pPr>
              <w:spacing w:after="0"/>
              <w:rPr>
                <w:sz w:val="19"/>
                <w:szCs w:val="19"/>
                <w:color w:val="auto"/>
              </w:rPr>
            </w:pPr>
          </w:p>
        </w:tc>
        <w:tc>
          <w:tcPr>
            <w:tcW w:w="5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150</w:t>
            </w:r>
          </w:p>
        </w:tc>
      </w:tr>
      <w:tr>
        <w:trPr>
          <w:trHeight w:val="189"/>
        </w:trPr>
        <w:tc>
          <w:tcPr>
            <w:tcW w:w="270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color w:val="auto"/>
              </w:rPr>
              <w:t>Total at December 31, 2023</w:t>
            </w:r>
          </w:p>
        </w:tc>
        <w:tc>
          <w:tcPr>
            <w:tcW w:w="24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color w:val="auto"/>
              </w:rPr>
              <w:t>9,137</w:t>
            </w:r>
          </w:p>
        </w:tc>
        <w:tc>
          <w:tcPr>
            <w:tcW w:w="24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2,831</w:t>
            </w:r>
          </w:p>
        </w:tc>
        <w:tc>
          <w:tcPr>
            <w:tcW w:w="26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color w:val="auto"/>
              </w:rPr>
              <w:t>1,067</w:t>
            </w:r>
          </w:p>
        </w:tc>
        <w:tc>
          <w:tcPr>
            <w:tcW w:w="24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57</w:t>
            </w:r>
          </w:p>
        </w:tc>
        <w:tc>
          <w:tcPr>
            <w:tcW w:w="280" w:type="dxa"/>
            <w:vAlign w:val="bottom"/>
            <w:tcBorders>
              <w:bottom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0077C0"/>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color w:val="auto"/>
              </w:rPr>
              <w:t>5,182</w:t>
            </w:r>
          </w:p>
        </w:tc>
        <w:tc>
          <w:tcPr>
            <w:tcW w:w="320" w:type="dxa"/>
            <w:vAlign w:val="bottom"/>
            <w:tcBorders>
              <w:bottom w:val="single" w:sz="8" w:color="0077C0"/>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color w:val="auto"/>
              </w:rPr>
              <w:t>3,398</w:t>
            </w:r>
          </w:p>
        </w:tc>
        <w:tc>
          <w:tcPr>
            <w:tcW w:w="24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color w:val="auto"/>
              </w:rPr>
              <w:t>505</w:t>
            </w:r>
          </w:p>
        </w:tc>
        <w:tc>
          <w:tcPr>
            <w:tcW w:w="24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color w:val="auto"/>
              </w:rPr>
              <w:t>625</w:t>
            </w:r>
          </w:p>
        </w:tc>
        <w:tc>
          <w:tcPr>
            <w:tcW w:w="24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0077C0"/>
            </w:tcBorders>
          </w:tcPr>
          <w:p>
            <w:pPr>
              <w:ind w:left="340"/>
              <w:spacing w:after="0"/>
              <w:rPr>
                <w:sz w:val="20"/>
                <w:szCs w:val="20"/>
                <w:color w:val="auto"/>
              </w:rPr>
            </w:pPr>
            <w:r>
              <w:rPr>
                <w:rFonts w:ascii="Times New Roman" w:cs="Times New Roman" w:eastAsia="Times New Roman" w:hAnsi="Times New Roman"/>
                <w:sz w:val="14"/>
                <w:szCs w:val="14"/>
                <w:color w:val="auto"/>
              </w:rPr>
              <w:t>81</w:t>
            </w:r>
          </w:p>
        </w:tc>
        <w:tc>
          <w:tcPr>
            <w:tcW w:w="28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2,187</w:t>
            </w:r>
          </w:p>
        </w:tc>
      </w:tr>
      <w:tr>
        <w:trPr>
          <w:trHeight w:val="190"/>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At December 31, 2024</w:t>
            </w: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Borders>
              <w:right w:val="single" w:sz="8" w:color="0077C0"/>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191"/>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Equities</w:t>
            </w: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Borders>
              <w:right w:val="single" w:sz="8" w:color="0077C0"/>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15"/>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U.S.</w:t>
            </w:r>
            <w:r>
              <w:rPr>
                <w:rFonts w:ascii="Times New Roman" w:cs="Times New Roman" w:eastAsia="Times New Roman" w:hAnsi="Times New Roman"/>
                <w:sz w:val="18"/>
                <w:szCs w:val="18"/>
                <w:color w:val="auto"/>
                <w:vertAlign w:val="superscript"/>
              </w:rPr>
              <w:t>1</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1,866</w:t>
            </w:r>
          </w:p>
        </w:tc>
        <w:tc>
          <w:tcPr>
            <w:tcW w:w="2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1,866</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180</w:t>
            </w:r>
          </w:p>
        </w:tc>
        <w:tc>
          <w:tcPr>
            <w:tcW w:w="2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180</w:t>
            </w:r>
          </w:p>
        </w:tc>
        <w:tc>
          <w:tcPr>
            <w:tcW w:w="2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0"/>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International</w:t>
            </w:r>
          </w:p>
        </w:tc>
        <w:tc>
          <w:tcPr>
            <w:tcW w:w="24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1,208</w:t>
            </w:r>
          </w:p>
        </w:tc>
        <w:tc>
          <w:tcPr>
            <w:tcW w:w="24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1,197</w:t>
            </w:r>
          </w:p>
        </w:tc>
        <w:tc>
          <w:tcPr>
            <w:tcW w:w="26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11</w:t>
            </w:r>
          </w:p>
        </w:tc>
        <w:tc>
          <w:tcPr>
            <w:tcW w:w="280" w:type="dxa"/>
            <w:vAlign w:val="bottom"/>
          </w:tcPr>
          <w:p>
            <w:pPr>
              <w:spacing w:after="0"/>
              <w:rPr>
                <w:sz w:val="16"/>
                <w:szCs w:val="16"/>
                <w:color w:val="auto"/>
              </w:rPr>
            </w:pPr>
          </w:p>
        </w:tc>
        <w:tc>
          <w:tcPr>
            <w:tcW w:w="66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107</w:t>
            </w:r>
          </w:p>
        </w:tc>
        <w:tc>
          <w:tcPr>
            <w:tcW w:w="24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97</w:t>
            </w:r>
          </w:p>
        </w:tc>
        <w:tc>
          <w:tcPr>
            <w:tcW w:w="24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6"/>
                <w:szCs w:val="16"/>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10</w:t>
            </w:r>
          </w:p>
        </w:tc>
        <w:tc>
          <w:tcPr>
            <w:tcW w:w="2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7"/>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Collective Trusts/Mutual Funds</w:t>
            </w:r>
            <w:r>
              <w:rPr>
                <w:rFonts w:ascii="Times New Roman" w:cs="Times New Roman" w:eastAsia="Times New Roman" w:hAnsi="Times New Roman"/>
                <w:sz w:val="18"/>
                <w:szCs w:val="18"/>
                <w:color w:val="auto"/>
                <w:vertAlign w:val="superscript"/>
              </w:rPr>
              <w:t>2</w:t>
            </w:r>
          </w:p>
        </w:tc>
        <w:tc>
          <w:tcPr>
            <w:tcW w:w="240" w:type="dxa"/>
            <w:vAlign w:val="bottom"/>
          </w:tcPr>
          <w:p>
            <w:pPr>
              <w:spacing w:after="0"/>
              <w:rPr>
                <w:sz w:val="18"/>
                <w:szCs w:val="18"/>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1,191</w:t>
            </w:r>
          </w:p>
        </w:tc>
        <w:tc>
          <w:tcPr>
            <w:tcW w:w="240" w:type="dxa"/>
            <w:vAlign w:val="bottom"/>
          </w:tcPr>
          <w:p>
            <w:pPr>
              <w:spacing w:after="0"/>
              <w:rPr>
                <w:sz w:val="18"/>
                <w:szCs w:val="18"/>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w:t>
            </w:r>
          </w:p>
        </w:tc>
        <w:tc>
          <w:tcPr>
            <w:tcW w:w="260" w:type="dxa"/>
            <w:vAlign w:val="bottom"/>
          </w:tcPr>
          <w:p>
            <w:pPr>
              <w:spacing w:after="0"/>
              <w:rPr>
                <w:sz w:val="18"/>
                <w:szCs w:val="18"/>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8"/>
                <w:szCs w:val="18"/>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8"/>
                <w:szCs w:val="18"/>
                <w:color w:val="auto"/>
              </w:rPr>
            </w:pPr>
          </w:p>
        </w:tc>
        <w:tc>
          <w:tcPr>
            <w:tcW w:w="66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1,187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98</w:t>
            </w:r>
          </w:p>
        </w:tc>
        <w:tc>
          <w:tcPr>
            <w:tcW w:w="240" w:type="dxa"/>
            <w:vAlign w:val="bottom"/>
          </w:tcPr>
          <w:p>
            <w:pPr>
              <w:spacing w:after="0"/>
              <w:rPr>
                <w:sz w:val="18"/>
                <w:szCs w:val="18"/>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w:t>
            </w:r>
          </w:p>
        </w:tc>
        <w:tc>
          <w:tcPr>
            <w:tcW w:w="240" w:type="dxa"/>
            <w:vAlign w:val="bottom"/>
          </w:tcPr>
          <w:p>
            <w:pPr>
              <w:spacing w:after="0"/>
              <w:rPr>
                <w:sz w:val="18"/>
                <w:szCs w:val="18"/>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13</w:t>
            </w:r>
          </w:p>
        </w:tc>
        <w:tc>
          <w:tcPr>
            <w:tcW w:w="24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79</w:t>
            </w:r>
          </w:p>
        </w:tc>
      </w:tr>
      <w:tr>
        <w:trPr>
          <w:trHeight w:val="188"/>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Income</w:t>
            </w: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Borders>
              <w:right w:val="single" w:sz="8" w:color="0077C0"/>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03"/>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Government</w:t>
            </w:r>
          </w:p>
        </w:tc>
        <w:tc>
          <w:tcPr>
            <w:tcW w:w="240" w:type="dxa"/>
            <w:vAlign w:val="bottom"/>
          </w:tcPr>
          <w:p>
            <w:pPr>
              <w:spacing w:after="0"/>
              <w:rPr>
                <w:sz w:val="17"/>
                <w:szCs w:val="17"/>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132</w:t>
            </w:r>
          </w:p>
        </w:tc>
        <w:tc>
          <w:tcPr>
            <w:tcW w:w="24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7"/>
                <w:szCs w:val="17"/>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132</w:t>
            </w:r>
          </w:p>
        </w:tc>
        <w:tc>
          <w:tcPr>
            <w:tcW w:w="24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7"/>
                <w:szCs w:val="17"/>
                <w:color w:val="auto"/>
              </w:rPr>
            </w:pPr>
          </w:p>
        </w:tc>
        <w:tc>
          <w:tcPr>
            <w:tcW w:w="66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167</w:t>
            </w:r>
          </w:p>
        </w:tc>
        <w:tc>
          <w:tcPr>
            <w:tcW w:w="240" w:type="dxa"/>
            <w:vAlign w:val="bottom"/>
          </w:tcPr>
          <w:p>
            <w:pPr>
              <w:spacing w:after="0"/>
              <w:rPr>
                <w:sz w:val="17"/>
                <w:szCs w:val="17"/>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99</w:t>
            </w:r>
          </w:p>
        </w:tc>
        <w:tc>
          <w:tcPr>
            <w:tcW w:w="240" w:type="dxa"/>
            <w:vAlign w:val="bottom"/>
          </w:tcPr>
          <w:p>
            <w:pPr>
              <w:spacing w:after="0"/>
              <w:rPr>
                <w:sz w:val="17"/>
                <w:szCs w:val="17"/>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68</w:t>
            </w:r>
          </w:p>
        </w:tc>
        <w:tc>
          <w:tcPr>
            <w:tcW w:w="240" w:type="dxa"/>
            <w:vAlign w:val="bottom"/>
          </w:tcPr>
          <w:p>
            <w:pPr>
              <w:spacing w:after="0"/>
              <w:rPr>
                <w:sz w:val="17"/>
                <w:szCs w:val="17"/>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3"/>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Corporate</w:t>
            </w:r>
          </w:p>
        </w:tc>
        <w:tc>
          <w:tcPr>
            <w:tcW w:w="240" w:type="dxa"/>
            <w:vAlign w:val="bottom"/>
          </w:tcPr>
          <w:p>
            <w:pPr>
              <w:spacing w:after="0"/>
              <w:rPr>
                <w:sz w:val="17"/>
                <w:szCs w:val="17"/>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1,042</w:t>
            </w:r>
          </w:p>
        </w:tc>
        <w:tc>
          <w:tcPr>
            <w:tcW w:w="24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7"/>
                <w:szCs w:val="17"/>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1,042</w:t>
            </w:r>
          </w:p>
        </w:tc>
        <w:tc>
          <w:tcPr>
            <w:tcW w:w="24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7"/>
                <w:szCs w:val="17"/>
                <w:color w:val="auto"/>
              </w:rPr>
            </w:pPr>
          </w:p>
        </w:tc>
        <w:tc>
          <w:tcPr>
            <w:tcW w:w="66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403</w:t>
            </w:r>
          </w:p>
        </w:tc>
        <w:tc>
          <w:tcPr>
            <w:tcW w:w="240" w:type="dxa"/>
            <w:vAlign w:val="bottom"/>
          </w:tcPr>
          <w:p>
            <w:pPr>
              <w:spacing w:after="0"/>
              <w:rPr>
                <w:sz w:val="17"/>
                <w:szCs w:val="17"/>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w:t>
            </w:r>
          </w:p>
        </w:tc>
        <w:tc>
          <w:tcPr>
            <w:tcW w:w="240" w:type="dxa"/>
            <w:vAlign w:val="bottom"/>
          </w:tcPr>
          <w:p>
            <w:pPr>
              <w:spacing w:after="0"/>
              <w:rPr>
                <w:sz w:val="17"/>
                <w:szCs w:val="17"/>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401</w:t>
            </w:r>
          </w:p>
        </w:tc>
        <w:tc>
          <w:tcPr>
            <w:tcW w:w="240" w:type="dxa"/>
            <w:vAlign w:val="bottom"/>
          </w:tcPr>
          <w:p>
            <w:pPr>
              <w:spacing w:after="0"/>
              <w:rPr>
                <w:sz w:val="17"/>
                <w:szCs w:val="17"/>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3"/>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Bank Loans</w:t>
            </w:r>
          </w:p>
        </w:tc>
        <w:tc>
          <w:tcPr>
            <w:tcW w:w="240" w:type="dxa"/>
            <w:vAlign w:val="bottom"/>
          </w:tcPr>
          <w:p>
            <w:pPr>
              <w:spacing w:after="0"/>
              <w:rPr>
                <w:sz w:val="17"/>
                <w:szCs w:val="17"/>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10</w:t>
            </w:r>
          </w:p>
        </w:tc>
        <w:tc>
          <w:tcPr>
            <w:tcW w:w="24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7"/>
                <w:szCs w:val="17"/>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10</w:t>
            </w:r>
          </w:p>
        </w:tc>
        <w:tc>
          <w:tcPr>
            <w:tcW w:w="24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7"/>
                <w:szCs w:val="17"/>
                <w:color w:val="auto"/>
              </w:rPr>
            </w:pPr>
          </w:p>
        </w:tc>
        <w:tc>
          <w:tcPr>
            <w:tcW w:w="66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7"/>
                <w:szCs w:val="17"/>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7"/>
                <w:szCs w:val="17"/>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7"/>
                <w:szCs w:val="17"/>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3"/>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Mortgage/Asset Backed</w:t>
            </w:r>
          </w:p>
        </w:tc>
        <w:tc>
          <w:tcPr>
            <w:tcW w:w="240" w:type="dxa"/>
            <w:vAlign w:val="bottom"/>
          </w:tcPr>
          <w:p>
            <w:pPr>
              <w:spacing w:after="0"/>
              <w:rPr>
                <w:sz w:val="17"/>
                <w:szCs w:val="17"/>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w:t>
            </w:r>
          </w:p>
        </w:tc>
        <w:tc>
          <w:tcPr>
            <w:tcW w:w="24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7"/>
                <w:szCs w:val="17"/>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w:t>
            </w:r>
          </w:p>
        </w:tc>
        <w:tc>
          <w:tcPr>
            <w:tcW w:w="24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7"/>
                <w:szCs w:val="17"/>
                <w:color w:val="auto"/>
              </w:rPr>
            </w:pPr>
          </w:p>
        </w:tc>
        <w:tc>
          <w:tcPr>
            <w:tcW w:w="66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w:t>
            </w:r>
          </w:p>
        </w:tc>
        <w:tc>
          <w:tcPr>
            <w:tcW w:w="240" w:type="dxa"/>
            <w:vAlign w:val="bottom"/>
          </w:tcPr>
          <w:p>
            <w:pPr>
              <w:spacing w:after="0"/>
              <w:rPr>
                <w:sz w:val="17"/>
                <w:szCs w:val="17"/>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7"/>
                <w:szCs w:val="17"/>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w:t>
            </w:r>
          </w:p>
        </w:tc>
        <w:tc>
          <w:tcPr>
            <w:tcW w:w="240" w:type="dxa"/>
            <w:vAlign w:val="bottom"/>
          </w:tcPr>
          <w:p>
            <w:pPr>
              <w:spacing w:after="0"/>
              <w:rPr>
                <w:sz w:val="17"/>
                <w:szCs w:val="17"/>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4"/>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Collective Trusts/Mutual Funds</w:t>
            </w:r>
            <w:r>
              <w:rPr>
                <w:rFonts w:ascii="Times New Roman" w:cs="Times New Roman" w:eastAsia="Times New Roman" w:hAnsi="Times New Roman"/>
                <w:sz w:val="18"/>
                <w:szCs w:val="18"/>
                <w:color w:val="auto"/>
                <w:vertAlign w:val="superscript"/>
              </w:rPr>
              <w:t>2</w:t>
            </w:r>
          </w:p>
        </w:tc>
        <w:tc>
          <w:tcPr>
            <w:tcW w:w="240" w:type="dxa"/>
            <w:vAlign w:val="bottom"/>
          </w:tcPr>
          <w:p>
            <w:pPr>
              <w:spacing w:after="0"/>
              <w:rPr>
                <w:sz w:val="18"/>
                <w:szCs w:val="18"/>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2,342</w:t>
            </w:r>
          </w:p>
        </w:tc>
        <w:tc>
          <w:tcPr>
            <w:tcW w:w="240" w:type="dxa"/>
            <w:vAlign w:val="bottom"/>
          </w:tcPr>
          <w:p>
            <w:pPr>
              <w:spacing w:after="0"/>
              <w:rPr>
                <w:sz w:val="18"/>
                <w:szCs w:val="18"/>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8"/>
                <w:szCs w:val="18"/>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8"/>
                <w:szCs w:val="18"/>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8"/>
                <w:szCs w:val="18"/>
                <w:color w:val="auto"/>
              </w:rPr>
            </w:pPr>
          </w:p>
        </w:tc>
        <w:tc>
          <w:tcPr>
            <w:tcW w:w="66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2,342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1,594</w:t>
            </w:r>
          </w:p>
        </w:tc>
        <w:tc>
          <w:tcPr>
            <w:tcW w:w="240" w:type="dxa"/>
            <w:vAlign w:val="bottom"/>
          </w:tcPr>
          <w:p>
            <w:pPr>
              <w:spacing w:after="0"/>
              <w:rPr>
                <w:sz w:val="18"/>
                <w:szCs w:val="18"/>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w:t>
            </w:r>
          </w:p>
        </w:tc>
        <w:tc>
          <w:tcPr>
            <w:tcW w:w="240" w:type="dxa"/>
            <w:vAlign w:val="bottom"/>
          </w:tcPr>
          <w:p>
            <w:pPr>
              <w:spacing w:after="0"/>
              <w:rPr>
                <w:sz w:val="18"/>
                <w:szCs w:val="18"/>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10</w:t>
            </w:r>
          </w:p>
        </w:tc>
        <w:tc>
          <w:tcPr>
            <w:tcW w:w="24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1,582</w:t>
            </w:r>
          </w:p>
        </w:tc>
      </w:tr>
      <w:tr>
        <w:trPr>
          <w:trHeight w:val="203"/>
        </w:trPr>
        <w:tc>
          <w:tcPr>
            <w:tcW w:w="270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Mixed Funds</w:t>
            </w:r>
            <w:r>
              <w:rPr>
                <w:rFonts w:ascii="Times New Roman" w:cs="Times New Roman" w:eastAsia="Times New Roman" w:hAnsi="Times New Roman"/>
                <w:sz w:val="18"/>
                <w:szCs w:val="18"/>
                <w:color w:val="auto"/>
                <w:vertAlign w:val="superscript"/>
              </w:rPr>
              <w:t>3</w:t>
            </w:r>
          </w:p>
        </w:tc>
        <w:tc>
          <w:tcPr>
            <w:tcW w:w="240" w:type="dxa"/>
            <w:vAlign w:val="bottom"/>
          </w:tcPr>
          <w:p>
            <w:pPr>
              <w:spacing w:after="0"/>
              <w:rPr>
                <w:sz w:val="17"/>
                <w:szCs w:val="17"/>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7"/>
                <w:szCs w:val="17"/>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7"/>
                <w:szCs w:val="17"/>
                <w:color w:val="auto"/>
              </w:rPr>
            </w:pPr>
          </w:p>
        </w:tc>
        <w:tc>
          <w:tcPr>
            <w:tcW w:w="66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76</w:t>
            </w:r>
          </w:p>
        </w:tc>
        <w:tc>
          <w:tcPr>
            <w:tcW w:w="240" w:type="dxa"/>
            <w:vAlign w:val="bottom"/>
          </w:tcPr>
          <w:p>
            <w:pPr>
              <w:spacing w:after="0"/>
              <w:rPr>
                <w:sz w:val="17"/>
                <w:szCs w:val="17"/>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7"/>
                <w:szCs w:val="17"/>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76</w:t>
            </w:r>
          </w:p>
        </w:tc>
        <w:tc>
          <w:tcPr>
            <w:tcW w:w="240" w:type="dxa"/>
            <w:vAlign w:val="bottom"/>
          </w:tcPr>
          <w:p>
            <w:pPr>
              <w:spacing w:after="0"/>
              <w:rPr>
                <w:sz w:val="17"/>
                <w:szCs w:val="17"/>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4"/>
        </w:trPr>
        <w:tc>
          <w:tcPr>
            <w:tcW w:w="2700" w:type="dxa"/>
            <w:vAlign w:val="bottom"/>
          </w:tcPr>
          <w:p>
            <w:pPr>
              <w:ind w:left="20"/>
              <w:spacing w:after="0" w:line="204" w:lineRule="exact"/>
              <w:rPr>
                <w:sz w:val="20"/>
                <w:szCs w:val="20"/>
                <w:color w:val="auto"/>
              </w:rPr>
            </w:pPr>
            <w:r>
              <w:rPr>
                <w:rFonts w:ascii="Times New Roman" w:cs="Times New Roman" w:eastAsia="Times New Roman" w:hAnsi="Times New Roman"/>
                <w:sz w:val="14"/>
                <w:szCs w:val="14"/>
                <w:color w:val="auto"/>
              </w:rPr>
              <w:t>Real Estate</w:t>
            </w:r>
            <w:r>
              <w:rPr>
                <w:rFonts w:ascii="Times New Roman" w:cs="Times New Roman" w:eastAsia="Times New Roman" w:hAnsi="Times New Roman"/>
                <w:sz w:val="18"/>
                <w:szCs w:val="18"/>
                <w:color w:val="auto"/>
                <w:vertAlign w:val="superscript"/>
              </w:rPr>
              <w:t>4</w:t>
            </w:r>
          </w:p>
        </w:tc>
        <w:tc>
          <w:tcPr>
            <w:tcW w:w="240" w:type="dxa"/>
            <w:vAlign w:val="bottom"/>
          </w:tcPr>
          <w:p>
            <w:pPr>
              <w:spacing w:after="0"/>
              <w:rPr>
                <w:sz w:val="17"/>
                <w:szCs w:val="17"/>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1,383</w:t>
            </w:r>
          </w:p>
        </w:tc>
        <w:tc>
          <w:tcPr>
            <w:tcW w:w="24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7"/>
                <w:szCs w:val="17"/>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7"/>
                <w:szCs w:val="17"/>
                <w:color w:val="auto"/>
              </w:rPr>
            </w:pPr>
          </w:p>
        </w:tc>
        <w:tc>
          <w:tcPr>
            <w:tcW w:w="66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1,383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105</w:t>
            </w:r>
          </w:p>
        </w:tc>
        <w:tc>
          <w:tcPr>
            <w:tcW w:w="240" w:type="dxa"/>
            <w:vAlign w:val="bottom"/>
          </w:tcPr>
          <w:p>
            <w:pPr>
              <w:spacing w:after="0"/>
              <w:rPr>
                <w:sz w:val="17"/>
                <w:szCs w:val="17"/>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7"/>
                <w:szCs w:val="17"/>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16</w:t>
            </w:r>
          </w:p>
        </w:tc>
        <w:tc>
          <w:tcPr>
            <w:tcW w:w="240" w:type="dxa"/>
            <w:vAlign w:val="bottom"/>
          </w:tcPr>
          <w:p>
            <w:pPr>
              <w:spacing w:after="0"/>
              <w:rPr>
                <w:sz w:val="17"/>
                <w:szCs w:val="17"/>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89</w:t>
            </w:r>
          </w:p>
        </w:tc>
      </w:tr>
      <w:tr>
        <w:trPr>
          <w:trHeight w:val="190"/>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Alternative Investments</w:t>
            </w:r>
          </w:p>
        </w:tc>
        <w:tc>
          <w:tcPr>
            <w:tcW w:w="24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6"/>
                <w:szCs w:val="16"/>
                <w:color w:val="auto"/>
              </w:rPr>
            </w:pPr>
          </w:p>
        </w:tc>
        <w:tc>
          <w:tcPr>
            <w:tcW w:w="66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9</w:t>
            </w:r>
          </w:p>
        </w:tc>
        <w:tc>
          <w:tcPr>
            <w:tcW w:w="24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9</w:t>
            </w:r>
          </w:p>
        </w:tc>
        <w:tc>
          <w:tcPr>
            <w:tcW w:w="240" w:type="dxa"/>
            <w:vAlign w:val="bottom"/>
          </w:tcPr>
          <w:p>
            <w:pPr>
              <w:spacing w:after="0"/>
              <w:rPr>
                <w:sz w:val="16"/>
                <w:szCs w:val="16"/>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3"/>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tcPr>
          <w:p>
            <w:pPr>
              <w:spacing w:after="0"/>
              <w:rPr>
                <w:sz w:val="17"/>
                <w:szCs w:val="17"/>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289</w:t>
            </w:r>
          </w:p>
        </w:tc>
        <w:tc>
          <w:tcPr>
            <w:tcW w:w="24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13</w:t>
            </w:r>
          </w:p>
        </w:tc>
        <w:tc>
          <w:tcPr>
            <w:tcW w:w="260" w:type="dxa"/>
            <w:vAlign w:val="bottom"/>
          </w:tcPr>
          <w:p>
            <w:pPr>
              <w:spacing w:after="0"/>
              <w:rPr>
                <w:sz w:val="17"/>
                <w:szCs w:val="17"/>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7"/>
                <w:szCs w:val="17"/>
                <w:color w:val="auto"/>
              </w:rPr>
            </w:pPr>
          </w:p>
        </w:tc>
        <w:tc>
          <w:tcPr>
            <w:tcW w:w="660" w:type="dxa"/>
            <w:vAlign w:val="bottom"/>
            <w:tcBorders>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276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108</w:t>
            </w:r>
          </w:p>
        </w:tc>
        <w:tc>
          <w:tcPr>
            <w:tcW w:w="240" w:type="dxa"/>
            <w:vAlign w:val="bottom"/>
          </w:tcPr>
          <w:p>
            <w:pPr>
              <w:spacing w:after="0"/>
              <w:rPr>
                <w:sz w:val="17"/>
                <w:szCs w:val="17"/>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90</w:t>
            </w:r>
          </w:p>
        </w:tc>
        <w:tc>
          <w:tcPr>
            <w:tcW w:w="240" w:type="dxa"/>
            <w:vAlign w:val="bottom"/>
          </w:tcPr>
          <w:p>
            <w:pPr>
              <w:spacing w:after="0"/>
              <w:rPr>
                <w:sz w:val="17"/>
                <w:szCs w:val="17"/>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7"/>
                <w:szCs w:val="17"/>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w:t>
            </w:r>
          </w:p>
        </w:tc>
      </w:tr>
      <w:tr>
        <w:trPr>
          <w:trHeight w:val="226"/>
        </w:trPr>
        <w:tc>
          <w:tcPr>
            <w:tcW w:w="270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color w:val="auto"/>
                <w:vertAlign w:val="superscript"/>
              </w:rPr>
              <w:t>5</w:t>
            </w:r>
          </w:p>
        </w:tc>
        <w:tc>
          <w:tcPr>
            <w:tcW w:w="240" w:type="dxa"/>
            <w:vAlign w:val="bottom"/>
            <w:tcBorders>
              <w:bottom w:val="single" w:sz="8" w:color="0077C0"/>
            </w:tcBorders>
          </w:tcPr>
          <w:p>
            <w:pPr>
              <w:spacing w:after="0"/>
              <w:rPr>
                <w:sz w:val="19"/>
                <w:szCs w:val="19"/>
                <w:color w:val="auto"/>
              </w:rPr>
            </w:pPr>
          </w:p>
        </w:tc>
        <w:tc>
          <w:tcPr>
            <w:tcW w:w="580" w:type="dxa"/>
            <w:vAlign w:val="bottom"/>
            <w:tcBorders>
              <w:bottom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73</w:t>
            </w:r>
          </w:p>
        </w:tc>
        <w:tc>
          <w:tcPr>
            <w:tcW w:w="240" w:type="dxa"/>
            <w:vAlign w:val="bottom"/>
            <w:tcBorders>
              <w:bottom w:val="single" w:sz="8" w:color="0077C0"/>
            </w:tcBorders>
          </w:tcPr>
          <w:p>
            <w:pPr>
              <w:spacing w:after="0"/>
              <w:rPr>
                <w:sz w:val="19"/>
                <w:szCs w:val="19"/>
                <w:color w:val="auto"/>
              </w:rPr>
            </w:pPr>
          </w:p>
        </w:tc>
        <w:tc>
          <w:tcPr>
            <w:tcW w:w="60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w:t>
            </w:r>
          </w:p>
        </w:tc>
        <w:tc>
          <w:tcPr>
            <w:tcW w:w="260" w:type="dxa"/>
            <w:vAlign w:val="bottom"/>
            <w:tcBorders>
              <w:bottom w:val="single" w:sz="8" w:color="0077C0"/>
            </w:tcBorders>
          </w:tcPr>
          <w:p>
            <w:pPr>
              <w:spacing w:after="0"/>
              <w:rPr>
                <w:sz w:val="19"/>
                <w:szCs w:val="19"/>
                <w:color w:val="auto"/>
              </w:rPr>
            </w:pPr>
          </w:p>
        </w:tc>
        <w:tc>
          <w:tcPr>
            <w:tcW w:w="600" w:type="dxa"/>
            <w:vAlign w:val="bottom"/>
            <w:tcBorders>
              <w:bottom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13</w:t>
            </w:r>
          </w:p>
        </w:tc>
        <w:tc>
          <w:tcPr>
            <w:tcW w:w="240" w:type="dxa"/>
            <w:vAlign w:val="bottom"/>
            <w:tcBorders>
              <w:bottom w:val="single" w:sz="8" w:color="0077C0"/>
            </w:tcBorders>
          </w:tcPr>
          <w:p>
            <w:pPr>
              <w:spacing w:after="0"/>
              <w:rPr>
                <w:sz w:val="19"/>
                <w:szCs w:val="19"/>
                <w:color w:val="auto"/>
              </w:rPr>
            </w:pPr>
          </w:p>
        </w:tc>
        <w:tc>
          <w:tcPr>
            <w:tcW w:w="60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63</w:t>
            </w:r>
          </w:p>
        </w:tc>
        <w:tc>
          <w:tcPr>
            <w:tcW w:w="280" w:type="dxa"/>
            <w:vAlign w:val="bottom"/>
            <w:tcBorders>
              <w:bottom w:val="single" w:sz="8" w:color="0077C0"/>
            </w:tcBorders>
          </w:tcPr>
          <w:p>
            <w:pPr>
              <w:spacing w:after="0"/>
              <w:rPr>
                <w:sz w:val="19"/>
                <w:szCs w:val="19"/>
                <w:color w:val="auto"/>
              </w:rPr>
            </w:pPr>
          </w:p>
        </w:tc>
        <w:tc>
          <w:tcPr>
            <w:tcW w:w="660" w:type="dxa"/>
            <w:vAlign w:val="bottom"/>
            <w:tcBorders>
              <w:bottom w:val="single" w:sz="8" w:color="0077C0"/>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0077C0"/>
            </w:tcBorders>
          </w:tcPr>
          <w:p>
            <w:pPr>
              <w:spacing w:after="0"/>
              <w:rPr>
                <w:sz w:val="19"/>
                <w:szCs w:val="19"/>
                <w:color w:val="auto"/>
              </w:rPr>
            </w:pPr>
          </w:p>
        </w:tc>
        <w:tc>
          <w:tcPr>
            <w:tcW w:w="240" w:type="dxa"/>
            <w:vAlign w:val="bottom"/>
            <w:tcBorders>
              <w:bottom w:val="single" w:sz="8" w:color="0077C0"/>
            </w:tcBorders>
          </w:tcPr>
          <w:p>
            <w:pPr>
              <w:spacing w:after="0"/>
              <w:rPr>
                <w:sz w:val="19"/>
                <w:szCs w:val="19"/>
                <w:color w:val="auto"/>
              </w:rPr>
            </w:pPr>
          </w:p>
        </w:tc>
        <w:tc>
          <w:tcPr>
            <w:tcW w:w="580" w:type="dxa"/>
            <w:vAlign w:val="bottom"/>
            <w:tcBorders>
              <w:bottom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209</w:t>
            </w:r>
          </w:p>
        </w:tc>
        <w:tc>
          <w:tcPr>
            <w:tcW w:w="240" w:type="dxa"/>
            <w:vAlign w:val="bottom"/>
            <w:tcBorders>
              <w:bottom w:val="single" w:sz="8" w:color="0077C0"/>
            </w:tcBorders>
          </w:tcPr>
          <w:p>
            <w:pPr>
              <w:spacing w:after="0"/>
              <w:rPr>
                <w:sz w:val="19"/>
                <w:szCs w:val="19"/>
                <w:color w:val="auto"/>
              </w:rPr>
            </w:pPr>
          </w:p>
        </w:tc>
        <w:tc>
          <w:tcPr>
            <w:tcW w:w="600" w:type="dxa"/>
            <w:vAlign w:val="bottom"/>
            <w:tcBorders>
              <w:bottom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12</w:t>
            </w:r>
          </w:p>
        </w:tc>
        <w:tc>
          <w:tcPr>
            <w:tcW w:w="240" w:type="dxa"/>
            <w:vAlign w:val="bottom"/>
            <w:tcBorders>
              <w:bottom w:val="single" w:sz="8" w:color="0077C0"/>
            </w:tcBorders>
          </w:tcPr>
          <w:p>
            <w:pPr>
              <w:spacing w:after="0"/>
              <w:rPr>
                <w:sz w:val="19"/>
                <w:szCs w:val="19"/>
                <w:color w:val="auto"/>
              </w:rPr>
            </w:pPr>
          </w:p>
        </w:tc>
        <w:tc>
          <w:tcPr>
            <w:tcW w:w="600" w:type="dxa"/>
            <w:vAlign w:val="bottom"/>
            <w:tcBorders>
              <w:bottom w:val="single" w:sz="8" w:color="0077C0"/>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68</w:t>
            </w:r>
          </w:p>
        </w:tc>
        <w:tc>
          <w:tcPr>
            <w:tcW w:w="280" w:type="dxa"/>
            <w:vAlign w:val="bottom"/>
            <w:tcBorders>
              <w:bottom w:val="single" w:sz="8" w:color="0077C0"/>
            </w:tcBorders>
          </w:tcPr>
          <w:p>
            <w:pPr>
              <w:spacing w:after="0"/>
              <w:rPr>
                <w:sz w:val="19"/>
                <w:szCs w:val="19"/>
                <w:color w:val="auto"/>
              </w:rPr>
            </w:pPr>
          </w:p>
        </w:tc>
        <w:tc>
          <w:tcPr>
            <w:tcW w:w="5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129</w:t>
            </w:r>
          </w:p>
        </w:tc>
      </w:tr>
      <w:tr>
        <w:trPr>
          <w:trHeight w:val="190"/>
        </w:trPr>
        <w:tc>
          <w:tcPr>
            <w:tcW w:w="270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at December 31, 2024</w:t>
            </w:r>
          </w:p>
        </w:tc>
        <w:tc>
          <w:tcPr>
            <w:tcW w:w="24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9,537</w:t>
            </w:r>
          </w:p>
        </w:tc>
        <w:tc>
          <w:tcPr>
            <w:tcW w:w="24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3,077</w:t>
            </w:r>
          </w:p>
        </w:tc>
        <w:tc>
          <w:tcPr>
            <w:tcW w:w="26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1,198</w:t>
            </w:r>
          </w:p>
        </w:tc>
        <w:tc>
          <w:tcPr>
            <w:tcW w:w="24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74</w:t>
            </w:r>
          </w:p>
        </w:tc>
        <w:tc>
          <w:tcPr>
            <w:tcW w:w="280" w:type="dxa"/>
            <w:vAlign w:val="bottom"/>
            <w:tcBorders>
              <w:bottom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0077C0"/>
              <w:right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5,188</w:t>
            </w:r>
          </w:p>
        </w:tc>
        <w:tc>
          <w:tcPr>
            <w:tcW w:w="320" w:type="dxa"/>
            <w:vAlign w:val="bottom"/>
            <w:tcBorders>
              <w:bottom w:val="single" w:sz="8" w:color="0077C0"/>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3,060</w:t>
            </w:r>
          </w:p>
        </w:tc>
        <w:tc>
          <w:tcPr>
            <w:tcW w:w="24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476</w:t>
            </w:r>
          </w:p>
        </w:tc>
        <w:tc>
          <w:tcPr>
            <w:tcW w:w="24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609</w:t>
            </w:r>
          </w:p>
        </w:tc>
        <w:tc>
          <w:tcPr>
            <w:tcW w:w="24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0077C0"/>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78</w:t>
            </w:r>
          </w:p>
        </w:tc>
        <w:tc>
          <w:tcPr>
            <w:tcW w:w="28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1,897</w:t>
            </w:r>
          </w:p>
        </w:tc>
      </w:tr>
    </w:tbl>
    <w:p>
      <w:pPr>
        <w:spacing w:after="0" w:line="54" w:lineRule="exact"/>
        <w:rPr>
          <w:sz w:val="20"/>
          <w:szCs w:val="20"/>
          <w:color w:val="auto"/>
        </w:rPr>
      </w:pPr>
    </w:p>
    <w:p>
      <w:pPr>
        <w:ind w:left="80" w:hanging="72"/>
        <w:spacing w:after="0"/>
        <w:tabs>
          <w:tab w:leader="none" w:pos="80" w:val="left"/>
        </w:tabs>
        <w:numPr>
          <w:ilvl w:val="0"/>
          <w:numId w:val="5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There were no investments in the company’s common stock at December 31, 2024 or December 31, 2023.</w:t>
      </w:r>
    </w:p>
    <w:p>
      <w:pPr>
        <w:ind w:left="80" w:hanging="72"/>
        <w:spacing w:after="0" w:line="195" w:lineRule="auto"/>
        <w:tabs>
          <w:tab w:leader="none" w:pos="80" w:val="left"/>
        </w:tabs>
        <w:numPr>
          <w:ilvl w:val="0"/>
          <w:numId w:val="5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Collective Trusts/Mutual Funds for U.S. plans are entirely index funds; for International plans, they are mostly unit trust and index funds.</w:t>
      </w:r>
    </w:p>
    <w:p>
      <w:pPr>
        <w:spacing w:after="0" w:line="192" w:lineRule="auto"/>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6"/>
          <w:szCs w:val="16"/>
          <w:color w:val="auto"/>
          <w:vertAlign w:val="superscript"/>
        </w:rPr>
        <w:t>3</w:t>
      </w:r>
      <w:r>
        <w:rPr>
          <w:rFonts w:ascii="Times New Roman" w:cs="Times New Roman" w:eastAsia="Times New Roman" w:hAnsi="Times New Roman"/>
          <w:sz w:val="13"/>
          <w:szCs w:val="13"/>
          <w:color w:val="auto"/>
        </w:rPr>
        <w:t xml:space="preserve"> Mixed funds are composed of funds that invest in both equity and fixed-income instruments in order to diversify and lower risk.</w:t>
      </w:r>
    </w:p>
    <w:p>
      <w:pPr>
        <w:ind w:left="60" w:hanging="52"/>
        <w:spacing w:after="0" w:line="206" w:lineRule="auto"/>
        <w:tabs>
          <w:tab w:leader="none" w:pos="60" w:val="left"/>
        </w:tabs>
        <w:numPr>
          <w:ilvl w:val="0"/>
          <w:numId w:val="60"/>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The year-end valuations of the U.S. real estate assets are based on third-party appraisals that occur at least once a year for each property in the portfolio.</w:t>
      </w:r>
    </w:p>
    <w:p>
      <w:pPr>
        <w:spacing w:after="0" w:line="1" w:lineRule="exact"/>
        <w:rPr>
          <w:sz w:val="20"/>
          <w:szCs w:val="20"/>
          <w:color w:val="auto"/>
        </w:rPr>
      </w:pPr>
    </w:p>
    <w:p>
      <w:pPr>
        <w:ind w:right="160" w:firstLine="8"/>
        <w:spacing w:after="0" w:line="225" w:lineRule="auto"/>
        <w:tabs>
          <w:tab w:leader="none" w:pos="72" w:val="left"/>
        </w:tabs>
        <w:numPr>
          <w:ilvl w:val="0"/>
          <w:numId w:val="6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The “Other” asset class includes net payables for securities purchased but not yet settled (Level 1); dividends and interest- and tax-related receivables (Level 2); insurance contracts (Level 3); and investments in private-equity limited partnerships (NAV).</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98" w:name="page99"/>
    <w:bookmarkEnd w:id="98"/>
    <w:p>
      <w:pPr>
        <w:ind w:left="20"/>
        <w:spacing w:after="0"/>
        <w:tabs>
          <w:tab w:leader="none" w:pos="9460" w:val="left"/>
        </w:tabs>
        <w:rPr>
          <w:sz w:val="20"/>
          <w:szCs w:val="20"/>
          <w:color w:val="auto"/>
        </w:rPr>
      </w:pPr>
      <w:r>
        <w:rPr>
          <w:rFonts w:ascii="Arial" w:cs="Arial" w:eastAsia="Arial" w:hAnsi="Arial"/>
          <w:sz w:val="14"/>
          <w:szCs w:val="14"/>
          <w:color w:val="0077C0"/>
        </w:rPr>
        <w:t>Notes to the Consolidated Financial Statements</w:t>
      </w:r>
      <w:r>
        <w:rPr>
          <w:sz w:val="20"/>
          <w:szCs w:val="20"/>
          <w:color w:val="auto"/>
        </w:rPr>
        <w:tab/>
      </w:r>
      <w:r>
        <w:rPr>
          <w:rFonts w:ascii="Arial" w:cs="Arial" w:eastAsia="Arial" w:hAnsi="Arial"/>
          <w:sz w:val="14"/>
          <w:szCs w:val="14"/>
          <w:color w:val="0077C0"/>
        </w:rPr>
        <w:t>Financial Table of Contents</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11"/>
          <w:szCs w:val="11"/>
          <w:color w:val="0077C0"/>
        </w:rPr>
        <w:t>Millions of dollars, except per-share amounts</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effects of fair value measurements using significant unobservable inputs on changes in Level 3 plan assets are outlined below:</w:t>
      </w:r>
    </w:p>
    <w:p>
      <w:pPr>
        <w:spacing w:after="0" w:line="140" w:lineRule="exact"/>
        <w:rPr>
          <w:sz w:val="20"/>
          <w:szCs w:val="20"/>
          <w:color w:val="auto"/>
        </w:rPr>
      </w:pPr>
    </w:p>
    <w:tbl>
      <w:tblPr>
        <w:tblLayout w:type="fixed"/>
        <w:tblInd w:w="100" w:type="dxa"/>
        <w:tblCellMar>
          <w:top w:w="0" w:type="dxa"/>
          <w:left w:w="0" w:type="dxa"/>
          <w:bottom w:w="0" w:type="dxa"/>
          <w:right w:w="0" w:type="dxa"/>
        </w:tblCellMar>
      </w:tblPr>
      <w:tr>
        <w:trPr>
          <w:trHeight w:val="188"/>
        </w:trPr>
        <w:tc>
          <w:tcPr>
            <w:tcW w:w="4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color w:val="auto"/>
              </w:rPr>
              <w:t>Equity</w:t>
            </w: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500" w:type="dxa"/>
            <w:vAlign w:val="bottom"/>
            <w:tcBorders>
              <w:bottom w:val="single" w:sz="8" w:color="0077C0"/>
            </w:tcBorders>
          </w:tcPr>
          <w:p>
            <w:pPr>
              <w:spacing w:after="0"/>
              <w:rPr>
                <w:sz w:val="2"/>
                <w:szCs w:val="2"/>
                <w:color w:val="auto"/>
              </w:rPr>
            </w:pPr>
          </w:p>
        </w:tc>
        <w:tc>
          <w:tcPr>
            <w:tcW w:w="720" w:type="dxa"/>
            <w:vAlign w:val="bottom"/>
            <w:tcBorders>
              <w:bottom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Real Estate</w:t>
            </w:r>
          </w:p>
        </w:tc>
        <w:tc>
          <w:tcPr>
            <w:tcW w:w="560" w:type="dxa"/>
            <w:vAlign w:val="bottom"/>
          </w:tcPr>
          <w:p>
            <w:pPr>
              <w:spacing w:after="0"/>
              <w:rPr>
                <w:sz w:val="2"/>
                <w:szCs w:val="2"/>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Other</w:t>
            </w:r>
          </w:p>
        </w:tc>
        <w:tc>
          <w:tcPr>
            <w:tcW w:w="580" w:type="dxa"/>
            <w:vAlign w:val="bottom"/>
          </w:tcPr>
          <w:p>
            <w:pPr>
              <w:spacing w:after="0"/>
              <w:rPr>
                <w:sz w:val="2"/>
                <w:szCs w:val="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0"/>
        </w:trPr>
        <w:tc>
          <w:tcPr>
            <w:tcW w:w="4400" w:type="dxa"/>
            <w:vAlign w:val="bottom"/>
            <w:tcBorders>
              <w:bottom w:val="single" w:sz="8" w:color="0077C0"/>
            </w:tcBorders>
          </w:tcPr>
          <w:p>
            <w:pPr>
              <w:spacing w:after="0"/>
              <w:rPr>
                <w:sz w:val="16"/>
                <w:szCs w:val="16"/>
                <w:color w:val="auto"/>
              </w:rPr>
            </w:pPr>
          </w:p>
        </w:tc>
        <w:tc>
          <w:tcPr>
            <w:tcW w:w="500" w:type="dxa"/>
            <w:vAlign w:val="bottom"/>
            <w:tcBorders>
              <w:bottom w:val="single" w:sz="8" w:color="0077C0"/>
            </w:tcBorders>
          </w:tcPr>
          <w:p>
            <w:pPr>
              <w:spacing w:after="0"/>
              <w:rPr>
                <w:sz w:val="16"/>
                <w:szCs w:val="16"/>
                <w:color w:val="auto"/>
              </w:rPr>
            </w:pP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U.S.</w:t>
            </w:r>
          </w:p>
        </w:tc>
        <w:tc>
          <w:tcPr>
            <w:tcW w:w="560" w:type="dxa"/>
            <w:vAlign w:val="bottom"/>
            <w:tcBorders>
              <w:bottom w:val="single" w:sz="8" w:color="0077C0"/>
            </w:tcBorders>
          </w:tcPr>
          <w:p>
            <w:pPr>
              <w:spacing w:after="0"/>
              <w:rPr>
                <w:sz w:val="16"/>
                <w:szCs w:val="16"/>
                <w:color w:val="auto"/>
              </w:rPr>
            </w:pPr>
          </w:p>
        </w:tc>
        <w:tc>
          <w:tcPr>
            <w:tcW w:w="6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Int’l.</w:t>
            </w:r>
          </w:p>
        </w:tc>
        <w:tc>
          <w:tcPr>
            <w:tcW w:w="520" w:type="dxa"/>
            <w:vAlign w:val="bottom"/>
            <w:tcBorders>
              <w:bottom w:val="single" w:sz="8" w:color="0077C0"/>
            </w:tcBorders>
          </w:tcPr>
          <w:p>
            <w:pPr>
              <w:spacing w:after="0"/>
              <w:rPr>
                <w:sz w:val="16"/>
                <w:szCs w:val="16"/>
                <w:color w:val="auto"/>
              </w:rPr>
            </w:pPr>
          </w:p>
        </w:tc>
        <w:tc>
          <w:tcPr>
            <w:tcW w:w="1000" w:type="dxa"/>
            <w:vAlign w:val="bottom"/>
            <w:tcBorders>
              <w:bottom w:val="single" w:sz="8" w:color="0077C0"/>
            </w:tcBorders>
            <w:vMerge w:val="continue"/>
          </w:tcPr>
          <w:p>
            <w:pPr>
              <w:spacing w:after="0"/>
              <w:rPr>
                <w:sz w:val="16"/>
                <w:szCs w:val="16"/>
                <w:color w:val="auto"/>
              </w:rPr>
            </w:pPr>
          </w:p>
        </w:tc>
        <w:tc>
          <w:tcPr>
            <w:tcW w:w="560" w:type="dxa"/>
            <w:vAlign w:val="bottom"/>
            <w:tcBorders>
              <w:bottom w:val="single" w:sz="8" w:color="0077C0"/>
            </w:tcBorders>
          </w:tcPr>
          <w:p>
            <w:pPr>
              <w:spacing w:after="0"/>
              <w:rPr>
                <w:sz w:val="16"/>
                <w:szCs w:val="16"/>
                <w:color w:val="auto"/>
              </w:rPr>
            </w:pPr>
          </w:p>
        </w:tc>
        <w:tc>
          <w:tcPr>
            <w:tcW w:w="840" w:type="dxa"/>
            <w:vAlign w:val="bottom"/>
            <w:tcBorders>
              <w:bottom w:val="single" w:sz="8" w:color="0077C0"/>
            </w:tcBorders>
            <w:vMerge w:val="continue"/>
          </w:tcPr>
          <w:p>
            <w:pPr>
              <w:spacing w:after="0"/>
              <w:rPr>
                <w:sz w:val="16"/>
                <w:szCs w:val="16"/>
                <w:color w:val="auto"/>
              </w:rPr>
            </w:pPr>
          </w:p>
        </w:tc>
        <w:tc>
          <w:tcPr>
            <w:tcW w:w="580" w:type="dxa"/>
            <w:vAlign w:val="bottom"/>
            <w:tcBorders>
              <w:bottom w:val="single" w:sz="8" w:color="0077C0"/>
            </w:tcBorders>
          </w:tcPr>
          <w:p>
            <w:pPr>
              <w:spacing w:after="0"/>
              <w:rPr>
                <w:sz w:val="16"/>
                <w:szCs w:val="16"/>
                <w:color w:val="auto"/>
              </w:rPr>
            </w:pPr>
          </w:p>
        </w:tc>
        <w:tc>
          <w:tcPr>
            <w:tcW w:w="720" w:type="dxa"/>
            <w:vAlign w:val="bottom"/>
            <w:tcBorders>
              <w:bottom w:val="single" w:sz="8" w:color="0077C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at December 31, 2022</w:t>
            </w:r>
          </w:p>
        </w:tc>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38</w:t>
            </w:r>
          </w:p>
        </w:tc>
        <w:tc>
          <w:tcPr>
            <w:tcW w:w="5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139</w:t>
            </w:r>
          </w:p>
        </w:tc>
        <w:tc>
          <w:tcPr>
            <w:tcW w:w="5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191"/>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Actual Return on Plan Assets:</w:t>
            </w: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Assets held at the reporting date</w:t>
            </w:r>
          </w:p>
        </w:tc>
        <w:tc>
          <w:tcPr>
            <w:tcW w:w="500" w:type="dxa"/>
            <w:vAlign w:val="bottom"/>
          </w:tcPr>
          <w:p>
            <w:pPr>
              <w:spacing w:after="0"/>
              <w:rPr>
                <w:sz w:val="17"/>
                <w:szCs w:val="17"/>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5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w:t>
            </w:r>
          </w:p>
        </w:tc>
        <w:tc>
          <w:tcPr>
            <w:tcW w:w="560" w:type="dxa"/>
            <w:vAlign w:val="bottom"/>
          </w:tcPr>
          <w:p>
            <w:pPr>
              <w:spacing w:after="0"/>
              <w:rPr>
                <w:sz w:val="17"/>
                <w:szCs w:val="17"/>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3"/>
        </w:trPr>
        <w:tc>
          <w:tcPr>
            <w:tcW w:w="4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Assets sold during the period</w:t>
            </w:r>
          </w:p>
        </w:tc>
        <w:tc>
          <w:tcPr>
            <w:tcW w:w="500" w:type="dxa"/>
            <w:vAlign w:val="bottom"/>
          </w:tcPr>
          <w:p>
            <w:pPr>
              <w:spacing w:after="0"/>
              <w:rPr>
                <w:sz w:val="17"/>
                <w:szCs w:val="17"/>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w:t>
            </w:r>
          </w:p>
        </w:tc>
        <w:tc>
          <w:tcPr>
            <w:tcW w:w="5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3"/>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Sales and Settlements</w:t>
            </w:r>
          </w:p>
        </w:tc>
        <w:tc>
          <w:tcPr>
            <w:tcW w:w="500" w:type="dxa"/>
            <w:vAlign w:val="bottom"/>
          </w:tcPr>
          <w:p>
            <w:pPr>
              <w:spacing w:after="0"/>
              <w:rPr>
                <w:sz w:val="17"/>
                <w:szCs w:val="17"/>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7"/>
                <w:szCs w:val="17"/>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Transfers in and/or out of Level 3</w:t>
            </w:r>
          </w:p>
        </w:tc>
        <w:tc>
          <w:tcPr>
            <w:tcW w:w="500" w:type="dxa"/>
            <w:vAlign w:val="bottom"/>
          </w:tcPr>
          <w:p>
            <w:pPr>
              <w:spacing w:after="0"/>
              <w:rPr>
                <w:sz w:val="17"/>
                <w:szCs w:val="17"/>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(43)</w:t>
            </w:r>
          </w:p>
        </w:tc>
        <w:tc>
          <w:tcPr>
            <w:tcW w:w="560" w:type="dxa"/>
            <w:vAlign w:val="bottom"/>
          </w:tcPr>
          <w:p>
            <w:pPr>
              <w:spacing w:after="0"/>
              <w:rPr>
                <w:sz w:val="17"/>
                <w:szCs w:val="17"/>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23"/>
        </w:trPr>
        <w:tc>
          <w:tcPr>
            <w:tcW w:w="4400" w:type="dxa"/>
            <w:vAlign w:val="bottom"/>
            <w:tcBorders>
              <w:bottom w:val="single" w:sz="8" w:color="0077C0"/>
            </w:tcBorders>
          </w:tcPr>
          <w:p>
            <w:pPr>
              <w:spacing w:after="0"/>
              <w:rPr>
                <w:sz w:val="2"/>
                <w:szCs w:val="2"/>
                <w:color w:val="auto"/>
              </w:rPr>
            </w:pPr>
          </w:p>
        </w:tc>
        <w:tc>
          <w:tcPr>
            <w:tcW w:w="500" w:type="dxa"/>
            <w:vAlign w:val="bottom"/>
            <w:tcBorders>
              <w:bottom w:val="single" w:sz="8" w:color="0077C0"/>
            </w:tcBorders>
          </w:tcPr>
          <w:p>
            <w:pPr>
              <w:spacing w:after="0"/>
              <w:rPr>
                <w:sz w:val="2"/>
                <w:szCs w:val="2"/>
                <w:color w:val="auto"/>
              </w:rPr>
            </w:pPr>
          </w:p>
        </w:tc>
        <w:tc>
          <w:tcPr>
            <w:tcW w:w="720" w:type="dxa"/>
            <w:vAlign w:val="bottom"/>
            <w:tcBorders>
              <w:bottom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84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72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at December 31, 2023</w:t>
            </w:r>
          </w:p>
        </w:tc>
        <w:tc>
          <w:tcPr>
            <w:tcW w:w="500" w:type="dxa"/>
            <w:vAlign w:val="bottom"/>
            <w:tcBorders>
              <w:bottom w:val="single" w:sz="8" w:color="0077C0"/>
            </w:tcBorders>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560" w:type="dxa"/>
            <w:vAlign w:val="bottom"/>
            <w:tcBorders>
              <w:bottom w:val="single" w:sz="8" w:color="0077C0"/>
            </w:tcBorders>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0077C0"/>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0077C0"/>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color w:val="auto"/>
              </w:rPr>
              <w:t>137</w:t>
            </w:r>
          </w:p>
        </w:tc>
        <w:tc>
          <w:tcPr>
            <w:tcW w:w="580" w:type="dxa"/>
            <w:vAlign w:val="bottom"/>
            <w:tcBorders>
              <w:bottom w:val="single" w:sz="8" w:color="0077C0"/>
            </w:tcBorders>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188"/>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Actual Return on Plan Assets:</w:t>
            </w: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Assets held at the reporting date</w:t>
            </w:r>
          </w:p>
        </w:tc>
        <w:tc>
          <w:tcPr>
            <w:tcW w:w="50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w:t>
            </w:r>
          </w:p>
        </w:tc>
        <w:tc>
          <w:tcPr>
            <w:tcW w:w="5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w:t>
            </w:r>
          </w:p>
        </w:tc>
        <w:tc>
          <w:tcPr>
            <w:tcW w:w="52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10</w:t>
            </w:r>
          </w:p>
        </w:tc>
        <w:tc>
          <w:tcPr>
            <w:tcW w:w="0" w:type="dxa"/>
            <w:vAlign w:val="bottom"/>
          </w:tcPr>
          <w:p>
            <w:pPr>
              <w:spacing w:after="0"/>
              <w:rPr>
                <w:sz w:val="1"/>
                <w:szCs w:val="1"/>
                <w:color w:val="auto"/>
              </w:rPr>
            </w:pPr>
          </w:p>
        </w:tc>
      </w:tr>
      <w:tr>
        <w:trPr>
          <w:trHeight w:val="203"/>
        </w:trPr>
        <w:tc>
          <w:tcPr>
            <w:tcW w:w="4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Assets sold during the period</w:t>
            </w:r>
          </w:p>
        </w:tc>
        <w:tc>
          <w:tcPr>
            <w:tcW w:w="500" w:type="dxa"/>
            <w:vAlign w:val="bottom"/>
          </w:tcPr>
          <w:p>
            <w:pPr>
              <w:spacing w:after="0"/>
              <w:rPr>
                <w:sz w:val="17"/>
                <w:szCs w:val="17"/>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52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7"/>
                <w:szCs w:val="17"/>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9</w:t>
            </w:r>
          </w:p>
        </w:tc>
        <w:tc>
          <w:tcPr>
            <w:tcW w:w="58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11</w:t>
            </w:r>
          </w:p>
        </w:tc>
        <w:tc>
          <w:tcPr>
            <w:tcW w:w="0" w:type="dxa"/>
            <w:vAlign w:val="bottom"/>
          </w:tcPr>
          <w:p>
            <w:pPr>
              <w:spacing w:after="0"/>
              <w:rPr>
                <w:sz w:val="1"/>
                <w:szCs w:val="1"/>
                <w:color w:val="auto"/>
              </w:rPr>
            </w:pPr>
          </w:p>
        </w:tc>
      </w:tr>
      <w:tr>
        <w:trPr>
          <w:trHeight w:val="203"/>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Sales and Settlements</w:t>
            </w:r>
          </w:p>
        </w:tc>
        <w:tc>
          <w:tcPr>
            <w:tcW w:w="500" w:type="dxa"/>
            <w:vAlign w:val="bottom"/>
          </w:tcPr>
          <w:p>
            <w:pPr>
              <w:spacing w:after="0"/>
              <w:rPr>
                <w:sz w:val="17"/>
                <w:szCs w:val="17"/>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52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(9)</w:t>
            </w:r>
          </w:p>
        </w:tc>
        <w:tc>
          <w:tcPr>
            <w:tcW w:w="5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0" w:type="dxa"/>
            <w:vAlign w:val="bottom"/>
          </w:tcPr>
          <w:p>
            <w:pPr>
              <w:spacing w:after="0"/>
              <w:rPr>
                <w:sz w:val="1"/>
                <w:szCs w:val="1"/>
                <w:color w:val="auto"/>
              </w:rPr>
            </w:pPr>
          </w:p>
        </w:tc>
      </w:tr>
      <w:tr>
        <w:trPr>
          <w:trHeight w:val="203"/>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Transfers in and/or out of Level 3</w:t>
            </w:r>
          </w:p>
        </w:tc>
        <w:tc>
          <w:tcPr>
            <w:tcW w:w="500" w:type="dxa"/>
            <w:vAlign w:val="bottom"/>
          </w:tcPr>
          <w:p>
            <w:pPr>
              <w:spacing w:after="0"/>
              <w:rPr>
                <w:sz w:val="17"/>
                <w:szCs w:val="17"/>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c>
          <w:tcPr>
            <w:tcW w:w="52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(6)</w:t>
            </w:r>
          </w:p>
        </w:tc>
        <w:tc>
          <w:tcPr>
            <w:tcW w:w="58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4400" w:type="dxa"/>
            <w:vAlign w:val="bottom"/>
            <w:tcBorders>
              <w:bottom w:val="single" w:sz="8" w:color="0077C0"/>
            </w:tcBorders>
          </w:tcPr>
          <w:p>
            <w:pPr>
              <w:spacing w:after="0"/>
              <w:rPr>
                <w:sz w:val="2"/>
                <w:szCs w:val="2"/>
                <w:color w:val="auto"/>
              </w:rPr>
            </w:pPr>
          </w:p>
        </w:tc>
        <w:tc>
          <w:tcPr>
            <w:tcW w:w="500" w:type="dxa"/>
            <w:vAlign w:val="bottom"/>
            <w:tcBorders>
              <w:bottom w:val="single" w:sz="8" w:color="0077C0"/>
            </w:tcBorders>
          </w:tcPr>
          <w:p>
            <w:pPr>
              <w:spacing w:after="0"/>
              <w:rPr>
                <w:sz w:val="2"/>
                <w:szCs w:val="2"/>
                <w:color w:val="auto"/>
              </w:rPr>
            </w:pPr>
          </w:p>
        </w:tc>
        <w:tc>
          <w:tcPr>
            <w:tcW w:w="720" w:type="dxa"/>
            <w:vAlign w:val="bottom"/>
            <w:tcBorders>
              <w:bottom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84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72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at December 31, 2024</w:t>
            </w:r>
          </w:p>
        </w:tc>
        <w:tc>
          <w:tcPr>
            <w:tcW w:w="500" w:type="dxa"/>
            <w:vAlign w:val="bottom"/>
            <w:tcBorders>
              <w:bottom w:val="single" w:sz="8" w:color="0077C0"/>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0077C0"/>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w:t>
            </w:r>
          </w:p>
        </w:tc>
        <w:tc>
          <w:tcPr>
            <w:tcW w:w="520" w:type="dxa"/>
            <w:vAlign w:val="bottom"/>
            <w:tcBorders>
              <w:bottom w:val="single" w:sz="8" w:color="0077C0"/>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0077C0"/>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131</w:t>
            </w:r>
          </w:p>
        </w:tc>
        <w:tc>
          <w:tcPr>
            <w:tcW w:w="580" w:type="dxa"/>
            <w:vAlign w:val="bottom"/>
            <w:tcBorders>
              <w:bottom w:val="single" w:sz="8" w:color="0077C0"/>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152</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primary investment objectives of the pension plans are to achieve the highest rate of total return within prudent levels of risk and liquidity, to diversify and mitigate potential downside risk associated with the investments, and to provide adequate liquidity for benefit payments and portfolio management.</w:t>
      </w:r>
    </w:p>
    <w:p>
      <w:pPr>
        <w:spacing w:after="0" w:line="2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company’s U.S. and U.K. pension plans comprise 95 percent of the total pension assets. Both the U.S. and U.K. plans have an Investment Committee that regularly meets during the year to review the asset holdings and their returns. To assess the plans’ investment performance, long-term asset allocation policy benchmarks have been established.</w:t>
      </w:r>
    </w:p>
    <w:p>
      <w:pPr>
        <w:spacing w:after="0" w:line="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primary U.S. pension plan, the company’s Investment Committee has established the following approved asset allocation ranges: Equities 30–60 percent, Fixed Income 30–50 percent, Real Estate 5–25 percent, Alternative Investments 0–5 percent and Cash 0–15 percent. For the U.K. pension plan, the U.K. Board of Trustees has established the following asset allocation guidelines: Equities 5–15 percent, Fixed Income 63–93 percent, Real Estate 5–15 percent, and Cash 0–7 percent. The other significant international pension plans also have established maximum and minimum asset allocation ranges that vary by plan. Actual asset allocation within approved ranges is based on a variety of factors, including market conditions and liquidity constraints. To mitigate concentration and other risks, assets are invested across multiple asset classes with active investment managers and passive index funds.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prefund its OPEB obligations.</w:t>
      </w:r>
    </w:p>
    <w:p>
      <w:pPr>
        <w:spacing w:after="0" w:line="12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Cash Contributions and Benefit Payments </w:t>
      </w:r>
      <w:r>
        <w:rPr>
          <w:rFonts w:ascii="Times New Roman" w:cs="Times New Roman" w:eastAsia="Times New Roman" w:hAnsi="Times New Roman"/>
          <w:sz w:val="18"/>
          <w:szCs w:val="18"/>
          <w:color w:val="000000"/>
        </w:rPr>
        <w:t>In 2024, the company contributed $754 and $90 to its U.S. and international pension plans, respectively. In</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2025, the company expects contributions to be approximately $750 to its U.S. plans and $100 to its international pension plans. Actual contribution amounts are dependent upon investment returns, changes in pension obligations, regulatory environments, tax law changes and other economic factors. Additional funding may ultimately be required if investment returns are insufficient to offset increases in plan obligations.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anticipates paying OPEB benefits of approximately $150 in 2025; $148 was paid in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benefit payments, which include estimated future service, are expected to be paid by the company in the next 10 years: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Pension Benefits</w:t>
            </w:r>
          </w:p>
        </w:tc>
        <w:tc>
          <w:tcPr>
            <w:tcW w:w="520" w:type="dxa"/>
            <w:vAlign w:val="bottom"/>
          </w:tcPr>
          <w:p>
            <w:pPr>
              <w:spacing w:after="0"/>
              <w:rPr>
                <w:sz w:val="16"/>
                <w:szCs w:val="16"/>
                <w:color w:val="auto"/>
              </w:rPr>
            </w:pPr>
          </w:p>
        </w:tc>
        <w:tc>
          <w:tcPr>
            <w:tcW w:w="940" w:type="dxa"/>
            <w:vAlign w:val="bottom"/>
          </w:tcPr>
          <w:p>
            <w:pPr>
              <w:jc w:val="center"/>
              <w:ind w:left="508"/>
              <w:spacing w:after="0"/>
              <w:rPr>
                <w:sz w:val="20"/>
                <w:szCs w:val="20"/>
                <w:color w:val="auto"/>
              </w:rPr>
            </w:pPr>
            <w:r>
              <w:rPr>
                <w:rFonts w:ascii="Times New Roman" w:cs="Times New Roman" w:eastAsia="Times New Roman" w:hAnsi="Times New Roman"/>
                <w:sz w:val="14"/>
                <w:szCs w:val="14"/>
                <w:color w:val="auto"/>
              </w:rPr>
              <w:t>Other</w:t>
            </w:r>
          </w:p>
        </w:tc>
        <w:tc>
          <w:tcPr>
            <w:tcW w:w="0" w:type="dxa"/>
            <w:vAlign w:val="bottom"/>
          </w:tcPr>
          <w:p>
            <w:pPr>
              <w:spacing w:after="0"/>
              <w:rPr>
                <w:sz w:val="1"/>
                <w:szCs w:val="1"/>
                <w:color w:val="auto"/>
              </w:rPr>
            </w:pPr>
          </w:p>
        </w:tc>
      </w:tr>
      <w:tr>
        <w:trPr>
          <w:trHeight w:val="23"/>
        </w:trPr>
        <w:tc>
          <w:tcPr>
            <w:tcW w:w="6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14"/>
                <w:szCs w:val="14"/>
                <w:color w:val="auto"/>
              </w:rPr>
              <w:t>Benefits</w:t>
            </w:r>
          </w:p>
        </w:tc>
        <w:tc>
          <w:tcPr>
            <w:tcW w:w="0" w:type="dxa"/>
            <w:vAlign w:val="bottom"/>
          </w:tcPr>
          <w:p>
            <w:pPr>
              <w:spacing w:after="0"/>
              <w:rPr>
                <w:sz w:val="1"/>
                <w:szCs w:val="1"/>
                <w:color w:val="auto"/>
              </w:rPr>
            </w:pPr>
          </w:p>
        </w:tc>
      </w:tr>
      <w:tr>
        <w:trPr>
          <w:trHeight w:val="190"/>
        </w:trPr>
        <w:tc>
          <w:tcPr>
            <w:tcW w:w="6560" w:type="dxa"/>
            <w:vAlign w:val="bottom"/>
            <w:tcBorders>
              <w:bottom w:val="single" w:sz="8" w:color="0077C0"/>
            </w:tcBorders>
          </w:tcPr>
          <w:p>
            <w:pPr>
              <w:spacing w:after="0"/>
              <w:rPr>
                <w:sz w:val="16"/>
                <w:szCs w:val="16"/>
                <w:color w:val="auto"/>
              </w:rPr>
            </w:pPr>
          </w:p>
        </w:tc>
        <w:tc>
          <w:tcPr>
            <w:tcW w:w="580" w:type="dxa"/>
            <w:vAlign w:val="bottom"/>
            <w:tcBorders>
              <w:top w:val="single" w:sz="8" w:color="0077C0"/>
              <w:bottom w:val="single" w:sz="8" w:color="0077C0"/>
            </w:tcBorders>
          </w:tcPr>
          <w:p>
            <w:pPr>
              <w:spacing w:after="0"/>
              <w:rPr>
                <w:sz w:val="16"/>
                <w:szCs w:val="16"/>
                <w:color w:val="auto"/>
              </w:rPr>
            </w:pPr>
          </w:p>
        </w:tc>
        <w:tc>
          <w:tcPr>
            <w:tcW w:w="920" w:type="dxa"/>
            <w:vAlign w:val="bottom"/>
            <w:tcBorders>
              <w:top w:val="single" w:sz="8" w:color="0077C0"/>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U.S.</w:t>
            </w:r>
          </w:p>
        </w:tc>
        <w:tc>
          <w:tcPr>
            <w:tcW w:w="340" w:type="dxa"/>
            <w:vAlign w:val="bottom"/>
            <w:tcBorders>
              <w:top w:val="single" w:sz="8" w:color="0077C0"/>
              <w:bottom w:val="single" w:sz="8" w:color="0077C0"/>
            </w:tcBorders>
          </w:tcPr>
          <w:p>
            <w:pPr>
              <w:spacing w:after="0"/>
              <w:rPr>
                <w:sz w:val="16"/>
                <w:szCs w:val="16"/>
                <w:color w:val="auto"/>
              </w:rPr>
            </w:pPr>
          </w:p>
        </w:tc>
        <w:tc>
          <w:tcPr>
            <w:tcW w:w="1160" w:type="dxa"/>
            <w:vAlign w:val="bottom"/>
            <w:tcBorders>
              <w:top w:val="single" w:sz="8" w:color="0077C0"/>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Int’l.</w:t>
            </w:r>
          </w:p>
        </w:tc>
        <w:tc>
          <w:tcPr>
            <w:tcW w:w="220" w:type="dxa"/>
            <w:vAlign w:val="bottom"/>
          </w:tcPr>
          <w:p>
            <w:pPr>
              <w:spacing w:after="0"/>
              <w:rPr>
                <w:sz w:val="16"/>
                <w:szCs w:val="16"/>
                <w:color w:val="auto"/>
              </w:rPr>
            </w:pPr>
          </w:p>
        </w:tc>
        <w:tc>
          <w:tcPr>
            <w:tcW w:w="520" w:type="dxa"/>
            <w:vAlign w:val="bottom"/>
            <w:tcBorders>
              <w:bottom w:val="single" w:sz="8" w:color="0077C0"/>
            </w:tcBorders>
          </w:tcPr>
          <w:p>
            <w:pPr>
              <w:spacing w:after="0"/>
              <w:rPr>
                <w:sz w:val="16"/>
                <w:szCs w:val="16"/>
                <w:color w:val="auto"/>
              </w:rPr>
            </w:pPr>
          </w:p>
        </w:tc>
        <w:tc>
          <w:tcPr>
            <w:tcW w:w="940" w:type="dxa"/>
            <w:vAlign w:val="bottom"/>
            <w:tcBorders>
              <w:bottom w:val="single" w:sz="8" w:color="0077C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58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899</w:t>
            </w:r>
          </w:p>
        </w:tc>
        <w:tc>
          <w:tcPr>
            <w:tcW w:w="3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220" w:type="dxa"/>
            <w:vAlign w:val="bottom"/>
          </w:tcPr>
          <w:p>
            <w:pPr>
              <w:spacing w:after="0"/>
              <w:rPr>
                <w:sz w:val="16"/>
                <w:szCs w:val="16"/>
                <w:color w:val="auto"/>
              </w:rPr>
            </w:pPr>
          </w:p>
        </w:tc>
        <w:tc>
          <w:tcPr>
            <w:tcW w:w="5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ind w:left="528"/>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193"/>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58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901</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jc w:val="center"/>
              <w:ind w:left="528"/>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203"/>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58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894</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center"/>
              <w:ind w:left="528"/>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203"/>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58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879</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center"/>
              <w:ind w:left="528"/>
              <w:spacing w:after="0"/>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r>
        <w:trPr>
          <w:trHeight w:val="203"/>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58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871</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center"/>
              <w:ind w:left="528"/>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203"/>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2030-2034</w:t>
            </w:r>
          </w:p>
        </w:tc>
        <w:tc>
          <w:tcPr>
            <w:tcW w:w="58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4,251</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center"/>
              <w:ind w:left="528"/>
              <w:spacing w:after="0"/>
              <w:rPr>
                <w:sz w:val="20"/>
                <w:szCs w:val="20"/>
                <w:color w:val="auto"/>
              </w:rPr>
            </w:pPr>
            <w:r>
              <w:rPr>
                <w:rFonts w:ascii="Times New Roman" w:cs="Times New Roman" w:eastAsia="Times New Roman" w:hAnsi="Times New Roman"/>
                <w:sz w:val="14"/>
                <w:szCs w:val="14"/>
                <w:color w:val="auto"/>
              </w:rPr>
              <w:t>709</w:t>
            </w:r>
          </w:p>
        </w:tc>
        <w:tc>
          <w:tcPr>
            <w:tcW w:w="0" w:type="dxa"/>
            <w:vAlign w:val="bottom"/>
          </w:tcPr>
          <w:p>
            <w:pPr>
              <w:spacing w:after="0"/>
              <w:rPr>
                <w:sz w:val="1"/>
                <w:szCs w:val="1"/>
                <w:color w:val="auto"/>
              </w:rPr>
            </w:pPr>
          </w:p>
        </w:tc>
      </w:tr>
      <w:tr>
        <w:trPr>
          <w:trHeight w:val="23"/>
        </w:trPr>
        <w:tc>
          <w:tcPr>
            <w:tcW w:w="656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340" w:type="dxa"/>
            <w:vAlign w:val="bottom"/>
            <w:tcBorders>
              <w:bottom w:val="single" w:sz="8" w:color="0077C0"/>
            </w:tcBorders>
          </w:tcPr>
          <w:p>
            <w:pPr>
              <w:spacing w:after="0"/>
              <w:rPr>
                <w:sz w:val="2"/>
                <w:szCs w:val="2"/>
                <w:color w:val="auto"/>
              </w:rPr>
            </w:pPr>
          </w:p>
        </w:tc>
        <w:tc>
          <w:tcPr>
            <w:tcW w:w="116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94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Employee Savings Investment Plan </w:t>
      </w:r>
      <w:r>
        <w:rPr>
          <w:rFonts w:ascii="Times New Roman" w:cs="Times New Roman" w:eastAsia="Times New Roman" w:hAnsi="Times New Roman"/>
          <w:sz w:val="18"/>
          <w:szCs w:val="18"/>
          <w:color w:val="000000"/>
        </w:rPr>
        <w:t>Eligible employees of Chevron and certain of its subsidiaries participate in the Chevron Employee Savings Investment</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Plan (ESIP). Compensation expense for the ESIP totaled $330, $320 and $283 in 2024, 2023 and 2022, respectively.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99" w:name="page100"/>
    <w:bookmarkEnd w:id="99"/>
    <w:p>
      <w:pPr>
        <w:ind w:left="20"/>
        <w:spacing w:after="0"/>
        <w:tabs>
          <w:tab w:leader="none" w:pos="9460" w:val="left"/>
        </w:tabs>
        <w:rPr>
          <w:sz w:val="20"/>
          <w:szCs w:val="20"/>
          <w:color w:val="auto"/>
        </w:rPr>
      </w:pPr>
      <w:r>
        <w:rPr>
          <w:rFonts w:ascii="Arial" w:cs="Arial" w:eastAsia="Arial" w:hAnsi="Arial"/>
          <w:sz w:val="14"/>
          <w:szCs w:val="14"/>
          <w:color w:val="0077C0"/>
        </w:rPr>
        <w:t>Notes to the Consolidated Financial Statements</w:t>
      </w:r>
      <w:r>
        <w:rPr>
          <w:sz w:val="20"/>
          <w:szCs w:val="20"/>
          <w:color w:val="auto"/>
        </w:rPr>
        <w:tab/>
      </w:r>
      <w:r>
        <w:rPr>
          <w:rFonts w:ascii="Arial" w:cs="Arial" w:eastAsia="Arial" w:hAnsi="Arial"/>
          <w:sz w:val="14"/>
          <w:szCs w:val="14"/>
          <w:color w:val="0077C0"/>
        </w:rPr>
        <w:t>Financial Table of Contents</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11"/>
          <w:szCs w:val="11"/>
          <w:color w:val="0077C0"/>
        </w:rPr>
        <w:t>Millions of dollars, except per-share amounts</w:t>
      </w:r>
    </w:p>
    <w:p>
      <w:pPr>
        <w:spacing w:after="0" w:line="200" w:lineRule="exact"/>
        <w:rPr>
          <w:sz w:val="20"/>
          <w:szCs w:val="20"/>
          <w:color w:val="auto"/>
        </w:rPr>
      </w:pPr>
    </w:p>
    <w:p>
      <w:pPr>
        <w:spacing w:after="0" w:line="36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Benefit Plan Trusts </w:t>
      </w:r>
      <w:r>
        <w:rPr>
          <w:rFonts w:ascii="Times New Roman" w:cs="Times New Roman" w:eastAsia="Times New Roman" w:hAnsi="Times New Roman"/>
          <w:sz w:val="18"/>
          <w:szCs w:val="18"/>
          <w:color w:val="000000"/>
        </w:rPr>
        <w:t>Prior to its acquisition by Chevron, Texaco established a benefit plan trust for funding obligations under some of its benefit plans. At</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year-end 2024, the trust contained 14.2 million shares of Chevron treasury stock. The trust will sell the shares or use the dividends from the shares to pay benefits only to the extent that the company does not pay such benefits. The company intends to continue to pay its obligations under the benefit plans. The trustee will vote the shares held in the trust as instructed by the trust’s beneficiaries. The shares held in the trust are not considered outstanding for earnings-per-share purposes until distributed or sold by the trust in payment of benefit obligations.</w:t>
      </w:r>
    </w:p>
    <w:p>
      <w:pPr>
        <w:spacing w:after="0" w:line="4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i w:val="1"/>
          <w:iCs w:val="1"/>
          <w:color w:val="FF0000"/>
        </w:rPr>
        <w:t xml:space="preserve">Employee Incentive Plans </w:t>
      </w:r>
      <w:r>
        <w:rPr>
          <w:rFonts w:ascii="Times New Roman" w:cs="Times New Roman" w:eastAsia="Times New Roman" w:hAnsi="Times New Roman"/>
          <w:sz w:val="17"/>
          <w:szCs w:val="17"/>
          <w:color w:val="000000"/>
        </w:rPr>
        <w:t>The Chevron Incentive Plan is an annual cash bonus plan for eligible employees that links awards to corporate and individual</w:t>
      </w:r>
      <w:r>
        <w:rPr>
          <w:rFonts w:ascii="Times New Roman" w:cs="Times New Roman" w:eastAsia="Times New Roman" w:hAnsi="Times New Roman"/>
          <w:sz w:val="17"/>
          <w:szCs w:val="17"/>
          <w:b w:val="1"/>
          <w:bCs w:val="1"/>
          <w:i w:val="1"/>
          <w:iCs w:val="1"/>
          <w:color w:val="FF0000"/>
        </w:rPr>
        <w:t xml:space="preserve"> </w:t>
      </w:r>
      <w:r>
        <w:rPr>
          <w:rFonts w:ascii="Times New Roman" w:cs="Times New Roman" w:eastAsia="Times New Roman" w:hAnsi="Times New Roman"/>
          <w:sz w:val="17"/>
          <w:szCs w:val="17"/>
          <w:color w:val="000000"/>
        </w:rPr>
        <w:t xml:space="preserve">performance in the prior year. Charges to expense for cash bonuses were $965, $809 and $1,169 in 2024, 2023 and 2022, respectively. Chevron also has the LTIP for officers and other regular salaried employees of the company and its subsidiaries who hold positions of significant responsibility. Awards under the LTIP consist of stock options and other share-based compensation that are described in </w:t>
      </w:r>
      <w:r>
        <w:rPr>
          <w:rFonts w:ascii="Times New Roman" w:cs="Times New Roman" w:eastAsia="Times New Roman" w:hAnsi="Times New Roman"/>
          <w:sz w:val="17"/>
          <w:szCs w:val="17"/>
          <w:u w:val="single" w:color="auto"/>
          <w:color w:val="0000FF"/>
        </w:rPr>
        <w:t>Note 22 Stock Options and Other Share-Based Compensation</w:t>
      </w:r>
      <w:r>
        <w:rPr>
          <w:rFonts w:ascii="Times New Roman" w:cs="Times New Roman" w:eastAsia="Times New Roman" w:hAnsi="Times New Roman"/>
          <w:sz w:val="17"/>
          <w:szCs w:val="17"/>
          <w:color w:val="000000"/>
        </w:rPr>
        <w:t>.</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24</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0077C0"/>
        </w:rPr>
        <w:t>Other Contingencies and Commitments</w:t>
      </w:r>
    </w:p>
    <w:p>
      <w:pPr>
        <w:spacing w:after="0" w:line="9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Income Taxes </w:t>
      </w:r>
      <w:r>
        <w:rPr>
          <w:rFonts w:ascii="Times New Roman" w:cs="Times New Roman" w:eastAsia="Times New Roman" w:hAnsi="Times New Roman"/>
          <w:sz w:val="18"/>
          <w:szCs w:val="18"/>
          <w:color w:val="000000"/>
        </w:rPr>
        <w:t>The company calculates its income tax expense and liabilities quarterly. These liabilities generally are subject to audit and are not finalized</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 xml:space="preserve">with the individual taxing authorities until several years after the end of the annual period for which income taxes have been calculated. Refer to </w:t>
      </w:r>
      <w:r>
        <w:rPr>
          <w:rFonts w:ascii="Times New Roman" w:cs="Times New Roman" w:eastAsia="Times New Roman" w:hAnsi="Times New Roman"/>
          <w:sz w:val="18"/>
          <w:szCs w:val="18"/>
          <w:u w:val="single" w:color="auto"/>
          <w:color w:val="0000FF"/>
        </w:rPr>
        <w:t>Note 17</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Taxes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a discussion of the periods for which tax returns have been audited for the company’s major tax jurisdictions and a discussion for all tax</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jurisdictions of the differences between the amount of tax benefits recognized in the financial statements and the amount taken or expected to be taken in a tax return.</w:t>
      </w:r>
    </w:p>
    <w:p>
      <w:pPr>
        <w:spacing w:after="0" w:line="5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Settlement of open tax years, as well as other tax issues in countries where the company conducts its businesses, are not expected to have a material effect on the consolidated financial position or liquidity of the company and, in the opinion of management, adequate provisions have been made for all years under examination or subject to future examination.</w:t>
      </w:r>
    </w:p>
    <w:p>
      <w:pPr>
        <w:spacing w:after="0" w:line="7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Guarantees </w:t>
      </w:r>
      <w:r>
        <w:rPr>
          <w:rFonts w:ascii="Times New Roman" w:cs="Times New Roman" w:eastAsia="Times New Roman" w:hAnsi="Times New Roman"/>
          <w:sz w:val="18"/>
          <w:szCs w:val="18"/>
          <w:color w:val="000000"/>
        </w:rPr>
        <w:t>The company has one guarantee to an equity affiliate totaling $98. This guarantee is associated with certain payments under a terminal use</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agreement entered into by an equity affiliate. Over the approximate 3-year remaining term of this guarantee, the maximum guarantee amount will be reduced as certain fees are paid by the affiliate. There are numerous cross-indemnity agreements with the affiliate and the other partners to permit recovery of amounts paid under the guarantee. Chevron has recorded no liability for this guarantee.</w:t>
      </w:r>
    </w:p>
    <w:p>
      <w:pPr>
        <w:spacing w:after="0" w:line="7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Indemnifications </w:t>
      </w:r>
      <w:r>
        <w:rPr>
          <w:rFonts w:ascii="Times New Roman" w:cs="Times New Roman" w:eastAsia="Times New Roman" w:hAnsi="Times New Roman"/>
          <w:sz w:val="18"/>
          <w:szCs w:val="18"/>
          <w:color w:val="000000"/>
        </w:rPr>
        <w:t>The company often includes standard indemnification provisions in its arrangements with its partners, suppliers and vendors in the</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ordinary course of business, the terms of which range in duration and sometimes are not limited. The company may be obligated to indemnify such parties for losses or claims suffered or incurred in connection with its service or other claims made against such parties.</w:t>
      </w:r>
    </w:p>
    <w:p>
      <w:pPr>
        <w:spacing w:after="0" w:line="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Long-Term Unconditional Purchase Obligations and Commitments, Including Throughput and Take-or-Pay Agreements </w:t>
      </w:r>
      <w:r>
        <w:rPr>
          <w:rFonts w:ascii="Times New Roman" w:cs="Times New Roman" w:eastAsia="Times New Roman" w:hAnsi="Times New Roman"/>
          <w:sz w:val="18"/>
          <w:szCs w:val="18"/>
          <w:color w:val="000000"/>
        </w:rPr>
        <w:t>The company and its</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subsidiaries have certain contingent liabilities with respect to long-term unconditional purchase obligations and commitments, including throughput and take-or-pay agreements, some of which may relate to suppliers’ financing arrangements. The agreements typically provide goods and services, such as pipeline and storage capacity, utilities, and petroleum products, to be used or sold in the ordinary course of the company’s business. The aggregate amounts of required payments under throughput and take-or-pay agreements are: 2025 – $1,039; 2026 – $1,129; 2027 – $1,304; 2028 – $1,326; 2029 – $1,236; after 2029 – $6,882. The aggregate amount of required payments for other unconditional purchase obligations are: 2025 – $436; 2026 – $653; 2027 – $477; 2028 – $380; 2029 – $186; after 2029 – $907. A portion of these commitments may ultimately be shared with project partners. Total payments under the agreements were $1,354 in 2024, $1,420 in 2023 and $1,866 in 2022.</w:t>
      </w:r>
    </w:p>
    <w:p>
      <w:pPr>
        <w:spacing w:after="0" w:line="8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Environmental </w:t>
      </w:r>
      <w:r>
        <w:rPr>
          <w:rFonts w:ascii="Times New Roman" w:cs="Times New Roman" w:eastAsia="Times New Roman" w:hAnsi="Times New Roman"/>
          <w:sz w:val="18"/>
          <w:szCs w:val="18"/>
          <w:color w:val="000000"/>
        </w:rPr>
        <w:t>The company is subject to loss contingencies pursuant to laws, regulations, private claims and legal proceedings related to environmental</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matters that are subject to legal settlements or that in the future may require the company to take action to correct or ameliorate the effects on the environment of prior release of chemicals or petroleum substances by the company or other parties. Such contingencies may exist for various operating, closed and divested sites, including, but not limited to, U.S. federal Superfund sites and analogous sites under state laws, refineries, chemical plants, marketing facilities, crude oil fields and mining sites.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00" w:name="page101"/>
    <w:bookmarkEnd w:id="100"/>
    <w:p>
      <w:pPr>
        <w:ind w:left="20"/>
        <w:spacing w:after="0"/>
        <w:tabs>
          <w:tab w:leader="none" w:pos="9460" w:val="left"/>
        </w:tabs>
        <w:rPr>
          <w:sz w:val="20"/>
          <w:szCs w:val="20"/>
          <w:color w:val="auto"/>
        </w:rPr>
      </w:pPr>
      <w:r>
        <w:rPr>
          <w:rFonts w:ascii="Arial" w:cs="Arial" w:eastAsia="Arial" w:hAnsi="Arial"/>
          <w:sz w:val="14"/>
          <w:szCs w:val="14"/>
          <w:color w:val="0077C0"/>
        </w:rPr>
        <w:t>Notes to the Consolidated Financial Statements</w:t>
      </w:r>
      <w:r>
        <w:rPr>
          <w:sz w:val="20"/>
          <w:szCs w:val="20"/>
          <w:color w:val="auto"/>
        </w:rPr>
        <w:tab/>
      </w:r>
      <w:r>
        <w:rPr>
          <w:rFonts w:ascii="Arial" w:cs="Arial" w:eastAsia="Arial" w:hAnsi="Arial"/>
          <w:sz w:val="14"/>
          <w:szCs w:val="14"/>
          <w:color w:val="0077C0"/>
        </w:rPr>
        <w:t>Financial Table of Contents</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11"/>
          <w:szCs w:val="11"/>
          <w:color w:val="0077C0"/>
        </w:rPr>
        <w:t>Millions of dollars, except per-share amounts</w:t>
      </w:r>
    </w:p>
    <w:p>
      <w:pPr>
        <w:spacing w:after="0" w:line="200" w:lineRule="exact"/>
        <w:rPr>
          <w:sz w:val="20"/>
          <w:szCs w:val="20"/>
          <w:color w:val="auto"/>
        </w:rPr>
      </w:pPr>
    </w:p>
    <w:p>
      <w:pPr>
        <w:spacing w:after="0" w:line="3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 company has provided for known environmental obligations that are probable and reasonably estimable, it is likely that the company will continue to incur additional liabilities. The amount of additional future costs are not fully determinable due to such factors as the unknown magnitude of possible contamination, the unknown timing and extent of the corrective actions that may be required, the determination of the company’s liability in proportion to other responsible parties, and the extent to which such costs are recoverable from third parties. These future costs may be material to results of operations in the period in which they are recognized, but the company does not expect these costs will have a material effect on its consolidated financial position or liquidity.</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Chevron’s environmental reserve as of December 31, 2024, was $945. Included in this balance was $220 related to remediation activities at sites for which the company has been identified as a potentially responsible party under the provisions of the U.S. federal Superfund law which provide for joint and several liability for all responsible parties. Any future actions by regulatory agencies to require Chevron to assume other potentially responsible parties’ costs at designated hazardous waste sites are not expected to have a material effect on the company’s results of operations, consolidated financial position or liquidity.</w:t>
      </w:r>
    </w:p>
    <w:p>
      <w:pPr>
        <w:spacing w:after="0" w:line="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Of the remaining year-end 2024 environmental reserves balance of $725, $440 is related to the company’s U.S. downstream operations, $49 to its international downstream operations, and $236 to its upstream operations. Liabilities at all sites were primarily associated with the company’s plans and activities to remediate soil or groundwater contamination or both.</w:t>
      </w:r>
    </w:p>
    <w:p>
      <w:pPr>
        <w:spacing w:after="0" w:line="4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manages environmental liabilities under specific sets of regulatory requirements, which in the United States include the Resource Conservation and Recovery Act and various state and local regulations. No single remediation site at year-end 2024 had a recorded liability that was material to the company’s results of operations, consolidated financial position or liquidity.</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u w:val="single" w:color="auto"/>
          <w:color w:val="0000FF"/>
        </w:rPr>
        <w:t>Note 25 Asset Retirement Obligations</w:t>
      </w:r>
      <w:r>
        <w:rPr>
          <w:rFonts w:ascii="Times New Roman" w:cs="Times New Roman" w:eastAsia="Times New Roman" w:hAnsi="Times New Roman"/>
          <w:sz w:val="18"/>
          <w:szCs w:val="18"/>
          <w:color w:val="auto"/>
        </w:rPr>
        <w:t xml:space="preserve"> for a discussion of the company’s asset retirement obligations.</w:t>
      </w:r>
    </w:p>
    <w:p>
      <w:pPr>
        <w:spacing w:after="0" w:line="1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Decommissioning Obligations for Previously Divested Assets </w:t>
      </w:r>
      <w:r>
        <w:rPr>
          <w:rFonts w:ascii="Times New Roman" w:cs="Times New Roman" w:eastAsia="Times New Roman" w:hAnsi="Times New Roman"/>
          <w:sz w:val="18"/>
          <w:szCs w:val="18"/>
          <w:color w:val="000000"/>
        </w:rPr>
        <w:t>Some assets are divested along with their related liabilities, such as decommissioning</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obligations. In certain instances, such transferred obligations have returned and may continue to return to the company. For example, in fourth quarter 2023, the company recognized charges for decommissioning obligations from certain previously divested assets in the Gulf of America. To the extent the current owners of the company’s previously divested assets default on their decommissioning obligations, regulators may require that Chevron assume such obligations. The company could have additional significant obligations revert, primarily in the United States. The company is not currently aware of any such obligations that are reasonably possible to be material. The liability balance at the end of 2023 was $2,708, $235 was spent in 2024, and the balance at the end of 2024 was $2,478.</w:t>
      </w:r>
    </w:p>
    <w:p>
      <w:pPr>
        <w:spacing w:after="0" w:line="8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Other Contingencies </w:t>
      </w:r>
      <w:r>
        <w:rPr>
          <w:rFonts w:ascii="Times New Roman" w:cs="Times New Roman" w:eastAsia="Times New Roman" w:hAnsi="Times New Roman"/>
          <w:sz w:val="18"/>
          <w:szCs w:val="18"/>
          <w:color w:val="000000"/>
        </w:rPr>
        <w:t>The company and its affiliates continue to review and analyze their operations and may close, retire, sell, exchange, acquire or</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restructure assets to achieve operational or strategic benefits and to improve competitiveness and profitability. These activities, individually or together, may result in significant gains or losses in future periods.</w:t>
      </w:r>
    </w:p>
    <w:p>
      <w:pPr>
        <w:spacing w:after="0" w:line="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Chevron receives claims from and submits claims to customers; trading partners; joint venture partners; U.S. federal, state and local regulatory bodies; governments; contractors; insurers; suppliers; and individuals. The amounts of these claims, individually and in the aggregate, may be significant and take lengthy periods to resolve, and may result in gains or losses in future periods.</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25</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0077C0"/>
        </w:rPr>
        <w:t>Asset Retirement Obligations</w:t>
      </w:r>
    </w:p>
    <w:p>
      <w:pPr>
        <w:spacing w:after="0" w:line="1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 records the fair value of a liability for an asset retirement obligation (ARO) both as an asset and a liability when there is a legal obligation associated with the retirement of a tangible long-lived asset and the liability can be reasonably estimated. The legal obligation to perform the asset retirement activity is unconditional, even though uncertainty may exist about the timing and/or method of settlement that may be beyond the company’s control. This uncertainty about the timing and/or method of settlement is factored into the measurement of the liability when sufficient information exists to reasonably estimate fair value. The ARO liability is initially recognized at its fair value with an increase to the related asset. Subsequent accretion of the liability and depreciation of the asset is recorded over time. The company evaluates its ARO estimates regularly or when there is significant new information about costs, timing, and duration of asset retirement activity.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01" w:name="page102"/>
    <w:bookmarkEnd w:id="101"/>
    <w:p>
      <w:pPr>
        <w:ind w:left="20"/>
        <w:spacing w:after="0"/>
        <w:tabs>
          <w:tab w:leader="none" w:pos="9460" w:val="left"/>
        </w:tabs>
        <w:rPr>
          <w:sz w:val="20"/>
          <w:szCs w:val="20"/>
          <w:color w:val="auto"/>
        </w:rPr>
      </w:pPr>
      <w:r>
        <w:rPr>
          <w:rFonts w:ascii="Arial" w:cs="Arial" w:eastAsia="Arial" w:hAnsi="Arial"/>
          <w:sz w:val="14"/>
          <w:szCs w:val="14"/>
          <w:color w:val="0077C0"/>
        </w:rPr>
        <w:t>Notes to the Consolidated Financial Statements</w:t>
      </w:r>
      <w:r>
        <w:rPr>
          <w:sz w:val="20"/>
          <w:szCs w:val="20"/>
          <w:color w:val="auto"/>
        </w:rPr>
        <w:tab/>
      </w:r>
      <w:r>
        <w:rPr>
          <w:rFonts w:ascii="Arial" w:cs="Arial" w:eastAsia="Arial" w:hAnsi="Arial"/>
          <w:sz w:val="14"/>
          <w:szCs w:val="14"/>
          <w:color w:val="0077C0"/>
        </w:rPr>
        <w:t>Financial Table of Contents</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11"/>
          <w:szCs w:val="11"/>
          <w:color w:val="0077C0"/>
        </w:rPr>
        <w:t>Millions of dollars, except per-share amounts</w:t>
      </w:r>
    </w:p>
    <w:p>
      <w:pPr>
        <w:spacing w:after="0" w:line="200" w:lineRule="exact"/>
        <w:rPr>
          <w:sz w:val="20"/>
          <w:szCs w:val="20"/>
          <w:color w:val="auto"/>
        </w:rPr>
      </w:pPr>
    </w:p>
    <w:p>
      <w:pPr>
        <w:spacing w:after="0" w:line="37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AROs are primarily recorded for the company’s crude oil and natural gas producing assets. No significant AROs associated with any legal obligations to retire downstream long-lived assets have been recognized, as indeterminate settlement dates for the asset retirements prevent estimation of the fair value of the associated ARO. The company performs periodic reviews of its downstream long-lived assets for any changes in facts and circumstances that might require recognition of a retirement obligation.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indicates the changes to the company’s before-tax asset retirement obligations in 2024, 2023 and 2022: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4540" w:type="dxa"/>
            <w:vAlign w:val="bottom"/>
            <w:tcBorders>
              <w:bottom w:val="single" w:sz="8" w:color="0077C0"/>
            </w:tcBorders>
          </w:tcPr>
          <w:p>
            <w:pPr>
              <w:spacing w:after="0"/>
              <w:rPr>
                <w:sz w:val="2"/>
                <w:szCs w:val="2"/>
                <w:color w:val="auto"/>
              </w:rPr>
            </w:pPr>
          </w:p>
        </w:tc>
        <w:tc>
          <w:tcPr>
            <w:tcW w:w="2560" w:type="dxa"/>
            <w:vAlign w:val="bottom"/>
            <w:tcBorders>
              <w:bottom w:val="single" w:sz="8" w:color="0077C0"/>
            </w:tcBorders>
          </w:tcPr>
          <w:p>
            <w:pPr>
              <w:spacing w:after="0"/>
              <w:rPr>
                <w:sz w:val="2"/>
                <w:szCs w:val="2"/>
                <w:color w:val="auto"/>
              </w:rPr>
            </w:pPr>
          </w:p>
        </w:tc>
        <w:tc>
          <w:tcPr>
            <w:tcW w:w="104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96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r>
      <w:tr>
        <w:trPr>
          <w:trHeight w:val="184"/>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January 1</w:t>
            </w:r>
          </w:p>
        </w:tc>
        <w:tc>
          <w:tcPr>
            <w:tcW w:w="25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13,833</w:t>
            </w:r>
          </w:p>
        </w:tc>
        <w:tc>
          <w:tcPr>
            <w:tcW w:w="6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12,701</w:t>
            </w:r>
          </w:p>
        </w:tc>
        <w:tc>
          <w:tcPr>
            <w:tcW w:w="6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12,808</w:t>
            </w:r>
          </w:p>
        </w:tc>
      </w:tr>
      <w:tr>
        <w:trPr>
          <w:trHeight w:val="217"/>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Liabilities assumed in the PDC acquisition</w:t>
            </w:r>
          </w:p>
        </w:tc>
        <w:tc>
          <w:tcPr>
            <w:tcW w:w="2560" w:type="dxa"/>
            <w:vAlign w:val="bottom"/>
          </w:tcPr>
          <w:p>
            <w:pPr>
              <w:spacing w:after="0"/>
              <w:rPr>
                <w:sz w:val="18"/>
                <w:szCs w:val="18"/>
                <w:color w:val="auto"/>
              </w:rPr>
            </w:pPr>
          </w:p>
        </w:tc>
        <w:tc>
          <w:tcPr>
            <w:tcW w:w="104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220</w:t>
            </w: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90"/>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Liabilities incurred</w:t>
            </w:r>
          </w:p>
        </w:tc>
        <w:tc>
          <w:tcPr>
            <w:tcW w:w="2560" w:type="dxa"/>
            <w:vAlign w:val="bottom"/>
          </w:tcPr>
          <w:p>
            <w:pPr>
              <w:spacing w:after="0"/>
              <w:rPr>
                <w:sz w:val="16"/>
                <w:szCs w:val="16"/>
                <w:color w:val="auto"/>
              </w:rPr>
            </w:pPr>
          </w:p>
        </w:tc>
        <w:tc>
          <w:tcPr>
            <w:tcW w:w="104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83</w:t>
            </w:r>
          </w:p>
        </w:tc>
        <w:tc>
          <w:tcPr>
            <w:tcW w:w="62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183</w:t>
            </w: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03"/>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Liabilities settled</w:t>
            </w:r>
          </w:p>
        </w:tc>
        <w:tc>
          <w:tcPr>
            <w:tcW w:w="2560" w:type="dxa"/>
            <w:vAlign w:val="bottom"/>
          </w:tcPr>
          <w:p>
            <w:pPr>
              <w:spacing w:after="0"/>
              <w:rPr>
                <w:sz w:val="17"/>
                <w:szCs w:val="17"/>
                <w:color w:val="auto"/>
              </w:rPr>
            </w:pPr>
          </w:p>
        </w:tc>
        <w:tc>
          <w:tcPr>
            <w:tcW w:w="1040" w:type="dxa"/>
            <w:vAlign w:val="bottom"/>
            <w:tcBorders>
              <w:right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(2,083)</w:t>
            </w:r>
          </w:p>
        </w:tc>
        <w:tc>
          <w:tcPr>
            <w:tcW w:w="62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(1,471)</w:t>
            </w: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w:t>
            </w:r>
          </w:p>
        </w:tc>
      </w:tr>
      <w:tr>
        <w:trPr>
          <w:trHeight w:val="203"/>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Reduction due to asset sales</w:t>
            </w:r>
          </w:p>
        </w:tc>
        <w:tc>
          <w:tcPr>
            <w:tcW w:w="2560" w:type="dxa"/>
            <w:vAlign w:val="bottom"/>
          </w:tcPr>
          <w:p>
            <w:pPr>
              <w:spacing w:after="0"/>
              <w:rPr>
                <w:sz w:val="17"/>
                <w:szCs w:val="17"/>
                <w:color w:val="auto"/>
              </w:rPr>
            </w:pPr>
          </w:p>
        </w:tc>
        <w:tc>
          <w:tcPr>
            <w:tcW w:w="1040" w:type="dxa"/>
            <w:vAlign w:val="bottom"/>
            <w:tcBorders>
              <w:right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(171)</w:t>
            </w:r>
          </w:p>
        </w:tc>
        <w:tc>
          <w:tcPr>
            <w:tcW w:w="62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(94)</w:t>
            </w: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r>
      <w:tr>
        <w:trPr>
          <w:trHeight w:val="203"/>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Accretion expense</w:t>
            </w:r>
          </w:p>
        </w:tc>
        <w:tc>
          <w:tcPr>
            <w:tcW w:w="2560" w:type="dxa"/>
            <w:vAlign w:val="bottom"/>
          </w:tcPr>
          <w:p>
            <w:pPr>
              <w:spacing w:after="0"/>
              <w:rPr>
                <w:sz w:val="17"/>
                <w:szCs w:val="17"/>
                <w:color w:val="auto"/>
              </w:rPr>
            </w:pPr>
          </w:p>
        </w:tc>
        <w:tc>
          <w:tcPr>
            <w:tcW w:w="104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588</w:t>
            </w:r>
          </w:p>
        </w:tc>
        <w:tc>
          <w:tcPr>
            <w:tcW w:w="6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593</w:t>
            </w: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w:t>
            </w:r>
          </w:p>
        </w:tc>
      </w:tr>
      <w:tr>
        <w:trPr>
          <w:trHeight w:val="202"/>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Revisions in estimated cash flows</w:t>
            </w:r>
          </w:p>
        </w:tc>
        <w:tc>
          <w:tcPr>
            <w:tcW w:w="2560" w:type="dxa"/>
            <w:vAlign w:val="bottom"/>
          </w:tcPr>
          <w:p>
            <w:pPr>
              <w:spacing w:after="0"/>
              <w:rPr>
                <w:sz w:val="17"/>
                <w:szCs w:val="17"/>
                <w:color w:val="auto"/>
              </w:rPr>
            </w:pPr>
          </w:p>
        </w:tc>
        <w:tc>
          <w:tcPr>
            <w:tcW w:w="104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417</w:t>
            </w:r>
          </w:p>
        </w:tc>
        <w:tc>
          <w:tcPr>
            <w:tcW w:w="6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1,701</w:t>
            </w: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w:t>
            </w:r>
          </w:p>
        </w:tc>
      </w:tr>
      <w:tr>
        <w:trPr>
          <w:trHeight w:val="23"/>
        </w:trPr>
        <w:tc>
          <w:tcPr>
            <w:tcW w:w="4540" w:type="dxa"/>
            <w:vAlign w:val="bottom"/>
            <w:tcBorders>
              <w:bottom w:val="single" w:sz="8" w:color="0077C0"/>
            </w:tcBorders>
          </w:tcPr>
          <w:p>
            <w:pPr>
              <w:spacing w:after="0"/>
              <w:rPr>
                <w:sz w:val="2"/>
                <w:szCs w:val="2"/>
                <w:color w:val="auto"/>
              </w:rPr>
            </w:pPr>
          </w:p>
        </w:tc>
        <w:tc>
          <w:tcPr>
            <w:tcW w:w="2560" w:type="dxa"/>
            <w:vAlign w:val="bottom"/>
            <w:tcBorders>
              <w:bottom w:val="single" w:sz="8" w:color="0077C0"/>
            </w:tcBorders>
          </w:tcPr>
          <w:p>
            <w:pPr>
              <w:spacing w:after="0"/>
              <w:rPr>
                <w:sz w:val="2"/>
                <w:szCs w:val="2"/>
                <w:color w:val="auto"/>
              </w:rPr>
            </w:pPr>
          </w:p>
        </w:tc>
        <w:tc>
          <w:tcPr>
            <w:tcW w:w="1040" w:type="dxa"/>
            <w:vAlign w:val="bottom"/>
            <w:tcBorders>
              <w:bottom w:val="single" w:sz="8" w:color="0077C0"/>
              <w:right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96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r>
      <w:tr>
        <w:trPr>
          <w:trHeight w:val="190"/>
        </w:trPr>
        <w:tc>
          <w:tcPr>
            <w:tcW w:w="454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w:t>
            </w:r>
          </w:p>
        </w:tc>
        <w:tc>
          <w:tcPr>
            <w:tcW w:w="2560" w:type="dxa"/>
            <w:vAlign w:val="bottom"/>
            <w:tcBorders>
              <w:bottom w:val="single" w:sz="8" w:color="0077C0"/>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0077C0"/>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12,667</w:t>
            </w:r>
          </w:p>
        </w:tc>
        <w:tc>
          <w:tcPr>
            <w:tcW w:w="620" w:type="dxa"/>
            <w:vAlign w:val="bottom"/>
            <w:tcBorders>
              <w:bottom w:val="single" w:sz="8" w:color="0077C0"/>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13,833</w:t>
            </w:r>
          </w:p>
        </w:tc>
        <w:tc>
          <w:tcPr>
            <w:tcW w:w="600" w:type="dxa"/>
            <w:vAlign w:val="bottom"/>
            <w:tcBorders>
              <w:bottom w:val="single" w:sz="8" w:color="0077C0"/>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12,701</w:t>
            </w:r>
          </w:p>
        </w:tc>
      </w:tr>
    </w:tbl>
    <w:p>
      <w:pPr>
        <w:spacing w:after="0" w:line="11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In the table above, the amount associated with “Revisions in estimated cash flows” primarily reflects increased cost estimates and scope changes to decommission wells, equipment and facilities. The long-term portion of the $12,667 balance at the end of 2024 was $11,429.</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26</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0077C0"/>
        </w:rPr>
        <w:t>Revenue</w:t>
      </w:r>
    </w:p>
    <w:p>
      <w:pPr>
        <w:spacing w:after="0" w:line="1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 xml:space="preserve">Revenue from contracts with customers is presented in “Sales and other operating revenues” along with some activity that is accounted for outside the scope of Accounting Standard Codification (ASC) 606, which is not material to this line, on the Consolidated Statement of Income. Purchases and sales of inventory with the same counterparty that are entered into in contemplation of one another (including buy/sell arrangements) are combined and recorded on a net basis and reported in “Purchased crude oil and products” on the Consolidated Statement of Income. Refer to </w:t>
      </w:r>
      <w:r>
        <w:rPr>
          <w:rFonts w:ascii="Times New Roman" w:cs="Times New Roman" w:eastAsia="Times New Roman" w:hAnsi="Times New Roman"/>
          <w:sz w:val="18"/>
          <w:szCs w:val="18"/>
          <w:u w:val="single" w:color="auto"/>
          <w:color w:val="0000FF"/>
        </w:rPr>
        <w:t>Note 14 Operating Segments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Geographic Data</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additional information on the company’s segmentation of revenue.</w:t>
      </w:r>
    </w:p>
    <w:p>
      <w:pPr>
        <w:spacing w:after="0" w:line="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Receivables related to revenue from contracts with customers are included in “Accounts and notes receivable” on the Consolidated Balance Sheet, net of the allowance for doubtful accounts. The net balance of these receivables was $14,227 and $13,641 at December 31, 2024 and 2023, respectively. Other items included in “Accounts and notes receivable” represent amounts due from partners for their share of joint venture operating and project costs and amounts due from others, primarily related to derivatives, leases, buy/sell arrangements and product exchanges, which are accounted for outside the scope of ASC 606</w:t>
      </w:r>
      <w:r>
        <w:rPr>
          <w:rFonts w:ascii="Times New Roman" w:cs="Times New Roman" w:eastAsia="Times New Roman" w:hAnsi="Times New Roman"/>
          <w:sz w:val="18"/>
          <w:szCs w:val="18"/>
          <w:i w:val="1"/>
          <w:iCs w:val="1"/>
          <w:color w:val="auto"/>
        </w:rPr>
        <w:t>.</w:t>
      </w:r>
    </w:p>
    <w:p>
      <w:pPr>
        <w:spacing w:after="0" w:line="5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Contract assets and related costs are reflected in “Prepaid expenses and other current assets” and contract liabilities are reflected in “Accrued liabilities” and “Deferred credits and other noncurrent obligations” on the Consolidated Balance Sheet. Amounts for these items are not material to the company’s financial position.</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27</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0077C0"/>
        </w:rPr>
        <w:t>Other Financial Information</w:t>
      </w:r>
    </w:p>
    <w:p>
      <w:pPr>
        <w:spacing w:after="0" w:line="1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7"/>
          <w:szCs w:val="17"/>
          <w:color w:val="auto"/>
        </w:rPr>
        <w:t>Earnings in 2024 included after-tax gains of approximately $246 relating to the sale of certain properties. Of this amount, approximately $231 and $15 related to upstream and downstream, respectively. Earnings in 2023 included after-tax gains of approximately $143 relating to the sale of certain properties, of which approximately $110 and $33 related to upstream and downstream assets, respectively. Earnings in 2022 included after-tax gains of approximately $390 relating to the sale of certain properties, of which approximately $300 and $90 related to upstream and downstream assets, respectively.</w:t>
      </w:r>
    </w:p>
    <w:p>
      <w:pPr>
        <w:spacing w:after="0" w:line="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Earnings in 2024 included after-tax charges of approximately $715 for severance ($208 in All Other, $188 in U.S. Downstream, $183 in U.S. Upstream, $119 in International Upstream, $17 in International Downstream) and $400 for impairments ($185 in International Downstream, $125 in International Upstream, $90 in U.S. Downstream). Earnings in 2023 included after-tax charges of approximately $1,950 for decommissioning obligations from previously divested oil and gas production assets in the U.S. Upstream Gulf of America, $1,765 for U.S. Upstream impairments, mainly in California, and several tax items with a net benefit of $655 in International Upstream. Earnings in 2022 included after-tax charges of approximately $1,075 for impairments and other asset write-offs related to International Upstream, $600 for an early contract termination in U.S. Upstream, and $271 for pension settlement costs in All Other.</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02" w:name="page103"/>
    <w:bookmarkEnd w:id="102"/>
    <w:tbl>
      <w:tblPr>
        <w:tblLayout w:type="fixed"/>
        <w:tblInd w:w="20" w:type="dxa"/>
        <w:tblCellMar>
          <w:top w:w="0" w:type="dxa"/>
          <w:left w:w="0" w:type="dxa"/>
          <w:bottom w:w="0" w:type="dxa"/>
          <w:right w:w="0" w:type="dxa"/>
        </w:tblCellMar>
      </w:tblPr>
      <w:tr>
        <w:trPr>
          <w:trHeight w:val="204"/>
        </w:trPr>
        <w:tc>
          <w:tcPr>
            <w:tcW w:w="6260" w:type="dxa"/>
            <w:vAlign w:val="bottom"/>
          </w:tcPr>
          <w:p>
            <w:pPr>
              <w:spacing w:after="0"/>
              <w:rPr>
                <w:sz w:val="20"/>
                <w:szCs w:val="20"/>
                <w:color w:val="auto"/>
              </w:rPr>
            </w:pPr>
            <w:r>
              <w:rPr>
                <w:rFonts w:ascii="Arial" w:cs="Arial" w:eastAsia="Arial" w:hAnsi="Arial"/>
                <w:sz w:val="14"/>
                <w:szCs w:val="14"/>
                <w:color w:val="0077C0"/>
              </w:rPr>
              <w:t>Notes to the Consolidated Financial Statements</w:t>
            </w:r>
          </w:p>
        </w:tc>
        <w:tc>
          <w:tcPr>
            <w:tcW w:w="4940" w:type="dxa"/>
            <w:vAlign w:val="bottom"/>
          </w:tcPr>
          <w:p>
            <w:pPr>
              <w:ind w:left="3200"/>
              <w:spacing w:after="0"/>
              <w:rPr>
                <w:sz w:val="20"/>
                <w:szCs w:val="20"/>
                <w:color w:val="auto"/>
              </w:rPr>
            </w:pPr>
            <w:r>
              <w:rPr>
                <w:rFonts w:ascii="Arial" w:cs="Arial" w:eastAsia="Arial" w:hAnsi="Arial"/>
                <w:sz w:val="14"/>
                <w:szCs w:val="14"/>
                <w:color w:val="0077C0"/>
              </w:rPr>
              <w:t>Financial Table of Contents</w:t>
            </w:r>
          </w:p>
        </w:tc>
      </w:tr>
      <w:tr>
        <w:trPr>
          <w:trHeight w:val="150"/>
        </w:trPr>
        <w:tc>
          <w:tcPr>
            <w:tcW w:w="6260" w:type="dxa"/>
            <w:vAlign w:val="bottom"/>
          </w:tcPr>
          <w:p>
            <w:pPr>
              <w:ind w:left="40"/>
              <w:spacing w:after="0"/>
              <w:rPr>
                <w:sz w:val="20"/>
                <w:szCs w:val="20"/>
                <w:color w:val="auto"/>
              </w:rPr>
            </w:pPr>
            <w:r>
              <w:rPr>
                <w:rFonts w:ascii="Arial" w:cs="Arial" w:eastAsia="Arial" w:hAnsi="Arial"/>
                <w:sz w:val="11"/>
                <w:szCs w:val="11"/>
                <w:color w:val="0077C0"/>
              </w:rPr>
              <w:t>Millions of dollars, except per-share amounts</w:t>
            </w:r>
          </w:p>
        </w:tc>
        <w:tc>
          <w:tcPr>
            <w:tcW w:w="494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financial information is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Year ended December 31</w:t>
            </w:r>
          </w:p>
        </w:tc>
        <w:tc>
          <w:tcPr>
            <w:tcW w:w="0" w:type="dxa"/>
            <w:vAlign w:val="bottom"/>
          </w:tcPr>
          <w:p>
            <w:pPr>
              <w:spacing w:after="0"/>
              <w:rPr>
                <w:sz w:val="1"/>
                <w:szCs w:val="1"/>
                <w:color w:val="auto"/>
              </w:rPr>
            </w:pPr>
          </w:p>
        </w:tc>
      </w:tr>
      <w:tr>
        <w:trPr>
          <w:trHeight w:val="23"/>
        </w:trPr>
        <w:tc>
          <w:tcPr>
            <w:tcW w:w="6560" w:type="dxa"/>
            <w:vAlign w:val="bottom"/>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60" w:type="dxa"/>
            <w:vAlign w:val="bottom"/>
            <w:tcBorders>
              <w:bottom w:val="single" w:sz="8" w:color="0077C0"/>
            </w:tcBorders>
          </w:tcPr>
          <w:p>
            <w:pPr>
              <w:spacing w:after="0"/>
              <w:rPr>
                <w:sz w:val="16"/>
                <w:szCs w:val="16"/>
                <w:color w:val="auto"/>
              </w:rPr>
            </w:pPr>
          </w:p>
        </w:tc>
        <w:tc>
          <w:tcPr>
            <w:tcW w:w="580" w:type="dxa"/>
            <w:vAlign w:val="bottom"/>
            <w:tcBorders>
              <w:bottom w:val="single" w:sz="8" w:color="0077C0"/>
            </w:tcBorders>
          </w:tcPr>
          <w:p>
            <w:pPr>
              <w:spacing w:after="0"/>
              <w:rPr>
                <w:sz w:val="16"/>
                <w:szCs w:val="16"/>
                <w:color w:val="auto"/>
              </w:rPr>
            </w:pPr>
          </w:p>
        </w:tc>
        <w:tc>
          <w:tcPr>
            <w:tcW w:w="100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0077C0"/>
            </w:tcBorders>
          </w:tcPr>
          <w:p>
            <w:pPr>
              <w:spacing w:after="0"/>
              <w:rPr>
                <w:sz w:val="16"/>
                <w:szCs w:val="16"/>
                <w:color w:val="auto"/>
              </w:rPr>
            </w:pPr>
          </w:p>
        </w:tc>
        <w:tc>
          <w:tcPr>
            <w:tcW w:w="9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640" w:type="dxa"/>
            <w:vAlign w:val="bottom"/>
            <w:tcBorders>
              <w:bottom w:val="single" w:sz="8" w:color="0077C0"/>
            </w:tcBorders>
          </w:tcPr>
          <w:p>
            <w:pPr>
              <w:spacing w:after="0"/>
              <w:rPr>
                <w:sz w:val="16"/>
                <w:szCs w:val="16"/>
                <w:color w:val="auto"/>
              </w:rPr>
            </w:pPr>
          </w:p>
        </w:tc>
        <w:tc>
          <w:tcPr>
            <w:tcW w:w="8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190"/>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financing interest and debt costs</w:t>
            </w:r>
          </w:p>
        </w:tc>
        <w:tc>
          <w:tcPr>
            <w:tcW w:w="58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773</w:t>
            </w:r>
          </w:p>
        </w:tc>
        <w:tc>
          <w:tcPr>
            <w:tcW w:w="66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617</w:t>
            </w:r>
          </w:p>
        </w:tc>
        <w:tc>
          <w:tcPr>
            <w:tcW w:w="64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0" w:type="dxa"/>
            <w:vAlign w:val="bottom"/>
          </w:tcPr>
          <w:p>
            <w:pPr>
              <w:spacing w:after="0"/>
              <w:rPr>
                <w:sz w:val="1"/>
                <w:szCs w:val="1"/>
                <w:color w:val="auto"/>
              </w:rPr>
            </w:pPr>
          </w:p>
        </w:tc>
      </w:tr>
      <w:tr>
        <w:trPr>
          <w:trHeight w:val="191"/>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Capitalized interest</w:t>
            </w:r>
          </w:p>
        </w:tc>
        <w:tc>
          <w:tcPr>
            <w:tcW w:w="580" w:type="dxa"/>
            <w:vAlign w:val="bottom"/>
          </w:tcPr>
          <w:p>
            <w:pPr>
              <w:spacing w:after="0"/>
              <w:rPr>
                <w:sz w:val="16"/>
                <w:szCs w:val="16"/>
                <w:color w:val="auto"/>
              </w:rPr>
            </w:pPr>
          </w:p>
        </w:tc>
        <w:tc>
          <w:tcPr>
            <w:tcW w:w="1000" w:type="dxa"/>
            <w:vAlign w:val="bottom"/>
            <w:tcBorders>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179</w:t>
            </w:r>
          </w:p>
        </w:tc>
        <w:tc>
          <w:tcPr>
            <w:tcW w:w="66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148</w:t>
            </w:r>
          </w:p>
        </w:tc>
        <w:tc>
          <w:tcPr>
            <w:tcW w:w="6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23"/>
        </w:trPr>
        <w:tc>
          <w:tcPr>
            <w:tcW w:w="656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1000" w:type="dxa"/>
            <w:vAlign w:val="bottom"/>
            <w:tcBorders>
              <w:bottom w:val="single" w:sz="8" w:color="0077C0"/>
              <w:right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color w:val="auto"/>
              </w:rPr>
              <w:t>Interest and debt expense</w:t>
            </w:r>
          </w:p>
        </w:tc>
        <w:tc>
          <w:tcPr>
            <w:tcW w:w="580" w:type="dxa"/>
            <w:vAlign w:val="bottom"/>
            <w:tcBorders>
              <w:bottom w:val="single" w:sz="8" w:color="0077C0"/>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0077C0"/>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594</w:t>
            </w:r>
          </w:p>
        </w:tc>
        <w:tc>
          <w:tcPr>
            <w:tcW w:w="660" w:type="dxa"/>
            <w:vAlign w:val="bottom"/>
            <w:tcBorders>
              <w:bottom w:val="single" w:sz="8" w:color="0077C0"/>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469</w:t>
            </w:r>
          </w:p>
        </w:tc>
        <w:tc>
          <w:tcPr>
            <w:tcW w:w="640" w:type="dxa"/>
            <w:vAlign w:val="bottom"/>
            <w:tcBorders>
              <w:bottom w:val="single" w:sz="8" w:color="0077C0"/>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0" w:type="dxa"/>
            <w:vAlign w:val="bottom"/>
          </w:tcPr>
          <w:p>
            <w:pPr>
              <w:spacing w:after="0"/>
              <w:rPr>
                <w:sz w:val="1"/>
                <w:szCs w:val="1"/>
                <w:color w:val="auto"/>
              </w:rPr>
            </w:pPr>
          </w:p>
        </w:tc>
      </w:tr>
      <w:tr>
        <w:trPr>
          <w:trHeight w:val="196"/>
        </w:trPr>
        <w:tc>
          <w:tcPr>
            <w:tcW w:w="65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580" w:type="dxa"/>
            <w:vAlign w:val="bottom"/>
            <w:tcBorders>
              <w:bottom w:val="single" w:sz="8" w:color="0077C0"/>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0077C0"/>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353</w:t>
            </w:r>
          </w:p>
        </w:tc>
        <w:tc>
          <w:tcPr>
            <w:tcW w:w="660" w:type="dxa"/>
            <w:vAlign w:val="bottom"/>
            <w:tcBorders>
              <w:bottom w:val="single" w:sz="8" w:color="0077C0"/>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320</w:t>
            </w:r>
          </w:p>
        </w:tc>
        <w:tc>
          <w:tcPr>
            <w:tcW w:w="640" w:type="dxa"/>
            <w:vAlign w:val="bottom"/>
            <w:tcBorders>
              <w:bottom w:val="single" w:sz="8" w:color="0077C0"/>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0" w:type="dxa"/>
            <w:vAlign w:val="bottom"/>
          </w:tcPr>
          <w:p>
            <w:pPr>
              <w:spacing w:after="0"/>
              <w:rPr>
                <w:sz w:val="1"/>
                <w:szCs w:val="1"/>
                <w:color w:val="auto"/>
              </w:rPr>
            </w:pPr>
          </w:p>
        </w:tc>
      </w:tr>
      <w:tr>
        <w:trPr>
          <w:trHeight w:val="188"/>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Excess of replacement cost over the carrying value of inventories (LIFO method)</w:t>
            </w:r>
          </w:p>
        </w:tc>
        <w:tc>
          <w:tcPr>
            <w:tcW w:w="58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right w:val="single" w:sz="8" w:color="0077C0"/>
            </w:tcBorders>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5,997</w:t>
            </w:r>
          </w:p>
        </w:tc>
        <w:tc>
          <w:tcPr>
            <w:tcW w:w="66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6,455</w:t>
            </w:r>
          </w:p>
        </w:tc>
        <w:tc>
          <w:tcPr>
            <w:tcW w:w="64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9,061</w:t>
            </w:r>
          </w:p>
        </w:tc>
        <w:tc>
          <w:tcPr>
            <w:tcW w:w="0" w:type="dxa"/>
            <w:vAlign w:val="bottom"/>
          </w:tcPr>
          <w:p>
            <w:pPr>
              <w:spacing w:after="0"/>
              <w:rPr>
                <w:sz w:val="1"/>
                <w:szCs w:val="1"/>
                <w:color w:val="auto"/>
              </w:rPr>
            </w:pPr>
          </w:p>
        </w:tc>
      </w:tr>
      <w:tr>
        <w:trPr>
          <w:trHeight w:val="99"/>
        </w:trPr>
        <w:tc>
          <w:tcPr>
            <w:tcW w:w="65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000" w:type="dxa"/>
            <w:vAlign w:val="bottom"/>
            <w:tcBorders>
              <w:right w:val="single" w:sz="8" w:color="0077C0"/>
            </w:tcBorders>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LIFO profits (losses) on inventory drawdowns included in earnings</w:t>
            </w:r>
          </w:p>
        </w:tc>
        <w:tc>
          <w:tcPr>
            <w:tcW w:w="58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right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(111)</w:t>
            </w:r>
          </w:p>
        </w:tc>
        <w:tc>
          <w:tcPr>
            <w:tcW w:w="66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w:t>
            </w:r>
          </w:p>
        </w:tc>
        <w:tc>
          <w:tcPr>
            <w:tcW w:w="64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23"/>
        </w:trPr>
        <w:tc>
          <w:tcPr>
            <w:tcW w:w="656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1000" w:type="dxa"/>
            <w:vAlign w:val="bottom"/>
            <w:tcBorders>
              <w:bottom w:val="single" w:sz="8" w:color="0077C0"/>
              <w:right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560" w:type="dxa"/>
            <w:vAlign w:val="bottom"/>
            <w:tcBorders>
              <w:bottom w:val="single" w:sz="8" w:color="0077C0"/>
            </w:tcBorders>
          </w:tcPr>
          <w:p>
            <w:pPr>
              <w:ind w:left="20"/>
              <w:spacing w:after="0" w:line="196" w:lineRule="exact"/>
              <w:rPr>
                <w:sz w:val="20"/>
                <w:szCs w:val="20"/>
                <w:color w:val="auto"/>
              </w:rPr>
            </w:pPr>
            <w:r>
              <w:rPr>
                <w:rFonts w:ascii="Times New Roman" w:cs="Times New Roman" w:eastAsia="Times New Roman" w:hAnsi="Times New Roman"/>
                <w:sz w:val="14"/>
                <w:szCs w:val="14"/>
                <w:color w:val="auto"/>
              </w:rPr>
              <w:t>Foreign currency effects</w:t>
            </w:r>
            <w:r>
              <w:rPr>
                <w:rFonts w:ascii="Times New Roman" w:cs="Times New Roman" w:eastAsia="Times New Roman" w:hAnsi="Times New Roman"/>
                <w:sz w:val="18"/>
                <w:szCs w:val="18"/>
                <w:color w:val="auto"/>
                <w:vertAlign w:val="superscript"/>
              </w:rPr>
              <w:t>*</w:t>
            </w:r>
          </w:p>
        </w:tc>
        <w:tc>
          <w:tcPr>
            <w:tcW w:w="580" w:type="dxa"/>
            <w:vAlign w:val="bottom"/>
            <w:tcBorders>
              <w:bottom w:val="single" w:sz="8" w:color="0077C0"/>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0077C0"/>
              <w:right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520</w:t>
            </w:r>
          </w:p>
        </w:tc>
        <w:tc>
          <w:tcPr>
            <w:tcW w:w="660" w:type="dxa"/>
            <w:vAlign w:val="bottom"/>
            <w:tcBorders>
              <w:bottom w:val="single" w:sz="8" w:color="0077C0"/>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(224)</w:t>
            </w:r>
          </w:p>
        </w:tc>
        <w:tc>
          <w:tcPr>
            <w:tcW w:w="640" w:type="dxa"/>
            <w:vAlign w:val="bottom"/>
            <w:tcBorders>
              <w:bottom w:val="single" w:sz="8" w:color="0077C0"/>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3"/>
          <w:szCs w:val="13"/>
          <w:color w:val="auto"/>
        </w:rPr>
        <w:t xml:space="preserve"> Includes $45, $(11) and $253 in 2024, 2023 and 2022, respectively, for the company’s share of equity affiliates’ foreign currency effects.</w:t>
      </w:r>
    </w:p>
    <w:p>
      <w:pPr>
        <w:spacing w:after="0" w:line="8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has $4,578 in goodwill on the Consolidated Balance Sheet, of which $4,226 is in the upstream segment primarily related to the 2005 acquisition of Unocal and $352 is in the downstream segment related to the 2022 acquisition of Renewable Energy Group, Inc. The company tested this goodwill for impairment during 2024, and no impairment was required.</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28</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0077C0"/>
        </w:rPr>
        <w:t>Financial Instruments - Credit Losses</w:t>
      </w:r>
    </w:p>
    <w:p>
      <w:pPr>
        <w:spacing w:after="0" w:line="14"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8"/>
          <w:szCs w:val="18"/>
          <w:color w:val="auto"/>
        </w:rPr>
        <w:t>Chevron’s expected credit loss allowance balance was $611 and $641 at December 31, 2024, and December 31, 2023, respectively, with a majority of the allowance relating to non-trade receivable balances.</w:t>
      </w:r>
    </w:p>
    <w:p>
      <w:pPr>
        <w:spacing w:after="0" w:line="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majority of the company’s receivable balance is concentrated in trade receivables, with a balance of $18,338 at December 31, 2024, which reflects the company’s diversified sources of revenues and is dispersed across the company’s broad worldwide customer base. As a result, the company believes the concentration of credit risk is limited. The company routinely assesses the financial strength of its customers. When the financial strength of a customer is not considered sufficient, alternative risk mitigation measures may be deployed, including requiring prepayments, letters of credit or other acceptable forms of collateral. Once credit is extended and a receivable balance exists, the company applies a quantitative calculation to current trade receivable balances that reflects credit risk predictive analysis, including probability of default and loss given default, which takes into consideration current and forward-looking market data as well as the company’s historical loss data. This statistical approach becomes the basis of the company’s expected credit loss allowance for current trade receivables with payment terms that are typically short-term in nature, with most due in less than 90 days.</w:t>
      </w:r>
    </w:p>
    <w:p>
      <w:pPr>
        <w:spacing w:after="0" w:line="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Chevron’s non-trade receivable balance was $3,835 at December 31, 2024, which includes receivables from certain governments in their capacity as joint venture partners. Joint venture partner balances that are paid as per contract terms or not yet due are subject to the statistical analysis described above while past due balances are subject to additional qualitative management quarterly review. This management review includes review of reasonable and supportable repayment forecasts. Non-trade receivables also include employee and tax receivables that are deemed immaterial and low risk. Loans to equity affiliates and non-equity investees are also considered non-trade and associated allowances of zero and $219 at December 31, 2024, and December 31, 2023, respectively, are included within “Investments and advances” on the Consolidated Balance Sheet.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03" w:name="page104"/>
    <w:bookmarkEnd w:id="103"/>
    <w:p>
      <w:pPr>
        <w:ind w:left="20"/>
        <w:spacing w:after="0"/>
        <w:tabs>
          <w:tab w:leader="none" w:pos="9460" w:val="left"/>
        </w:tabs>
        <w:rPr>
          <w:sz w:val="20"/>
          <w:szCs w:val="20"/>
          <w:color w:val="auto"/>
        </w:rPr>
      </w:pPr>
      <w:r>
        <w:rPr>
          <w:rFonts w:ascii="Arial" w:cs="Arial" w:eastAsia="Arial" w:hAnsi="Arial"/>
          <w:sz w:val="14"/>
          <w:szCs w:val="14"/>
          <w:color w:val="0077C0"/>
        </w:rPr>
        <w:t>Notes to the Consolidated Financial Statements</w:t>
      </w:r>
      <w:r>
        <w:rPr>
          <w:sz w:val="20"/>
          <w:szCs w:val="20"/>
          <w:color w:val="auto"/>
        </w:rPr>
        <w:tab/>
      </w:r>
      <w:r>
        <w:rPr>
          <w:rFonts w:ascii="Arial" w:cs="Arial" w:eastAsia="Arial" w:hAnsi="Arial"/>
          <w:sz w:val="14"/>
          <w:szCs w:val="14"/>
          <w:color w:val="0077C0"/>
        </w:rPr>
        <w:t>Financial Table of Contents</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11"/>
          <w:szCs w:val="11"/>
          <w:color w:val="0077C0"/>
        </w:rPr>
        <w:t>Millions of dollars, except per-share amounts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29</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0077C0"/>
        </w:rPr>
        <w:t>Acquisition of PDC Energy, Inc.</w:t>
      </w:r>
    </w:p>
    <w:p>
      <w:pPr>
        <w:spacing w:after="0" w:line="10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On August 7, 2023, the company acquired PDC Energy, Inc. (PDC), an independent exploration and production company with operations in the Denver-Julesburg Basin in Colorado and the Delaware Basin in west Texas.</w:t>
      </w:r>
    </w:p>
    <w:p>
      <w:pPr>
        <w:spacing w:after="0" w:line="2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aggregate purchase price of PDC was $6,520, with approximately 41 million shares of Chevron common stock issued as consideration in the transaction. The shares represented approximately two percent of the shares of Chevron common stock outstanding immediately after the transaction closed on August 7, 2023.</w:t>
      </w:r>
    </w:p>
    <w:p>
      <w:pPr>
        <w:spacing w:after="0" w:line="4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under ASC 805, which requires assets acquired and liabilities assumed to be measured at their acquisition date fair value. Oil and gas properties were valued using a discounted cash flow approach that incorporated internally generated price assumptions and production profiles together with appropriate operating cost and development cost assumptions. Debt assumed in the acquisition was valued based on observable market prices for PDC’s debt. As a result of measuring the assets acquired and the liabilities assumed at fair value, there was no goodwill or bargain purchase recognized.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values assigned to assets acquired and liabilities assumed: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At August 7, 2023</w:t>
            </w:r>
          </w:p>
        </w:tc>
        <w:tc>
          <w:tcPr>
            <w:tcW w:w="0" w:type="dxa"/>
            <w:vAlign w:val="bottom"/>
          </w:tcPr>
          <w:p>
            <w:pPr>
              <w:spacing w:after="0"/>
              <w:rPr>
                <w:sz w:val="1"/>
                <w:szCs w:val="1"/>
                <w:color w:val="auto"/>
              </w:rPr>
            </w:pPr>
          </w:p>
        </w:tc>
      </w:tr>
      <w:tr>
        <w:trPr>
          <w:trHeight w:val="23"/>
        </w:trPr>
        <w:tc>
          <w:tcPr>
            <w:tcW w:w="9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tcBorders>
              <w:bottom w:val="single" w:sz="8" w:color="0077C0"/>
            </w:tcBorders>
          </w:tcPr>
          <w:p>
            <w:pPr>
              <w:spacing w:after="0"/>
              <w:rPr>
                <w:sz w:val="2"/>
                <w:szCs w:val="2"/>
                <w:color w:val="auto"/>
              </w:rPr>
            </w:pPr>
          </w:p>
        </w:tc>
        <w:tc>
          <w:tcPr>
            <w:tcW w:w="126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9720" w:type="dxa"/>
            <w:vAlign w:val="bottom"/>
            <w:vMerge w:val="continue"/>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0" w:type="dxa"/>
            <w:vAlign w:val="bottom"/>
          </w:tcPr>
          <w:p>
            <w:pPr>
              <w:spacing w:after="0"/>
              <w:rPr>
                <w:sz w:val="1"/>
                <w:szCs w:val="1"/>
                <w:color w:val="auto"/>
              </w:rPr>
            </w:pPr>
          </w:p>
        </w:tc>
      </w:tr>
      <w:tr>
        <w:trPr>
          <w:trHeight w:val="193"/>
        </w:trPr>
        <w:tc>
          <w:tcPr>
            <w:tcW w:w="9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Properties, plant and equipment</w:t>
            </w: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10,487</w:t>
            </w:r>
          </w:p>
        </w:tc>
        <w:tc>
          <w:tcPr>
            <w:tcW w:w="0" w:type="dxa"/>
            <w:vAlign w:val="bottom"/>
          </w:tcPr>
          <w:p>
            <w:pPr>
              <w:spacing w:after="0"/>
              <w:rPr>
                <w:sz w:val="1"/>
                <w:szCs w:val="1"/>
                <w:color w:val="auto"/>
              </w:rPr>
            </w:pPr>
          </w:p>
        </w:tc>
      </w:tr>
      <w:tr>
        <w:trPr>
          <w:trHeight w:val="203"/>
        </w:trPr>
        <w:tc>
          <w:tcPr>
            <w:tcW w:w="9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23"/>
        </w:trPr>
        <w:tc>
          <w:tcPr>
            <w:tcW w:w="972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126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9720" w:type="dxa"/>
            <w:vAlign w:val="bottom"/>
            <w:tcBorders>
              <w:bottom w:val="single" w:sz="8" w:color="0077C0"/>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Total assets acquired</w:t>
            </w:r>
          </w:p>
        </w:tc>
        <w:tc>
          <w:tcPr>
            <w:tcW w:w="260" w:type="dxa"/>
            <w:vAlign w:val="bottom"/>
            <w:tcBorders>
              <w:bottom w:val="single" w:sz="8" w:color="0077C0"/>
            </w:tcBorders>
          </w:tcPr>
          <w:p>
            <w:pPr>
              <w:spacing w:after="0"/>
              <w:rPr>
                <w:sz w:val="16"/>
                <w:szCs w:val="16"/>
                <w:color w:val="auto"/>
              </w:rPr>
            </w:pPr>
          </w:p>
        </w:tc>
        <w:tc>
          <w:tcPr>
            <w:tcW w:w="12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11,235</w:t>
            </w:r>
          </w:p>
        </w:tc>
        <w:tc>
          <w:tcPr>
            <w:tcW w:w="0" w:type="dxa"/>
            <w:vAlign w:val="bottom"/>
          </w:tcPr>
          <w:p>
            <w:pPr>
              <w:spacing w:after="0"/>
              <w:rPr>
                <w:sz w:val="1"/>
                <w:szCs w:val="1"/>
                <w:color w:val="auto"/>
              </w:rPr>
            </w:pPr>
          </w:p>
        </w:tc>
      </w:tr>
      <w:tr>
        <w:trPr>
          <w:trHeight w:val="188"/>
        </w:trPr>
        <w:tc>
          <w:tcPr>
            <w:tcW w:w="9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1,376</w:t>
            </w:r>
          </w:p>
        </w:tc>
        <w:tc>
          <w:tcPr>
            <w:tcW w:w="0" w:type="dxa"/>
            <w:vAlign w:val="bottom"/>
          </w:tcPr>
          <w:p>
            <w:pPr>
              <w:spacing w:after="0"/>
              <w:rPr>
                <w:sz w:val="1"/>
                <w:szCs w:val="1"/>
                <w:color w:val="auto"/>
              </w:rPr>
            </w:pPr>
          </w:p>
        </w:tc>
      </w:tr>
      <w:tr>
        <w:trPr>
          <w:trHeight w:val="193"/>
        </w:trPr>
        <w:tc>
          <w:tcPr>
            <w:tcW w:w="9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1,473</w:t>
            </w:r>
          </w:p>
        </w:tc>
        <w:tc>
          <w:tcPr>
            <w:tcW w:w="0" w:type="dxa"/>
            <w:vAlign w:val="bottom"/>
          </w:tcPr>
          <w:p>
            <w:pPr>
              <w:spacing w:after="0"/>
              <w:rPr>
                <w:sz w:val="1"/>
                <w:szCs w:val="1"/>
                <w:color w:val="auto"/>
              </w:rPr>
            </w:pPr>
          </w:p>
        </w:tc>
      </w:tr>
      <w:tr>
        <w:trPr>
          <w:trHeight w:val="203"/>
        </w:trPr>
        <w:tc>
          <w:tcPr>
            <w:tcW w:w="9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1,397</w:t>
            </w:r>
          </w:p>
        </w:tc>
        <w:tc>
          <w:tcPr>
            <w:tcW w:w="0" w:type="dxa"/>
            <w:vAlign w:val="bottom"/>
          </w:tcPr>
          <w:p>
            <w:pPr>
              <w:spacing w:after="0"/>
              <w:rPr>
                <w:sz w:val="1"/>
                <w:szCs w:val="1"/>
                <w:color w:val="auto"/>
              </w:rPr>
            </w:pPr>
          </w:p>
        </w:tc>
      </w:tr>
      <w:tr>
        <w:trPr>
          <w:trHeight w:val="203"/>
        </w:trPr>
        <w:tc>
          <w:tcPr>
            <w:tcW w:w="9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0" w:type="dxa"/>
            <w:vAlign w:val="bottom"/>
          </w:tcPr>
          <w:p>
            <w:pPr>
              <w:spacing w:after="0"/>
              <w:rPr>
                <w:sz w:val="1"/>
                <w:szCs w:val="1"/>
                <w:color w:val="auto"/>
              </w:rPr>
            </w:pPr>
          </w:p>
        </w:tc>
      </w:tr>
      <w:tr>
        <w:trPr>
          <w:trHeight w:val="23"/>
        </w:trPr>
        <w:tc>
          <w:tcPr>
            <w:tcW w:w="972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126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9720" w:type="dxa"/>
            <w:vAlign w:val="bottom"/>
            <w:tcBorders>
              <w:bottom w:val="single" w:sz="8" w:color="0077C0"/>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Total liabilities assumed</w:t>
            </w:r>
          </w:p>
        </w:tc>
        <w:tc>
          <w:tcPr>
            <w:tcW w:w="260" w:type="dxa"/>
            <w:vAlign w:val="bottom"/>
            <w:tcBorders>
              <w:bottom w:val="single" w:sz="8" w:color="0077C0"/>
            </w:tcBorders>
          </w:tcPr>
          <w:p>
            <w:pPr>
              <w:spacing w:after="0"/>
              <w:rPr>
                <w:sz w:val="16"/>
                <w:szCs w:val="16"/>
                <w:color w:val="auto"/>
              </w:rPr>
            </w:pPr>
          </w:p>
        </w:tc>
        <w:tc>
          <w:tcPr>
            <w:tcW w:w="12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4,715</w:t>
            </w:r>
          </w:p>
        </w:tc>
        <w:tc>
          <w:tcPr>
            <w:tcW w:w="0" w:type="dxa"/>
            <w:vAlign w:val="bottom"/>
          </w:tcPr>
          <w:p>
            <w:pPr>
              <w:spacing w:after="0"/>
              <w:rPr>
                <w:sz w:val="1"/>
                <w:szCs w:val="1"/>
                <w:color w:val="auto"/>
              </w:rPr>
            </w:pPr>
          </w:p>
        </w:tc>
      </w:tr>
      <w:tr>
        <w:trPr>
          <w:trHeight w:val="196"/>
        </w:trPr>
        <w:tc>
          <w:tcPr>
            <w:tcW w:w="9720" w:type="dxa"/>
            <w:vAlign w:val="bottom"/>
            <w:tcBorders>
              <w:bottom w:val="single" w:sz="8" w:color="0077C0"/>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26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6,520</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 forma financial information is not disclosed as the acquisition was deemed not to have a material impact on the company’s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30</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0077C0"/>
        </w:rPr>
        <w:t>Agreement to Acquire Hess Corporation</w:t>
      </w:r>
    </w:p>
    <w:p>
      <w:pPr>
        <w:spacing w:after="0" w:line="10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On October 23, 2023, Chevron Corporation announced it had entered into a definitive agreement with Hess Corporation (Hess) to acquire all of its outstanding shares in an all-stock transaction, valued at approximately $53,000, pursuant to which Hess stockholders will receive 1.0250 shares of Chevron common stock for each Hess share. The transaction was unanimously approved by the Boards of Directors of both companies.</w:t>
      </w:r>
    </w:p>
    <w:p>
      <w:pPr>
        <w:spacing w:after="0" w:line="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28, 2024, a majority of Hess stockholders voted to approve the merger. Following the Federal Trade Commission’s (FTC) review of the transaction, on September 30, 2024, the FTC announced that a majority of the Commission voted to accept a consent agreement among the FTC, Chevron and Hess, resolving the concerns the FTC identified during its review of the transaction. Chevron and Hess have taken and will continue to take appropriate steps to maintain our ability to close the merger under the Hart-Scott-Rodino Act of 1976, as amended. The filing of an arbitration relating to the right of first refusal contained in the Stabroek Block operating agreement among Hess Guyana Exploration Limited, a wholly owned subsidiary of Hess, and affiliates of Exxon Mobil Corporation, and China National Offshore Oil Corporation has delayed completion of the transaction. An arbitration decision against Hess Guyana and in favor of Exxon Guyana and CNOOC Guyana would cause the transaction not to be completed. The arbitration merits hearing has been scheduled for May 2025, with a decision expected in approximately the following three months.</w:t>
      </w:r>
    </w:p>
    <w:p>
      <w:pPr>
        <w:spacing w:after="0" w:line="5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 xml:space="preserve">Chevron and Hess are working to complete the merger as soon as practicable. However, neither Chevron nor Hess can predict the actual date on which the transaction will be completed, if at all, because it is subject to conditions beyond each company’s control. See </w:t>
      </w:r>
      <w:r>
        <w:rPr>
          <w:rFonts w:ascii="Times New Roman" w:cs="Times New Roman" w:eastAsia="Times New Roman" w:hAnsi="Times New Roman"/>
          <w:sz w:val="18"/>
          <w:szCs w:val="18"/>
          <w:u w:val="single" w:color="auto"/>
          <w:color w:val="0000FF"/>
        </w:rPr>
        <w:t>Item 1A. Risk Factors</w:t>
      </w:r>
      <w:r>
        <w:rPr>
          <w:rFonts w:ascii="Times New Roman" w:cs="Times New Roman" w:eastAsia="Times New Roman" w:hAnsi="Times New Roman"/>
          <w:sz w:val="18"/>
          <w:szCs w:val="18"/>
          <w:color w:val="auto"/>
        </w:rPr>
        <w:t xml:space="preserve"> for a discussion of risks related to the Hess acquisition.</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04" w:name="page105"/>
    <w:bookmarkEnd w:id="104"/>
    <w:p>
      <w:pPr>
        <w:ind w:left="20"/>
        <w:spacing w:after="0"/>
        <w:tabs>
          <w:tab w:leader="none" w:pos="9460" w:val="left"/>
        </w:tabs>
        <w:rPr>
          <w:sz w:val="20"/>
          <w:szCs w:val="20"/>
          <w:color w:val="auto"/>
        </w:rPr>
      </w:pPr>
      <w:r>
        <w:rPr>
          <w:rFonts w:ascii="Arial" w:cs="Arial" w:eastAsia="Arial" w:hAnsi="Arial"/>
          <w:sz w:val="14"/>
          <w:szCs w:val="14"/>
          <w:color w:val="0077C0"/>
        </w:rPr>
        <w:t>Supplemental Information on Oil and Gas Producing Activities - Unaudited</w:t>
      </w:r>
      <w:r>
        <w:rPr>
          <w:sz w:val="20"/>
          <w:szCs w:val="20"/>
          <w:color w:val="auto"/>
        </w:rPr>
        <w:tab/>
      </w:r>
      <w:r>
        <w:rPr>
          <w:rFonts w:ascii="Arial" w:cs="Arial" w:eastAsia="Arial" w:hAnsi="Arial"/>
          <w:sz w:val="14"/>
          <w:szCs w:val="14"/>
          <w:color w:val="0077C0"/>
        </w:rPr>
        <w:t>Financial 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 accordance with FASB and SEC disclosure requirements for oil and gas producing activities, this section provides supplemental information on oil and gas exploration and producing activities of the company in seven separate tables. Tables I through IV provide historical cost information pertaining to costs incurred in exploration, property acquisitions and development, capitalized costs and results of operations. Tables V through VII present information on the company’s estimated net proved reserve quantities, standardized measure of estimated discounted future net cash flows related to</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0077C0"/>
        </w:rPr>
        <w:t>Table I - Costs Incurred in Exploration, Property Acquisitions and Development</w:t>
      </w:r>
      <w:r>
        <w:rPr>
          <w:rFonts w:ascii="Arial" w:cs="Arial" w:eastAsia="Arial" w:hAnsi="Arial"/>
          <w:sz w:val="21"/>
          <w:szCs w:val="21"/>
          <w:b w:val="1"/>
          <w:bCs w:val="1"/>
          <w:color w:val="0077C0"/>
          <w:vertAlign w:val="superscript"/>
        </w:rPr>
        <w:t>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color w:val="auto"/>
              </w:rPr>
              <w:t>Consolidated Companies</w:t>
            </w:r>
          </w:p>
        </w:tc>
        <w:tc>
          <w:tcPr>
            <w:tcW w:w="30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Affiliated Companies</w:t>
            </w:r>
          </w:p>
        </w:tc>
      </w:tr>
      <w:tr>
        <w:trPr>
          <w:trHeight w:val="185"/>
        </w:trPr>
        <w:tc>
          <w:tcPr>
            <w:tcW w:w="2860" w:type="dxa"/>
            <w:vAlign w:val="bottom"/>
          </w:tcPr>
          <w:p>
            <w:pPr>
              <w:spacing w:after="0"/>
              <w:rPr>
                <w:sz w:val="16"/>
                <w:szCs w:val="16"/>
                <w:color w:val="auto"/>
              </w:rPr>
            </w:pPr>
          </w:p>
        </w:tc>
        <w:tc>
          <w:tcPr>
            <w:tcW w:w="260" w:type="dxa"/>
            <w:vAlign w:val="bottom"/>
            <w:tcBorders>
              <w:top w:val="single" w:sz="8" w:color="0077C0"/>
            </w:tcBorders>
          </w:tcPr>
          <w:p>
            <w:pPr>
              <w:spacing w:after="0"/>
              <w:rPr>
                <w:sz w:val="16"/>
                <w:szCs w:val="16"/>
                <w:color w:val="auto"/>
              </w:rPr>
            </w:pPr>
          </w:p>
        </w:tc>
        <w:tc>
          <w:tcPr>
            <w:tcW w:w="640" w:type="dxa"/>
            <w:vAlign w:val="bottom"/>
            <w:tcBorders>
              <w:top w:val="single" w:sz="8" w:color="0077C0"/>
            </w:tcBorders>
          </w:tcPr>
          <w:p>
            <w:pPr>
              <w:spacing w:after="0"/>
              <w:rPr>
                <w:sz w:val="16"/>
                <w:szCs w:val="16"/>
                <w:color w:val="auto"/>
              </w:rPr>
            </w:pPr>
          </w:p>
        </w:tc>
        <w:tc>
          <w:tcPr>
            <w:tcW w:w="220" w:type="dxa"/>
            <w:vAlign w:val="bottom"/>
            <w:tcBorders>
              <w:top w:val="single" w:sz="8" w:color="0077C0"/>
            </w:tcBorders>
          </w:tcPr>
          <w:p>
            <w:pPr>
              <w:spacing w:after="0"/>
              <w:rPr>
                <w:sz w:val="16"/>
                <w:szCs w:val="16"/>
                <w:color w:val="auto"/>
              </w:rPr>
            </w:pPr>
          </w:p>
        </w:tc>
        <w:tc>
          <w:tcPr>
            <w:tcW w:w="680" w:type="dxa"/>
            <w:vAlign w:val="bottom"/>
            <w:tcBorders>
              <w:top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Borders>
              <w:top w:val="single" w:sz="8" w:color="0077C0"/>
            </w:tcBorders>
          </w:tcPr>
          <w:p>
            <w:pPr>
              <w:spacing w:after="0"/>
              <w:rPr>
                <w:sz w:val="16"/>
                <w:szCs w:val="16"/>
                <w:color w:val="auto"/>
              </w:rPr>
            </w:pPr>
          </w:p>
        </w:tc>
        <w:tc>
          <w:tcPr>
            <w:tcW w:w="620" w:type="dxa"/>
            <w:vAlign w:val="bottom"/>
            <w:tcBorders>
              <w:top w:val="single" w:sz="8" w:color="0077C0"/>
            </w:tcBorders>
          </w:tcPr>
          <w:p>
            <w:pPr>
              <w:spacing w:after="0"/>
              <w:rPr>
                <w:sz w:val="16"/>
                <w:szCs w:val="16"/>
                <w:color w:val="auto"/>
              </w:rPr>
            </w:pPr>
          </w:p>
        </w:tc>
        <w:tc>
          <w:tcPr>
            <w:tcW w:w="340" w:type="dxa"/>
            <w:vAlign w:val="bottom"/>
            <w:tcBorders>
              <w:top w:val="single" w:sz="8" w:color="0077C0"/>
            </w:tcBorders>
          </w:tcPr>
          <w:p>
            <w:pPr>
              <w:spacing w:after="0"/>
              <w:rPr>
                <w:sz w:val="16"/>
                <w:szCs w:val="16"/>
                <w:color w:val="auto"/>
              </w:rPr>
            </w:pPr>
          </w:p>
        </w:tc>
        <w:tc>
          <w:tcPr>
            <w:tcW w:w="560" w:type="dxa"/>
            <w:vAlign w:val="bottom"/>
            <w:tcBorders>
              <w:top w:val="single" w:sz="8" w:color="0077C0"/>
            </w:tcBorders>
          </w:tcPr>
          <w:p>
            <w:pPr>
              <w:spacing w:after="0"/>
              <w:rPr>
                <w:sz w:val="16"/>
                <w:szCs w:val="16"/>
                <w:color w:val="auto"/>
              </w:rPr>
            </w:pPr>
          </w:p>
        </w:tc>
        <w:tc>
          <w:tcPr>
            <w:tcW w:w="220" w:type="dxa"/>
            <w:vAlign w:val="bottom"/>
            <w:tcBorders>
              <w:top w:val="single" w:sz="8" w:color="0077C0"/>
            </w:tcBorders>
          </w:tcPr>
          <w:p>
            <w:pPr>
              <w:spacing w:after="0"/>
              <w:rPr>
                <w:sz w:val="16"/>
                <w:szCs w:val="16"/>
                <w:color w:val="auto"/>
              </w:rPr>
            </w:pPr>
          </w:p>
        </w:tc>
        <w:tc>
          <w:tcPr>
            <w:tcW w:w="680" w:type="dxa"/>
            <w:vAlign w:val="bottom"/>
            <w:tcBorders>
              <w:top w:val="single" w:sz="8" w:color="0077C0"/>
            </w:tcBorders>
          </w:tcPr>
          <w:p>
            <w:pPr>
              <w:spacing w:after="0"/>
              <w:rPr>
                <w:sz w:val="16"/>
                <w:szCs w:val="16"/>
                <w:color w:val="auto"/>
              </w:rPr>
            </w:pPr>
          </w:p>
        </w:tc>
        <w:tc>
          <w:tcPr>
            <w:tcW w:w="220" w:type="dxa"/>
            <w:vAlign w:val="bottom"/>
            <w:tcBorders>
              <w:top w:val="single" w:sz="8" w:color="0077C0"/>
            </w:tcBorders>
          </w:tcPr>
          <w:p>
            <w:pPr>
              <w:spacing w:after="0"/>
              <w:rPr>
                <w:sz w:val="16"/>
                <w:szCs w:val="16"/>
                <w:color w:val="auto"/>
              </w:rPr>
            </w:pPr>
          </w:p>
        </w:tc>
        <w:tc>
          <w:tcPr>
            <w:tcW w:w="680" w:type="dxa"/>
            <w:vAlign w:val="bottom"/>
            <w:tcBorders>
              <w:top w:val="single" w:sz="8" w:color="0077C0"/>
            </w:tcBorders>
          </w:tcPr>
          <w:p>
            <w:pPr>
              <w:spacing w:after="0"/>
              <w:rPr>
                <w:sz w:val="16"/>
                <w:szCs w:val="16"/>
                <w:color w:val="auto"/>
              </w:rPr>
            </w:pPr>
          </w:p>
        </w:tc>
        <w:tc>
          <w:tcPr>
            <w:tcW w:w="280" w:type="dxa"/>
            <w:vAlign w:val="bottom"/>
            <w:tcBorders>
              <w:top w:val="single" w:sz="8" w:color="0077C0"/>
            </w:tcBorders>
          </w:tcPr>
          <w:p>
            <w:pPr>
              <w:spacing w:after="0"/>
              <w:rPr>
                <w:sz w:val="16"/>
                <w:szCs w:val="16"/>
                <w:color w:val="auto"/>
              </w:rPr>
            </w:pPr>
          </w:p>
        </w:tc>
        <w:tc>
          <w:tcPr>
            <w:tcW w:w="620" w:type="dxa"/>
            <w:vAlign w:val="bottom"/>
            <w:tcBorders>
              <w:top w:val="single" w:sz="8" w:color="0077C0"/>
            </w:tcBorders>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Borders>
              <w:top w:val="single" w:sz="8" w:color="0077C0"/>
            </w:tcBorders>
          </w:tcPr>
          <w:p>
            <w:pPr>
              <w:spacing w:after="0"/>
              <w:rPr>
                <w:sz w:val="16"/>
                <w:szCs w:val="16"/>
                <w:color w:val="auto"/>
              </w:rPr>
            </w:pPr>
          </w:p>
        </w:tc>
        <w:tc>
          <w:tcPr>
            <w:tcW w:w="600" w:type="dxa"/>
            <w:vAlign w:val="bottom"/>
            <w:tcBorders>
              <w:top w:val="single" w:sz="8" w:color="0077C0"/>
            </w:tcBorders>
          </w:tcPr>
          <w:p>
            <w:pPr>
              <w:spacing w:after="0"/>
              <w:rPr>
                <w:sz w:val="16"/>
                <w:szCs w:val="16"/>
                <w:color w:val="auto"/>
              </w:rPr>
            </w:pPr>
          </w:p>
        </w:tc>
        <w:tc>
          <w:tcPr>
            <w:tcW w:w="320" w:type="dxa"/>
            <w:vAlign w:val="bottom"/>
            <w:tcBorders>
              <w:top w:val="single" w:sz="8" w:color="0077C0"/>
            </w:tcBorders>
          </w:tcPr>
          <w:p>
            <w:pPr>
              <w:spacing w:after="0"/>
              <w:rPr>
                <w:sz w:val="16"/>
                <w:szCs w:val="16"/>
                <w:color w:val="auto"/>
              </w:rPr>
            </w:pPr>
          </w:p>
        </w:tc>
        <w:tc>
          <w:tcPr>
            <w:tcW w:w="580" w:type="dxa"/>
            <w:vAlign w:val="bottom"/>
            <w:tcBorders>
              <w:top w:val="single" w:sz="8" w:color="0077C0"/>
            </w:tcBorders>
          </w:tcPr>
          <w:p>
            <w:pPr>
              <w:spacing w:after="0"/>
              <w:rPr>
                <w:sz w:val="16"/>
                <w:szCs w:val="16"/>
                <w:color w:val="auto"/>
              </w:rPr>
            </w:pPr>
          </w:p>
        </w:tc>
      </w:tr>
      <w:tr>
        <w:trPr>
          <w:trHeight w:val="19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U.S.</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Americas</w:t>
            </w:r>
          </w:p>
        </w:tc>
        <w:tc>
          <w:tcPr>
            <w:tcW w:w="3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Africa</w:t>
            </w:r>
          </w:p>
        </w:tc>
        <w:tc>
          <w:tcPr>
            <w:tcW w:w="3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Asia</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Australia</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Europe</w:t>
            </w:r>
          </w:p>
        </w:tc>
        <w:tc>
          <w:tcPr>
            <w:tcW w:w="280" w:type="dxa"/>
            <w:vAlign w:val="bottom"/>
          </w:tcPr>
          <w:p>
            <w:pPr>
              <w:spacing w:after="0"/>
              <w:rPr>
                <w:sz w:val="16"/>
                <w:szCs w:val="16"/>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TCO</w:t>
            </w:r>
          </w:p>
        </w:tc>
        <w:tc>
          <w:tcPr>
            <w:tcW w:w="3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Other</w:t>
            </w:r>
          </w:p>
        </w:tc>
      </w:tr>
      <w:tr>
        <w:trPr>
          <w:trHeight w:val="23"/>
        </w:trPr>
        <w:tc>
          <w:tcPr>
            <w:tcW w:w="286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340" w:type="dxa"/>
            <w:vAlign w:val="bottom"/>
            <w:tcBorders>
              <w:bottom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r>
      <w:tr>
        <w:trPr>
          <w:trHeight w:val="184"/>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0077C0"/>
              </w:rPr>
              <w:t>Year Ended December 31, 2024</w:t>
            </w: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91"/>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Exploration</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03"/>
        </w:trPr>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Wells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193</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155</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94</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448</w:t>
            </w:r>
          </w:p>
        </w:tc>
        <w:tc>
          <w:tcPr>
            <w:tcW w:w="26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3"/>
        </w:trPr>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Geological and geophysical</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173</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81</w:t>
            </w:r>
          </w:p>
        </w:tc>
        <w:tc>
          <w:tcPr>
            <w:tcW w:w="30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47</w:t>
            </w:r>
          </w:p>
        </w:tc>
        <w:tc>
          <w:tcPr>
            <w:tcW w:w="3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327</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3"/>
        </w:trPr>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62</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62</w:t>
            </w:r>
          </w:p>
        </w:tc>
        <w:tc>
          <w:tcPr>
            <w:tcW w:w="30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70</w:t>
            </w:r>
          </w:p>
        </w:tc>
        <w:tc>
          <w:tcPr>
            <w:tcW w:w="3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239</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286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340" w:type="dxa"/>
            <w:vAlign w:val="bottom"/>
            <w:tcBorders>
              <w:bottom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r>
      <w:tr>
        <w:trPr>
          <w:trHeight w:val="190"/>
        </w:trPr>
        <w:tc>
          <w:tcPr>
            <w:tcW w:w="2860" w:type="dxa"/>
            <w:vAlign w:val="bottom"/>
            <w:tcBorders>
              <w:bottom w:val="single" w:sz="8" w:color="0077C0"/>
            </w:tcBorders>
          </w:tcPr>
          <w:p>
            <w:pPr>
              <w:ind w:left="140"/>
              <w:spacing w:after="0"/>
              <w:rPr>
                <w:sz w:val="20"/>
                <w:szCs w:val="20"/>
                <w:color w:val="auto"/>
              </w:rPr>
            </w:pPr>
            <w:r>
              <w:rPr>
                <w:rFonts w:ascii="Times New Roman" w:cs="Times New Roman" w:eastAsia="Times New Roman" w:hAnsi="Times New Roman"/>
                <w:sz w:val="14"/>
                <w:szCs w:val="14"/>
                <w:color w:val="auto"/>
              </w:rPr>
              <w:t>Total exploration</w:t>
            </w:r>
          </w:p>
        </w:tc>
        <w:tc>
          <w:tcPr>
            <w:tcW w:w="26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428</w:t>
            </w:r>
          </w:p>
        </w:tc>
        <w:tc>
          <w:tcPr>
            <w:tcW w:w="22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145</w:t>
            </w:r>
          </w:p>
        </w:tc>
        <w:tc>
          <w:tcPr>
            <w:tcW w:w="30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272</w:t>
            </w:r>
          </w:p>
        </w:tc>
        <w:tc>
          <w:tcPr>
            <w:tcW w:w="340" w:type="dxa"/>
            <w:vAlign w:val="bottom"/>
            <w:tcBorders>
              <w:bottom w:val="single" w:sz="8" w:color="0077C0"/>
            </w:tcBorders>
          </w:tcPr>
          <w:p>
            <w:pPr>
              <w:spacing w:after="0"/>
              <w:rPr>
                <w:sz w:val="16"/>
                <w:szCs w:val="16"/>
                <w:color w:val="auto"/>
              </w:rPr>
            </w:pPr>
          </w:p>
        </w:tc>
        <w:tc>
          <w:tcPr>
            <w:tcW w:w="5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132</w:t>
            </w:r>
          </w:p>
        </w:tc>
        <w:tc>
          <w:tcPr>
            <w:tcW w:w="22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w:t>
            </w:r>
          </w:p>
        </w:tc>
        <w:tc>
          <w:tcPr>
            <w:tcW w:w="22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1,014</w:t>
            </w:r>
          </w:p>
        </w:tc>
        <w:tc>
          <w:tcPr>
            <w:tcW w:w="260" w:type="dxa"/>
            <w:vAlign w:val="bottom"/>
            <w:tcBorders>
              <w:bottom w:val="single" w:sz="8" w:color="0077C0"/>
            </w:tcBorders>
          </w:tcPr>
          <w:p>
            <w:pPr>
              <w:spacing w:after="0"/>
              <w:rPr>
                <w:sz w:val="16"/>
                <w:szCs w:val="16"/>
                <w:color w:val="auto"/>
              </w:rPr>
            </w:pPr>
          </w:p>
        </w:tc>
        <w:tc>
          <w:tcPr>
            <w:tcW w:w="300" w:type="dxa"/>
            <w:vAlign w:val="bottom"/>
            <w:tcBorders>
              <w:bottom w:val="single" w:sz="8" w:color="0077C0"/>
            </w:tcBorders>
          </w:tcPr>
          <w:p>
            <w:pPr>
              <w:spacing w:after="0"/>
              <w:rPr>
                <w:sz w:val="16"/>
                <w:szCs w:val="16"/>
                <w:color w:val="auto"/>
              </w:rPr>
            </w:pP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0077C0"/>
            </w:tcBorders>
          </w:tcPr>
          <w:p>
            <w:pPr>
              <w:spacing w:after="0"/>
              <w:rPr>
                <w:sz w:val="16"/>
                <w:szCs w:val="16"/>
                <w:color w:val="auto"/>
              </w:rPr>
            </w:pPr>
          </w:p>
        </w:tc>
        <w:tc>
          <w:tcPr>
            <w:tcW w:w="5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1"/>
        </w:trPr>
        <w:tc>
          <w:tcPr>
            <w:tcW w:w="2860" w:type="dxa"/>
            <w:vAlign w:val="bottom"/>
          </w:tcPr>
          <w:p>
            <w:pPr>
              <w:ind w:left="20"/>
              <w:spacing w:after="0" w:line="191" w:lineRule="exact"/>
              <w:rPr>
                <w:sz w:val="20"/>
                <w:szCs w:val="20"/>
                <w:color w:val="auto"/>
              </w:rPr>
            </w:pPr>
            <w:r>
              <w:rPr>
                <w:rFonts w:ascii="Times New Roman" w:cs="Times New Roman" w:eastAsia="Times New Roman" w:hAnsi="Times New Roman"/>
                <w:sz w:val="14"/>
                <w:szCs w:val="14"/>
                <w:color w:val="auto"/>
              </w:rPr>
              <w:t>Property acquisitions</w:t>
            </w:r>
            <w:r>
              <w:rPr>
                <w:rFonts w:ascii="Times New Roman" w:cs="Times New Roman" w:eastAsia="Times New Roman" w:hAnsi="Times New Roman"/>
                <w:sz w:val="18"/>
                <w:szCs w:val="18"/>
                <w:color w:val="auto"/>
                <w:vertAlign w:val="superscript"/>
              </w:rPr>
              <w:t>2</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90"/>
        </w:trPr>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Proved - Other</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95</w:t>
            </w:r>
          </w:p>
        </w:tc>
        <w:tc>
          <w:tcPr>
            <w:tcW w:w="3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106</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3"/>
        </w:trPr>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Unproved - Other</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69</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w:t>
            </w:r>
          </w:p>
        </w:tc>
        <w:tc>
          <w:tcPr>
            <w:tcW w:w="30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22</w:t>
            </w:r>
          </w:p>
        </w:tc>
        <w:tc>
          <w:tcPr>
            <w:tcW w:w="3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129</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286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340" w:type="dxa"/>
            <w:vAlign w:val="bottom"/>
            <w:tcBorders>
              <w:bottom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r>
      <w:tr>
        <w:trPr>
          <w:trHeight w:val="190"/>
        </w:trPr>
        <w:tc>
          <w:tcPr>
            <w:tcW w:w="2860" w:type="dxa"/>
            <w:vAlign w:val="bottom"/>
            <w:tcBorders>
              <w:bottom w:val="single" w:sz="8" w:color="0077C0"/>
            </w:tcBorders>
          </w:tcPr>
          <w:p>
            <w:pPr>
              <w:ind w:left="140"/>
              <w:spacing w:after="0"/>
              <w:rPr>
                <w:sz w:val="20"/>
                <w:szCs w:val="20"/>
                <w:color w:val="auto"/>
              </w:rPr>
            </w:pPr>
            <w:r>
              <w:rPr>
                <w:rFonts w:ascii="Times New Roman" w:cs="Times New Roman" w:eastAsia="Times New Roman" w:hAnsi="Times New Roman"/>
                <w:sz w:val="14"/>
                <w:szCs w:val="14"/>
                <w:color w:val="auto"/>
              </w:rPr>
              <w:t>Total property acquisitions</w:t>
            </w:r>
          </w:p>
        </w:tc>
        <w:tc>
          <w:tcPr>
            <w:tcW w:w="26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80</w:t>
            </w:r>
          </w:p>
        </w:tc>
        <w:tc>
          <w:tcPr>
            <w:tcW w:w="22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w:t>
            </w:r>
          </w:p>
        </w:tc>
        <w:tc>
          <w:tcPr>
            <w:tcW w:w="30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117</w:t>
            </w:r>
          </w:p>
        </w:tc>
        <w:tc>
          <w:tcPr>
            <w:tcW w:w="340" w:type="dxa"/>
            <w:vAlign w:val="bottom"/>
            <w:tcBorders>
              <w:bottom w:val="single" w:sz="8" w:color="0077C0"/>
            </w:tcBorders>
          </w:tcPr>
          <w:p>
            <w:pPr>
              <w:spacing w:after="0"/>
              <w:rPr>
                <w:sz w:val="16"/>
                <w:szCs w:val="16"/>
                <w:color w:val="auto"/>
              </w:rPr>
            </w:pPr>
          </w:p>
        </w:tc>
        <w:tc>
          <w:tcPr>
            <w:tcW w:w="5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235</w:t>
            </w:r>
          </w:p>
        </w:tc>
        <w:tc>
          <w:tcPr>
            <w:tcW w:w="260" w:type="dxa"/>
            <w:vAlign w:val="bottom"/>
            <w:tcBorders>
              <w:bottom w:val="single" w:sz="8" w:color="0077C0"/>
            </w:tcBorders>
          </w:tcPr>
          <w:p>
            <w:pPr>
              <w:spacing w:after="0"/>
              <w:rPr>
                <w:sz w:val="16"/>
                <w:szCs w:val="16"/>
                <w:color w:val="auto"/>
              </w:rPr>
            </w:pPr>
          </w:p>
        </w:tc>
        <w:tc>
          <w:tcPr>
            <w:tcW w:w="300" w:type="dxa"/>
            <w:vAlign w:val="bottom"/>
            <w:tcBorders>
              <w:bottom w:val="single" w:sz="8" w:color="0077C0"/>
            </w:tcBorders>
          </w:tcPr>
          <w:p>
            <w:pPr>
              <w:spacing w:after="0"/>
              <w:rPr>
                <w:sz w:val="16"/>
                <w:szCs w:val="16"/>
                <w:color w:val="auto"/>
              </w:rPr>
            </w:pP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0077C0"/>
            </w:tcBorders>
          </w:tcPr>
          <w:p>
            <w:pPr>
              <w:spacing w:after="0"/>
              <w:rPr>
                <w:sz w:val="16"/>
                <w:szCs w:val="16"/>
                <w:color w:val="auto"/>
              </w:rPr>
            </w:pPr>
          </w:p>
        </w:tc>
        <w:tc>
          <w:tcPr>
            <w:tcW w:w="5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2"/>
        </w:trPr>
        <w:tc>
          <w:tcPr>
            <w:tcW w:w="2860" w:type="dxa"/>
            <w:vAlign w:val="bottom"/>
            <w:tcBorders>
              <w:bottom w:val="single" w:sz="8" w:color="0077C0"/>
            </w:tcBorders>
          </w:tcPr>
          <w:p>
            <w:pPr>
              <w:ind w:left="20"/>
              <w:spacing w:after="0" w:line="202" w:lineRule="exact"/>
              <w:rPr>
                <w:sz w:val="20"/>
                <w:szCs w:val="20"/>
                <w:color w:val="auto"/>
              </w:rPr>
            </w:pPr>
            <w:r>
              <w:rPr>
                <w:rFonts w:ascii="Times New Roman" w:cs="Times New Roman" w:eastAsia="Times New Roman" w:hAnsi="Times New Roman"/>
                <w:sz w:val="14"/>
                <w:szCs w:val="14"/>
                <w:color w:val="auto"/>
              </w:rPr>
              <w:t>Development</w:t>
            </w:r>
            <w:r>
              <w:rPr>
                <w:rFonts w:ascii="Times New Roman" w:cs="Times New Roman" w:eastAsia="Times New Roman" w:hAnsi="Times New Roman"/>
                <w:sz w:val="18"/>
                <w:szCs w:val="18"/>
                <w:color w:val="auto"/>
                <w:vertAlign w:val="superscript"/>
              </w:rPr>
              <w:t>3</w:t>
            </w:r>
          </w:p>
        </w:tc>
        <w:tc>
          <w:tcPr>
            <w:tcW w:w="260" w:type="dxa"/>
            <w:vAlign w:val="bottom"/>
            <w:tcBorders>
              <w:bottom w:val="single" w:sz="8" w:color="0077C0"/>
            </w:tcBorders>
          </w:tcPr>
          <w:p>
            <w:pPr>
              <w:spacing w:after="0"/>
              <w:rPr>
                <w:sz w:val="17"/>
                <w:szCs w:val="17"/>
                <w:color w:val="auto"/>
              </w:rPr>
            </w:pP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9,334</w:t>
            </w:r>
          </w:p>
        </w:tc>
        <w:tc>
          <w:tcPr>
            <w:tcW w:w="220" w:type="dxa"/>
            <w:vAlign w:val="bottom"/>
            <w:tcBorders>
              <w:bottom w:val="single" w:sz="8" w:color="0077C0"/>
            </w:tcBorders>
          </w:tcPr>
          <w:p>
            <w:pPr>
              <w:spacing w:after="0"/>
              <w:rPr>
                <w:sz w:val="17"/>
                <w:szCs w:val="17"/>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1,261</w:t>
            </w:r>
          </w:p>
        </w:tc>
        <w:tc>
          <w:tcPr>
            <w:tcW w:w="300" w:type="dxa"/>
            <w:vAlign w:val="bottom"/>
            <w:tcBorders>
              <w:bottom w:val="single" w:sz="8" w:color="0077C0"/>
            </w:tcBorders>
          </w:tcPr>
          <w:p>
            <w:pPr>
              <w:spacing w:after="0"/>
              <w:rPr>
                <w:sz w:val="17"/>
                <w:szCs w:val="17"/>
                <w:color w:val="auto"/>
              </w:rPr>
            </w:pPr>
          </w:p>
        </w:tc>
        <w:tc>
          <w:tcPr>
            <w:tcW w:w="62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895</w:t>
            </w:r>
          </w:p>
        </w:tc>
        <w:tc>
          <w:tcPr>
            <w:tcW w:w="340" w:type="dxa"/>
            <w:vAlign w:val="bottom"/>
            <w:tcBorders>
              <w:bottom w:val="single" w:sz="8" w:color="0077C0"/>
            </w:tcBorders>
          </w:tcPr>
          <w:p>
            <w:pPr>
              <w:spacing w:after="0"/>
              <w:rPr>
                <w:sz w:val="17"/>
                <w:szCs w:val="17"/>
                <w:color w:val="auto"/>
              </w:rPr>
            </w:pPr>
          </w:p>
        </w:tc>
        <w:tc>
          <w:tcPr>
            <w:tcW w:w="5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774</w:t>
            </w:r>
          </w:p>
        </w:tc>
        <w:tc>
          <w:tcPr>
            <w:tcW w:w="220" w:type="dxa"/>
            <w:vAlign w:val="bottom"/>
            <w:tcBorders>
              <w:bottom w:val="single" w:sz="8" w:color="0077C0"/>
            </w:tcBorders>
          </w:tcPr>
          <w:p>
            <w:pPr>
              <w:spacing w:after="0"/>
              <w:rPr>
                <w:sz w:val="17"/>
                <w:szCs w:val="17"/>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1,015</w:t>
            </w:r>
          </w:p>
        </w:tc>
        <w:tc>
          <w:tcPr>
            <w:tcW w:w="220" w:type="dxa"/>
            <w:vAlign w:val="bottom"/>
            <w:tcBorders>
              <w:bottom w:val="single" w:sz="8" w:color="0077C0"/>
            </w:tcBorders>
          </w:tcPr>
          <w:p>
            <w:pPr>
              <w:spacing w:after="0"/>
              <w:rPr>
                <w:sz w:val="17"/>
                <w:szCs w:val="17"/>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54</w:t>
            </w:r>
          </w:p>
        </w:tc>
        <w:tc>
          <w:tcPr>
            <w:tcW w:w="280" w:type="dxa"/>
            <w:vAlign w:val="bottom"/>
            <w:tcBorders>
              <w:bottom w:val="single" w:sz="8" w:color="0077C0"/>
            </w:tcBorders>
          </w:tcPr>
          <w:p>
            <w:pPr>
              <w:spacing w:after="0"/>
              <w:rPr>
                <w:sz w:val="17"/>
                <w:szCs w:val="17"/>
                <w:color w:val="auto"/>
              </w:rPr>
            </w:pPr>
          </w:p>
        </w:tc>
        <w:tc>
          <w:tcPr>
            <w:tcW w:w="6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13,333</w:t>
            </w:r>
          </w:p>
        </w:tc>
        <w:tc>
          <w:tcPr>
            <w:tcW w:w="260" w:type="dxa"/>
            <w:vAlign w:val="bottom"/>
            <w:tcBorders>
              <w:bottom w:val="single" w:sz="8" w:color="0077C0"/>
            </w:tcBorders>
          </w:tcPr>
          <w:p>
            <w:pPr>
              <w:spacing w:after="0"/>
              <w:rPr>
                <w:sz w:val="17"/>
                <w:szCs w:val="17"/>
                <w:color w:val="auto"/>
              </w:rPr>
            </w:pPr>
          </w:p>
        </w:tc>
        <w:tc>
          <w:tcPr>
            <w:tcW w:w="300" w:type="dxa"/>
            <w:vAlign w:val="bottom"/>
            <w:tcBorders>
              <w:bottom w:val="single" w:sz="8" w:color="0077C0"/>
            </w:tcBorders>
          </w:tcPr>
          <w:p>
            <w:pPr>
              <w:spacing w:after="0"/>
              <w:rPr>
                <w:sz w:val="17"/>
                <w:szCs w:val="17"/>
                <w:color w:val="auto"/>
              </w:rPr>
            </w:pP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1,480</w:t>
            </w:r>
          </w:p>
        </w:tc>
        <w:tc>
          <w:tcPr>
            <w:tcW w:w="320" w:type="dxa"/>
            <w:vAlign w:val="bottom"/>
            <w:tcBorders>
              <w:bottom w:val="single" w:sz="8" w:color="0077C0"/>
            </w:tcBorders>
          </w:tcPr>
          <w:p>
            <w:pPr>
              <w:spacing w:after="0"/>
              <w:rPr>
                <w:sz w:val="17"/>
                <w:szCs w:val="17"/>
                <w:color w:val="auto"/>
              </w:rPr>
            </w:pPr>
          </w:p>
        </w:tc>
        <w:tc>
          <w:tcPr>
            <w:tcW w:w="5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r>
      <w:tr>
        <w:trPr>
          <w:trHeight w:val="196"/>
        </w:trPr>
        <w:tc>
          <w:tcPr>
            <w:tcW w:w="2860" w:type="dxa"/>
            <w:vAlign w:val="bottom"/>
            <w:tcBorders>
              <w:bottom w:val="single" w:sz="8" w:color="0077C0"/>
            </w:tcBorders>
          </w:tcPr>
          <w:p>
            <w:pPr>
              <w:ind w:left="20"/>
              <w:spacing w:after="0" w:line="196" w:lineRule="exact"/>
              <w:rPr>
                <w:sz w:val="20"/>
                <w:szCs w:val="20"/>
                <w:color w:val="auto"/>
              </w:rPr>
            </w:pPr>
            <w:r>
              <w:rPr>
                <w:rFonts w:ascii="Times New Roman" w:cs="Times New Roman" w:eastAsia="Times New Roman" w:hAnsi="Times New Roman"/>
                <w:sz w:val="14"/>
                <w:szCs w:val="14"/>
                <w:b w:val="1"/>
                <w:bCs w:val="1"/>
                <w:color w:val="0077C0"/>
              </w:rPr>
              <w:t>Total Costs Incurred</w:t>
            </w:r>
            <w:r>
              <w:rPr>
                <w:rFonts w:ascii="Times New Roman" w:cs="Times New Roman" w:eastAsia="Times New Roman" w:hAnsi="Times New Roman"/>
                <w:sz w:val="18"/>
                <w:szCs w:val="18"/>
                <w:b w:val="1"/>
                <w:bCs w:val="1"/>
                <w:color w:val="0077C0"/>
                <w:vertAlign w:val="superscript"/>
              </w:rPr>
              <w:t>4</w:t>
            </w:r>
          </w:p>
        </w:tc>
        <w:tc>
          <w:tcPr>
            <w:tcW w:w="26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9,842</w:t>
            </w:r>
          </w:p>
        </w:tc>
        <w:tc>
          <w:tcPr>
            <w:tcW w:w="220" w:type="dxa"/>
            <w:vAlign w:val="bottom"/>
            <w:tcBorders>
              <w:bottom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1,444</w:t>
            </w:r>
          </w:p>
        </w:tc>
        <w:tc>
          <w:tcPr>
            <w:tcW w:w="300" w:type="dxa"/>
            <w:vAlign w:val="bottom"/>
            <w:tcBorders>
              <w:bottom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1,284</w:t>
            </w:r>
          </w:p>
        </w:tc>
        <w:tc>
          <w:tcPr>
            <w:tcW w:w="340" w:type="dxa"/>
            <w:vAlign w:val="bottom"/>
            <w:tcBorders>
              <w:bottom w:val="single" w:sz="8" w:color="0077C0"/>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906</w:t>
            </w:r>
          </w:p>
        </w:tc>
        <w:tc>
          <w:tcPr>
            <w:tcW w:w="22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1,052</w:t>
            </w:r>
          </w:p>
        </w:tc>
        <w:tc>
          <w:tcPr>
            <w:tcW w:w="22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54</w:t>
            </w:r>
          </w:p>
        </w:tc>
        <w:tc>
          <w:tcPr>
            <w:tcW w:w="28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14,582</w:t>
            </w:r>
          </w:p>
        </w:tc>
        <w:tc>
          <w:tcPr>
            <w:tcW w:w="260" w:type="dxa"/>
            <w:vAlign w:val="bottom"/>
            <w:tcBorders>
              <w:bottom w:val="single" w:sz="8" w:color="0077C0"/>
            </w:tcBorders>
          </w:tcPr>
          <w:p>
            <w:pPr>
              <w:spacing w:after="0"/>
              <w:rPr>
                <w:sz w:val="17"/>
                <w:szCs w:val="17"/>
                <w:color w:val="auto"/>
              </w:rPr>
            </w:pPr>
          </w:p>
        </w:tc>
        <w:tc>
          <w:tcPr>
            <w:tcW w:w="300" w:type="dxa"/>
            <w:vAlign w:val="bottom"/>
            <w:tcBorders>
              <w:bottom w:val="single" w:sz="8" w:color="0077C0"/>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1,480</w:t>
            </w:r>
          </w:p>
        </w:tc>
        <w:tc>
          <w:tcPr>
            <w:tcW w:w="320" w:type="dxa"/>
            <w:vAlign w:val="bottom"/>
            <w:tcBorders>
              <w:bottom w:val="single" w:sz="8" w:color="0077C0"/>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r>
      <w:tr>
        <w:trPr>
          <w:trHeight w:val="184"/>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0077C0"/>
              </w:rPr>
              <w:t>Year Ended December 31, 2023</w:t>
            </w: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91"/>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Exploration</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03"/>
        </w:trPr>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Wells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26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Geological and geophysical</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30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83</w:t>
            </w:r>
          </w:p>
        </w:tc>
        <w:tc>
          <w:tcPr>
            <w:tcW w:w="3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30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w:t>
            </w:r>
          </w:p>
        </w:tc>
        <w:tc>
          <w:tcPr>
            <w:tcW w:w="3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286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340" w:type="dxa"/>
            <w:vAlign w:val="bottom"/>
            <w:tcBorders>
              <w:bottom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r>
      <w:tr>
        <w:trPr>
          <w:trHeight w:val="189"/>
        </w:trPr>
        <w:tc>
          <w:tcPr>
            <w:tcW w:w="2860" w:type="dxa"/>
            <w:vAlign w:val="bottom"/>
            <w:tcBorders>
              <w:bottom w:val="single" w:sz="8" w:color="0077C0"/>
            </w:tcBorders>
          </w:tcPr>
          <w:p>
            <w:pPr>
              <w:ind w:left="140"/>
              <w:spacing w:after="0"/>
              <w:rPr>
                <w:sz w:val="20"/>
                <w:szCs w:val="20"/>
                <w:color w:val="auto"/>
              </w:rPr>
            </w:pPr>
            <w:r>
              <w:rPr>
                <w:rFonts w:ascii="Times New Roman" w:cs="Times New Roman" w:eastAsia="Times New Roman" w:hAnsi="Times New Roman"/>
                <w:sz w:val="14"/>
                <w:szCs w:val="14"/>
                <w:color w:val="auto"/>
              </w:rPr>
              <w:t>Total exploration</w:t>
            </w:r>
          </w:p>
        </w:tc>
        <w:tc>
          <w:tcPr>
            <w:tcW w:w="26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22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30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176</w:t>
            </w:r>
          </w:p>
        </w:tc>
        <w:tc>
          <w:tcPr>
            <w:tcW w:w="340" w:type="dxa"/>
            <w:vAlign w:val="bottom"/>
            <w:tcBorders>
              <w:bottom w:val="single" w:sz="8" w:color="0077C0"/>
            </w:tcBorders>
          </w:tcPr>
          <w:p>
            <w:pPr>
              <w:spacing w:after="0"/>
              <w:rPr>
                <w:sz w:val="16"/>
                <w:szCs w:val="16"/>
                <w:color w:val="auto"/>
              </w:rPr>
            </w:pPr>
          </w:p>
        </w:tc>
        <w:tc>
          <w:tcPr>
            <w:tcW w:w="5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22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2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8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1,008</w:t>
            </w:r>
          </w:p>
        </w:tc>
        <w:tc>
          <w:tcPr>
            <w:tcW w:w="260" w:type="dxa"/>
            <w:vAlign w:val="bottom"/>
            <w:tcBorders>
              <w:bottom w:val="single" w:sz="8" w:color="0077C0"/>
            </w:tcBorders>
          </w:tcPr>
          <w:p>
            <w:pPr>
              <w:spacing w:after="0"/>
              <w:rPr>
                <w:sz w:val="16"/>
                <w:szCs w:val="16"/>
                <w:color w:val="auto"/>
              </w:rPr>
            </w:pPr>
          </w:p>
        </w:tc>
        <w:tc>
          <w:tcPr>
            <w:tcW w:w="300" w:type="dxa"/>
            <w:vAlign w:val="bottom"/>
            <w:tcBorders>
              <w:bottom w:val="single" w:sz="8" w:color="0077C0"/>
            </w:tcBorders>
          </w:tcPr>
          <w:p>
            <w:pPr>
              <w:spacing w:after="0"/>
              <w:rPr>
                <w:sz w:val="16"/>
                <w:szCs w:val="16"/>
                <w:color w:val="auto"/>
              </w:rPr>
            </w:pP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0077C0"/>
            </w:tcBorders>
          </w:tcPr>
          <w:p>
            <w:pPr>
              <w:spacing w:after="0"/>
              <w:rPr>
                <w:sz w:val="16"/>
                <w:szCs w:val="16"/>
                <w:color w:val="auto"/>
              </w:rPr>
            </w:pPr>
          </w:p>
        </w:tc>
        <w:tc>
          <w:tcPr>
            <w:tcW w:w="5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2860" w:type="dxa"/>
            <w:vAlign w:val="bottom"/>
          </w:tcPr>
          <w:p>
            <w:pPr>
              <w:ind w:left="20"/>
              <w:spacing w:after="0" w:line="194" w:lineRule="exact"/>
              <w:rPr>
                <w:sz w:val="20"/>
                <w:szCs w:val="20"/>
                <w:color w:val="auto"/>
              </w:rPr>
            </w:pPr>
            <w:r>
              <w:rPr>
                <w:rFonts w:ascii="Times New Roman" w:cs="Times New Roman" w:eastAsia="Times New Roman" w:hAnsi="Times New Roman"/>
                <w:sz w:val="14"/>
                <w:szCs w:val="14"/>
                <w:color w:val="auto"/>
              </w:rPr>
              <w:t>Property acquisitions</w:t>
            </w:r>
            <w:r>
              <w:rPr>
                <w:rFonts w:ascii="Times New Roman" w:cs="Times New Roman" w:eastAsia="Times New Roman" w:hAnsi="Times New Roman"/>
                <w:sz w:val="18"/>
                <w:szCs w:val="18"/>
                <w:color w:val="auto"/>
                <w:vertAlign w:val="superscript"/>
              </w:rPr>
              <w:t>2</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8"/>
        </w:trPr>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Proved - Other</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10,123</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10,123</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Unproved - Other</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0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286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340" w:type="dxa"/>
            <w:vAlign w:val="bottom"/>
            <w:tcBorders>
              <w:bottom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r>
      <w:tr>
        <w:trPr>
          <w:trHeight w:val="190"/>
        </w:trPr>
        <w:tc>
          <w:tcPr>
            <w:tcW w:w="2860" w:type="dxa"/>
            <w:vAlign w:val="bottom"/>
            <w:tcBorders>
              <w:bottom w:val="single" w:sz="8" w:color="0077C0"/>
            </w:tcBorders>
          </w:tcPr>
          <w:p>
            <w:pPr>
              <w:ind w:left="140"/>
              <w:spacing w:after="0"/>
              <w:rPr>
                <w:sz w:val="20"/>
                <w:szCs w:val="20"/>
                <w:color w:val="auto"/>
              </w:rPr>
            </w:pPr>
            <w:r>
              <w:rPr>
                <w:rFonts w:ascii="Times New Roman" w:cs="Times New Roman" w:eastAsia="Times New Roman" w:hAnsi="Times New Roman"/>
                <w:sz w:val="14"/>
                <w:szCs w:val="14"/>
                <w:color w:val="auto"/>
              </w:rPr>
              <w:t>Total property acquisitions</w:t>
            </w:r>
          </w:p>
        </w:tc>
        <w:tc>
          <w:tcPr>
            <w:tcW w:w="26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10,627</w:t>
            </w:r>
          </w:p>
        </w:tc>
        <w:tc>
          <w:tcPr>
            <w:tcW w:w="22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0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0077C0"/>
            </w:tcBorders>
          </w:tcPr>
          <w:p>
            <w:pPr>
              <w:spacing w:after="0"/>
              <w:rPr>
                <w:sz w:val="16"/>
                <w:szCs w:val="16"/>
                <w:color w:val="auto"/>
              </w:rPr>
            </w:pPr>
          </w:p>
        </w:tc>
        <w:tc>
          <w:tcPr>
            <w:tcW w:w="5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10,631</w:t>
            </w:r>
          </w:p>
        </w:tc>
        <w:tc>
          <w:tcPr>
            <w:tcW w:w="260" w:type="dxa"/>
            <w:vAlign w:val="bottom"/>
            <w:tcBorders>
              <w:bottom w:val="single" w:sz="8" w:color="0077C0"/>
            </w:tcBorders>
          </w:tcPr>
          <w:p>
            <w:pPr>
              <w:spacing w:after="0"/>
              <w:rPr>
                <w:sz w:val="16"/>
                <w:szCs w:val="16"/>
                <w:color w:val="auto"/>
              </w:rPr>
            </w:pPr>
          </w:p>
        </w:tc>
        <w:tc>
          <w:tcPr>
            <w:tcW w:w="300" w:type="dxa"/>
            <w:vAlign w:val="bottom"/>
            <w:tcBorders>
              <w:bottom w:val="single" w:sz="8" w:color="0077C0"/>
            </w:tcBorders>
          </w:tcPr>
          <w:p>
            <w:pPr>
              <w:spacing w:after="0"/>
              <w:rPr>
                <w:sz w:val="16"/>
                <w:szCs w:val="16"/>
                <w:color w:val="auto"/>
              </w:rPr>
            </w:pP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0077C0"/>
            </w:tcBorders>
          </w:tcPr>
          <w:p>
            <w:pPr>
              <w:spacing w:after="0"/>
              <w:rPr>
                <w:sz w:val="16"/>
                <w:szCs w:val="16"/>
                <w:color w:val="auto"/>
              </w:rPr>
            </w:pPr>
          </w:p>
        </w:tc>
        <w:tc>
          <w:tcPr>
            <w:tcW w:w="5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860" w:type="dxa"/>
            <w:vAlign w:val="bottom"/>
            <w:tcBorders>
              <w:bottom w:val="single" w:sz="8" w:color="0077C0"/>
            </w:tcBorders>
          </w:tcPr>
          <w:p>
            <w:pPr>
              <w:ind w:left="20"/>
              <w:spacing w:after="0" w:line="202" w:lineRule="exact"/>
              <w:rPr>
                <w:sz w:val="20"/>
                <w:szCs w:val="20"/>
                <w:color w:val="auto"/>
              </w:rPr>
            </w:pPr>
            <w:r>
              <w:rPr>
                <w:rFonts w:ascii="Times New Roman" w:cs="Times New Roman" w:eastAsia="Times New Roman" w:hAnsi="Times New Roman"/>
                <w:sz w:val="14"/>
                <w:szCs w:val="14"/>
                <w:color w:val="auto"/>
              </w:rPr>
              <w:t>Development</w:t>
            </w:r>
            <w:r>
              <w:rPr>
                <w:rFonts w:ascii="Times New Roman" w:cs="Times New Roman" w:eastAsia="Times New Roman" w:hAnsi="Times New Roman"/>
                <w:sz w:val="18"/>
                <w:szCs w:val="18"/>
                <w:color w:val="auto"/>
                <w:vertAlign w:val="superscript"/>
              </w:rPr>
              <w:t>3</w:t>
            </w:r>
          </w:p>
        </w:tc>
        <w:tc>
          <w:tcPr>
            <w:tcW w:w="260" w:type="dxa"/>
            <w:vAlign w:val="bottom"/>
            <w:tcBorders>
              <w:bottom w:val="single" w:sz="8" w:color="0077C0"/>
            </w:tcBorders>
          </w:tcPr>
          <w:p>
            <w:pPr>
              <w:spacing w:after="0"/>
              <w:rPr>
                <w:sz w:val="17"/>
                <w:szCs w:val="17"/>
                <w:color w:val="auto"/>
              </w:rPr>
            </w:pP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9,645</w:t>
            </w:r>
          </w:p>
        </w:tc>
        <w:tc>
          <w:tcPr>
            <w:tcW w:w="220" w:type="dxa"/>
            <w:vAlign w:val="bottom"/>
            <w:tcBorders>
              <w:bottom w:val="single" w:sz="8" w:color="0077C0"/>
            </w:tcBorders>
          </w:tcPr>
          <w:p>
            <w:pPr>
              <w:spacing w:after="0"/>
              <w:rPr>
                <w:sz w:val="17"/>
                <w:szCs w:val="17"/>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300" w:type="dxa"/>
            <w:vAlign w:val="bottom"/>
            <w:tcBorders>
              <w:bottom w:val="single" w:sz="8" w:color="0077C0"/>
            </w:tcBorders>
          </w:tcPr>
          <w:p>
            <w:pPr>
              <w:spacing w:after="0"/>
              <w:rPr>
                <w:sz w:val="17"/>
                <w:szCs w:val="17"/>
                <w:color w:val="auto"/>
              </w:rPr>
            </w:pPr>
          </w:p>
        </w:tc>
        <w:tc>
          <w:tcPr>
            <w:tcW w:w="62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784</w:t>
            </w:r>
          </w:p>
        </w:tc>
        <w:tc>
          <w:tcPr>
            <w:tcW w:w="340" w:type="dxa"/>
            <w:vAlign w:val="bottom"/>
            <w:tcBorders>
              <w:bottom w:val="single" w:sz="8" w:color="0077C0"/>
            </w:tcBorders>
          </w:tcPr>
          <w:p>
            <w:pPr>
              <w:spacing w:after="0"/>
              <w:rPr>
                <w:sz w:val="17"/>
                <w:szCs w:val="17"/>
                <w:color w:val="auto"/>
              </w:rPr>
            </w:pPr>
          </w:p>
        </w:tc>
        <w:tc>
          <w:tcPr>
            <w:tcW w:w="5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220" w:type="dxa"/>
            <w:vAlign w:val="bottom"/>
            <w:tcBorders>
              <w:bottom w:val="single" w:sz="8" w:color="0077C0"/>
            </w:tcBorders>
          </w:tcPr>
          <w:p>
            <w:pPr>
              <w:spacing w:after="0"/>
              <w:rPr>
                <w:sz w:val="17"/>
                <w:szCs w:val="17"/>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822</w:t>
            </w:r>
          </w:p>
        </w:tc>
        <w:tc>
          <w:tcPr>
            <w:tcW w:w="220" w:type="dxa"/>
            <w:vAlign w:val="bottom"/>
            <w:tcBorders>
              <w:bottom w:val="single" w:sz="8" w:color="0077C0"/>
            </w:tcBorders>
          </w:tcPr>
          <w:p>
            <w:pPr>
              <w:spacing w:after="0"/>
              <w:rPr>
                <w:sz w:val="17"/>
                <w:szCs w:val="17"/>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280" w:type="dxa"/>
            <w:vAlign w:val="bottom"/>
            <w:tcBorders>
              <w:bottom w:val="single" w:sz="8" w:color="0077C0"/>
            </w:tcBorders>
          </w:tcPr>
          <w:p>
            <w:pPr>
              <w:spacing w:after="0"/>
              <w:rPr>
                <w:sz w:val="17"/>
                <w:szCs w:val="17"/>
                <w:color w:val="auto"/>
              </w:rPr>
            </w:pPr>
          </w:p>
        </w:tc>
        <w:tc>
          <w:tcPr>
            <w:tcW w:w="6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12,920</w:t>
            </w:r>
          </w:p>
        </w:tc>
        <w:tc>
          <w:tcPr>
            <w:tcW w:w="260" w:type="dxa"/>
            <w:vAlign w:val="bottom"/>
            <w:tcBorders>
              <w:bottom w:val="single" w:sz="8" w:color="0077C0"/>
            </w:tcBorders>
          </w:tcPr>
          <w:p>
            <w:pPr>
              <w:spacing w:after="0"/>
              <w:rPr>
                <w:sz w:val="17"/>
                <w:szCs w:val="17"/>
                <w:color w:val="auto"/>
              </w:rPr>
            </w:pPr>
          </w:p>
        </w:tc>
        <w:tc>
          <w:tcPr>
            <w:tcW w:w="300" w:type="dxa"/>
            <w:vAlign w:val="bottom"/>
            <w:tcBorders>
              <w:bottom w:val="single" w:sz="8" w:color="0077C0"/>
            </w:tcBorders>
          </w:tcPr>
          <w:p>
            <w:pPr>
              <w:spacing w:after="0"/>
              <w:rPr>
                <w:sz w:val="17"/>
                <w:szCs w:val="17"/>
                <w:color w:val="auto"/>
              </w:rPr>
            </w:pP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2,278</w:t>
            </w:r>
          </w:p>
        </w:tc>
        <w:tc>
          <w:tcPr>
            <w:tcW w:w="320" w:type="dxa"/>
            <w:vAlign w:val="bottom"/>
            <w:tcBorders>
              <w:bottom w:val="single" w:sz="8" w:color="0077C0"/>
            </w:tcBorders>
          </w:tcPr>
          <w:p>
            <w:pPr>
              <w:spacing w:after="0"/>
              <w:rPr>
                <w:sz w:val="17"/>
                <w:szCs w:val="17"/>
                <w:color w:val="auto"/>
              </w:rPr>
            </w:pPr>
          </w:p>
        </w:tc>
        <w:tc>
          <w:tcPr>
            <w:tcW w:w="5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86</w:t>
            </w:r>
          </w:p>
        </w:tc>
      </w:tr>
      <w:tr>
        <w:trPr>
          <w:trHeight w:val="196"/>
        </w:trPr>
        <w:tc>
          <w:tcPr>
            <w:tcW w:w="2860" w:type="dxa"/>
            <w:vAlign w:val="bottom"/>
            <w:tcBorders>
              <w:bottom w:val="single" w:sz="8" w:color="0077C0"/>
            </w:tcBorders>
          </w:tcPr>
          <w:p>
            <w:pPr>
              <w:ind w:left="20"/>
              <w:spacing w:after="0" w:line="196" w:lineRule="exact"/>
              <w:rPr>
                <w:sz w:val="20"/>
                <w:szCs w:val="20"/>
                <w:color w:val="auto"/>
              </w:rPr>
            </w:pPr>
            <w:r>
              <w:rPr>
                <w:rFonts w:ascii="Times New Roman" w:cs="Times New Roman" w:eastAsia="Times New Roman" w:hAnsi="Times New Roman"/>
                <w:sz w:val="14"/>
                <w:szCs w:val="14"/>
                <w:b w:val="1"/>
                <w:bCs w:val="1"/>
                <w:color w:val="0077C0"/>
              </w:rPr>
              <w:t>Total Costs Incurred</w:t>
            </w:r>
            <w:r>
              <w:rPr>
                <w:rFonts w:ascii="Times New Roman" w:cs="Times New Roman" w:eastAsia="Times New Roman" w:hAnsi="Times New Roman"/>
                <w:sz w:val="18"/>
                <w:szCs w:val="18"/>
                <w:b w:val="1"/>
                <w:bCs w:val="1"/>
                <w:color w:val="0077C0"/>
                <w:vertAlign w:val="superscript"/>
              </w:rPr>
              <w:t>4</w:t>
            </w:r>
          </w:p>
        </w:tc>
        <w:tc>
          <w:tcPr>
            <w:tcW w:w="26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20,686</w:t>
            </w:r>
          </w:p>
        </w:tc>
        <w:tc>
          <w:tcPr>
            <w:tcW w:w="220" w:type="dxa"/>
            <w:vAlign w:val="bottom"/>
            <w:tcBorders>
              <w:bottom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1,232</w:t>
            </w:r>
          </w:p>
        </w:tc>
        <w:tc>
          <w:tcPr>
            <w:tcW w:w="300" w:type="dxa"/>
            <w:vAlign w:val="bottom"/>
            <w:tcBorders>
              <w:bottom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960</w:t>
            </w:r>
          </w:p>
        </w:tc>
        <w:tc>
          <w:tcPr>
            <w:tcW w:w="340" w:type="dxa"/>
            <w:vAlign w:val="bottom"/>
            <w:tcBorders>
              <w:bottom w:val="single" w:sz="8" w:color="0077C0"/>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22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22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28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24,559</w:t>
            </w:r>
          </w:p>
        </w:tc>
        <w:tc>
          <w:tcPr>
            <w:tcW w:w="260" w:type="dxa"/>
            <w:vAlign w:val="bottom"/>
            <w:tcBorders>
              <w:bottom w:val="single" w:sz="8" w:color="0077C0"/>
            </w:tcBorders>
          </w:tcPr>
          <w:p>
            <w:pPr>
              <w:spacing w:after="0"/>
              <w:rPr>
                <w:sz w:val="17"/>
                <w:szCs w:val="17"/>
                <w:color w:val="auto"/>
              </w:rPr>
            </w:pPr>
          </w:p>
        </w:tc>
        <w:tc>
          <w:tcPr>
            <w:tcW w:w="300" w:type="dxa"/>
            <w:vAlign w:val="bottom"/>
            <w:tcBorders>
              <w:bottom w:val="single" w:sz="8" w:color="0077C0"/>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2,278</w:t>
            </w:r>
          </w:p>
        </w:tc>
        <w:tc>
          <w:tcPr>
            <w:tcW w:w="320" w:type="dxa"/>
            <w:vAlign w:val="bottom"/>
            <w:tcBorders>
              <w:bottom w:val="single" w:sz="8" w:color="0077C0"/>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86</w:t>
            </w:r>
          </w:p>
        </w:tc>
      </w:tr>
      <w:tr>
        <w:trPr>
          <w:trHeight w:val="184"/>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0077C0"/>
              </w:rPr>
              <w:t>Year Ended December 31, 2022</w:t>
            </w: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91"/>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Exploration</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03"/>
        </w:trPr>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Wells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78</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26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Geological and geophysical</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30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110</w:t>
            </w:r>
          </w:p>
        </w:tc>
        <w:tc>
          <w:tcPr>
            <w:tcW w:w="3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30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75</w:t>
            </w:r>
          </w:p>
        </w:tc>
        <w:tc>
          <w:tcPr>
            <w:tcW w:w="3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286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340" w:type="dxa"/>
            <w:vAlign w:val="bottom"/>
            <w:tcBorders>
              <w:bottom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r>
      <w:tr>
        <w:trPr>
          <w:trHeight w:val="190"/>
        </w:trPr>
        <w:tc>
          <w:tcPr>
            <w:tcW w:w="2860" w:type="dxa"/>
            <w:vAlign w:val="bottom"/>
            <w:tcBorders>
              <w:bottom w:val="single" w:sz="8" w:color="0077C0"/>
            </w:tcBorders>
          </w:tcPr>
          <w:p>
            <w:pPr>
              <w:ind w:left="140"/>
              <w:spacing w:after="0"/>
              <w:rPr>
                <w:sz w:val="20"/>
                <w:szCs w:val="20"/>
                <w:color w:val="auto"/>
              </w:rPr>
            </w:pPr>
            <w:r>
              <w:rPr>
                <w:rFonts w:ascii="Times New Roman" w:cs="Times New Roman" w:eastAsia="Times New Roman" w:hAnsi="Times New Roman"/>
                <w:sz w:val="14"/>
                <w:szCs w:val="14"/>
                <w:color w:val="auto"/>
              </w:rPr>
              <w:t>Total exploration</w:t>
            </w:r>
          </w:p>
        </w:tc>
        <w:tc>
          <w:tcPr>
            <w:tcW w:w="26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22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30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263</w:t>
            </w:r>
          </w:p>
        </w:tc>
        <w:tc>
          <w:tcPr>
            <w:tcW w:w="340" w:type="dxa"/>
            <w:vAlign w:val="bottom"/>
            <w:tcBorders>
              <w:bottom w:val="single" w:sz="8" w:color="0077C0"/>
            </w:tcBorders>
          </w:tcPr>
          <w:p>
            <w:pPr>
              <w:spacing w:after="0"/>
              <w:rPr>
                <w:sz w:val="16"/>
                <w:szCs w:val="16"/>
                <w:color w:val="auto"/>
              </w:rPr>
            </w:pPr>
          </w:p>
        </w:tc>
        <w:tc>
          <w:tcPr>
            <w:tcW w:w="5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22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2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935</w:t>
            </w:r>
          </w:p>
        </w:tc>
        <w:tc>
          <w:tcPr>
            <w:tcW w:w="260" w:type="dxa"/>
            <w:vAlign w:val="bottom"/>
            <w:tcBorders>
              <w:bottom w:val="single" w:sz="8" w:color="0077C0"/>
            </w:tcBorders>
          </w:tcPr>
          <w:p>
            <w:pPr>
              <w:spacing w:after="0"/>
              <w:rPr>
                <w:sz w:val="16"/>
                <w:szCs w:val="16"/>
                <w:color w:val="auto"/>
              </w:rPr>
            </w:pPr>
          </w:p>
        </w:tc>
        <w:tc>
          <w:tcPr>
            <w:tcW w:w="300" w:type="dxa"/>
            <w:vAlign w:val="bottom"/>
            <w:tcBorders>
              <w:bottom w:val="single" w:sz="8" w:color="0077C0"/>
            </w:tcBorders>
          </w:tcPr>
          <w:p>
            <w:pPr>
              <w:spacing w:after="0"/>
              <w:rPr>
                <w:sz w:val="16"/>
                <w:szCs w:val="16"/>
                <w:color w:val="auto"/>
              </w:rPr>
            </w:pP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0077C0"/>
            </w:tcBorders>
          </w:tcPr>
          <w:p>
            <w:pPr>
              <w:spacing w:after="0"/>
              <w:rPr>
                <w:sz w:val="16"/>
                <w:szCs w:val="16"/>
                <w:color w:val="auto"/>
              </w:rPr>
            </w:pPr>
          </w:p>
        </w:tc>
        <w:tc>
          <w:tcPr>
            <w:tcW w:w="5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2860" w:type="dxa"/>
            <w:vAlign w:val="bottom"/>
          </w:tcPr>
          <w:p>
            <w:pPr>
              <w:ind w:left="20"/>
              <w:spacing w:after="0" w:line="194" w:lineRule="exact"/>
              <w:rPr>
                <w:sz w:val="20"/>
                <w:szCs w:val="20"/>
                <w:color w:val="auto"/>
              </w:rPr>
            </w:pPr>
            <w:r>
              <w:rPr>
                <w:rFonts w:ascii="Times New Roman" w:cs="Times New Roman" w:eastAsia="Times New Roman" w:hAnsi="Times New Roman"/>
                <w:sz w:val="14"/>
                <w:szCs w:val="14"/>
                <w:color w:val="auto"/>
              </w:rPr>
              <w:t>Property acquisitions</w:t>
            </w:r>
            <w:r>
              <w:rPr>
                <w:rFonts w:ascii="Times New Roman" w:cs="Times New Roman" w:eastAsia="Times New Roman" w:hAnsi="Times New Roman"/>
                <w:sz w:val="18"/>
                <w:szCs w:val="18"/>
                <w:color w:val="auto"/>
                <w:vertAlign w:val="superscript"/>
              </w:rPr>
              <w:t>2</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8"/>
        </w:trPr>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Proved - Other</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63</w:t>
            </w:r>
          </w:p>
        </w:tc>
        <w:tc>
          <w:tcPr>
            <w:tcW w:w="3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Unproved - Other</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30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73</w:t>
            </w:r>
          </w:p>
        </w:tc>
        <w:tc>
          <w:tcPr>
            <w:tcW w:w="3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286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340" w:type="dxa"/>
            <w:vAlign w:val="bottom"/>
            <w:tcBorders>
              <w:bottom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r>
      <w:tr>
        <w:trPr>
          <w:trHeight w:val="190"/>
        </w:trPr>
        <w:tc>
          <w:tcPr>
            <w:tcW w:w="2860" w:type="dxa"/>
            <w:vAlign w:val="bottom"/>
            <w:tcBorders>
              <w:bottom w:val="single" w:sz="8" w:color="0077C0"/>
            </w:tcBorders>
          </w:tcPr>
          <w:p>
            <w:pPr>
              <w:ind w:left="140"/>
              <w:spacing w:after="0"/>
              <w:rPr>
                <w:sz w:val="20"/>
                <w:szCs w:val="20"/>
                <w:color w:val="auto"/>
              </w:rPr>
            </w:pPr>
            <w:r>
              <w:rPr>
                <w:rFonts w:ascii="Times New Roman" w:cs="Times New Roman" w:eastAsia="Times New Roman" w:hAnsi="Times New Roman"/>
                <w:sz w:val="14"/>
                <w:szCs w:val="14"/>
                <w:color w:val="auto"/>
              </w:rPr>
              <w:t>Total property acquisitions</w:t>
            </w:r>
          </w:p>
        </w:tc>
        <w:tc>
          <w:tcPr>
            <w:tcW w:w="26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22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30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136</w:t>
            </w:r>
          </w:p>
        </w:tc>
        <w:tc>
          <w:tcPr>
            <w:tcW w:w="340" w:type="dxa"/>
            <w:vAlign w:val="bottom"/>
            <w:tcBorders>
              <w:bottom w:val="single" w:sz="8" w:color="0077C0"/>
            </w:tcBorders>
          </w:tcPr>
          <w:p>
            <w:pPr>
              <w:spacing w:after="0"/>
              <w:rPr>
                <w:sz w:val="16"/>
                <w:szCs w:val="16"/>
                <w:color w:val="auto"/>
              </w:rPr>
            </w:pPr>
          </w:p>
        </w:tc>
        <w:tc>
          <w:tcPr>
            <w:tcW w:w="5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260" w:type="dxa"/>
            <w:vAlign w:val="bottom"/>
            <w:tcBorders>
              <w:bottom w:val="single" w:sz="8" w:color="0077C0"/>
            </w:tcBorders>
          </w:tcPr>
          <w:p>
            <w:pPr>
              <w:spacing w:after="0"/>
              <w:rPr>
                <w:sz w:val="16"/>
                <w:szCs w:val="16"/>
                <w:color w:val="auto"/>
              </w:rPr>
            </w:pPr>
          </w:p>
        </w:tc>
        <w:tc>
          <w:tcPr>
            <w:tcW w:w="300" w:type="dxa"/>
            <w:vAlign w:val="bottom"/>
            <w:tcBorders>
              <w:bottom w:val="single" w:sz="8" w:color="0077C0"/>
            </w:tcBorders>
          </w:tcPr>
          <w:p>
            <w:pPr>
              <w:spacing w:after="0"/>
              <w:rPr>
                <w:sz w:val="16"/>
                <w:szCs w:val="16"/>
                <w:color w:val="auto"/>
              </w:rPr>
            </w:pP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0077C0"/>
            </w:tcBorders>
          </w:tcPr>
          <w:p>
            <w:pPr>
              <w:spacing w:after="0"/>
              <w:rPr>
                <w:sz w:val="16"/>
                <w:szCs w:val="16"/>
                <w:color w:val="auto"/>
              </w:rPr>
            </w:pPr>
          </w:p>
        </w:tc>
        <w:tc>
          <w:tcPr>
            <w:tcW w:w="5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2860" w:type="dxa"/>
            <w:vAlign w:val="bottom"/>
          </w:tcPr>
          <w:p>
            <w:pPr>
              <w:ind w:left="20"/>
              <w:spacing w:after="0" w:line="189" w:lineRule="exact"/>
              <w:rPr>
                <w:sz w:val="20"/>
                <w:szCs w:val="20"/>
                <w:color w:val="auto"/>
              </w:rPr>
            </w:pPr>
            <w:r>
              <w:rPr>
                <w:rFonts w:ascii="Times New Roman" w:cs="Times New Roman" w:eastAsia="Times New Roman" w:hAnsi="Times New Roman"/>
                <w:sz w:val="14"/>
                <w:szCs w:val="14"/>
                <w:color w:val="auto"/>
              </w:rPr>
              <w:t>Development</w:t>
            </w:r>
            <w:r>
              <w:rPr>
                <w:rFonts w:ascii="Times New Roman" w:cs="Times New Roman" w:eastAsia="Times New Roman" w:hAnsi="Times New Roman"/>
                <w:sz w:val="18"/>
                <w:szCs w:val="18"/>
                <w:color w:val="auto"/>
                <w:vertAlign w:val="superscript"/>
              </w:rPr>
              <w:t>3</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6,221</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30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w:t>
            </w:r>
          </w:p>
        </w:tc>
        <w:tc>
          <w:tcPr>
            <w:tcW w:w="3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8,508</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2,429</w:t>
            </w:r>
          </w:p>
        </w:tc>
        <w:tc>
          <w:tcPr>
            <w:tcW w:w="3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217"/>
        </w:trPr>
        <w:tc>
          <w:tcPr>
            <w:tcW w:w="28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0077C0"/>
              </w:rPr>
              <w:t>Total Costs Incurred</w:t>
            </w:r>
            <w:r>
              <w:rPr>
                <w:rFonts w:ascii="Times New Roman" w:cs="Times New Roman" w:eastAsia="Times New Roman" w:hAnsi="Times New Roman"/>
                <w:sz w:val="18"/>
                <w:szCs w:val="18"/>
                <w:b w:val="1"/>
                <w:bCs w:val="1"/>
                <w:color w:val="0077C0"/>
                <w:vertAlign w:val="superscript"/>
              </w:rPr>
              <w:t>4</w:t>
            </w:r>
          </w:p>
        </w:tc>
        <w:tc>
          <w:tcPr>
            <w:tcW w:w="26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6,733</w:t>
            </w:r>
          </w:p>
        </w:tc>
        <w:tc>
          <w:tcPr>
            <w:tcW w:w="220" w:type="dxa"/>
            <w:vAlign w:val="bottom"/>
            <w:tcBorders>
              <w:bottom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1,125</w:t>
            </w:r>
          </w:p>
        </w:tc>
        <w:tc>
          <w:tcPr>
            <w:tcW w:w="300" w:type="dxa"/>
            <w:vAlign w:val="bottom"/>
            <w:tcBorders>
              <w:bottom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420</w:t>
            </w:r>
          </w:p>
        </w:tc>
        <w:tc>
          <w:tcPr>
            <w:tcW w:w="340" w:type="dxa"/>
            <w:vAlign w:val="bottom"/>
            <w:tcBorders>
              <w:bottom w:val="single" w:sz="8" w:color="0077C0"/>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726</w:t>
            </w:r>
          </w:p>
        </w:tc>
        <w:tc>
          <w:tcPr>
            <w:tcW w:w="22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22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8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9,792</w:t>
            </w:r>
          </w:p>
        </w:tc>
        <w:tc>
          <w:tcPr>
            <w:tcW w:w="260" w:type="dxa"/>
            <w:vAlign w:val="bottom"/>
            <w:tcBorders>
              <w:bottom w:val="single" w:sz="8" w:color="0077C0"/>
            </w:tcBorders>
          </w:tcPr>
          <w:p>
            <w:pPr>
              <w:spacing w:after="0"/>
              <w:rPr>
                <w:sz w:val="18"/>
                <w:szCs w:val="18"/>
                <w:color w:val="auto"/>
              </w:rPr>
            </w:pPr>
          </w:p>
        </w:tc>
        <w:tc>
          <w:tcPr>
            <w:tcW w:w="300" w:type="dxa"/>
            <w:vAlign w:val="bottom"/>
            <w:tcBorders>
              <w:bottom w:val="single" w:sz="8" w:color="0077C0"/>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2,429</w:t>
            </w:r>
          </w:p>
        </w:tc>
        <w:tc>
          <w:tcPr>
            <w:tcW w:w="320" w:type="dxa"/>
            <w:vAlign w:val="bottom"/>
            <w:tcBorders>
              <w:bottom w:val="single" w:sz="8" w:color="0077C0"/>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r>
    </w:tbl>
    <w:p>
      <w:pPr>
        <w:spacing w:after="0" w:line="136" w:lineRule="exact"/>
        <w:rPr>
          <w:sz w:val="20"/>
          <w:szCs w:val="20"/>
          <w:color w:val="auto"/>
        </w:rPr>
      </w:pPr>
    </w:p>
    <w:p>
      <w:pPr>
        <w:ind w:left="80" w:hanging="54"/>
        <w:spacing w:after="0"/>
        <w:tabs>
          <w:tab w:leader="none" w:pos="80" w:val="left"/>
        </w:tabs>
        <w:numPr>
          <w:ilvl w:val="0"/>
          <w:numId w:val="62"/>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 xml:space="preserve">Includes costs incurred whether capitalized or expensed. Excludes general support equipment expenditures. Includes capitalized amounts related to asset retirement obligations. See </w:t>
      </w:r>
      <w:r>
        <w:rPr>
          <w:rFonts w:ascii="Times New Roman" w:cs="Times New Roman" w:eastAsia="Times New Roman" w:hAnsi="Times New Roman"/>
          <w:sz w:val="12"/>
          <w:szCs w:val="12"/>
          <w:u w:val="single" w:color="auto"/>
          <w:color w:val="0000FF"/>
        </w:rPr>
        <w:t>Note 25 Asset Retirement Obligations</w:t>
      </w:r>
      <w:r>
        <w:rPr>
          <w:rFonts w:ascii="Times New Roman" w:cs="Times New Roman" w:eastAsia="Times New Roman" w:hAnsi="Times New Roman"/>
          <w:sz w:val="12"/>
          <w:szCs w:val="12"/>
          <w:color w:val="auto"/>
        </w:rPr>
        <w:t>.</w:t>
      </w:r>
    </w:p>
    <w:p>
      <w:pPr>
        <w:spacing w:after="0" w:line="38" w:lineRule="exact"/>
        <w:rPr>
          <w:rFonts w:ascii="Times New Roman" w:cs="Times New Roman" w:eastAsia="Times New Roman" w:hAnsi="Times New Roman"/>
          <w:sz w:val="15"/>
          <w:szCs w:val="15"/>
          <w:color w:val="auto"/>
          <w:vertAlign w:val="superscript"/>
        </w:rPr>
      </w:pPr>
    </w:p>
    <w:p>
      <w:pPr>
        <w:ind w:left="20"/>
        <w:spacing w:after="0" w:line="228" w:lineRule="auto"/>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 xml:space="preserve"> Includes wells, equipment and facilities associated with proved reserves. Does not include properties acquired in nonmonetary transactions.</w:t>
      </w:r>
    </w:p>
    <w:p>
      <w:pPr>
        <w:ind w:left="20"/>
        <w:spacing w:after="0" w:line="228" w:lineRule="auto"/>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6"/>
          <w:szCs w:val="16"/>
          <w:color w:val="auto"/>
          <w:vertAlign w:val="superscript"/>
        </w:rPr>
        <w:t>3</w:t>
      </w:r>
      <w:r>
        <w:rPr>
          <w:rFonts w:ascii="Times New Roman" w:cs="Times New Roman" w:eastAsia="Times New Roman" w:hAnsi="Times New Roman"/>
          <w:sz w:val="13"/>
          <w:szCs w:val="13"/>
          <w:color w:val="auto"/>
        </w:rPr>
        <w:t xml:space="preserve"> Includes $59, $208 and $186 of costs incurred on major capital projects prior to assignment of proved reserves for consolidated companies in 2024, 2023, and 2022, respectively.</w:t>
      </w:r>
    </w:p>
    <w:p>
      <w:pPr>
        <w:ind w:left="20"/>
        <w:spacing w:after="0" w:line="228" w:lineRule="auto"/>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6"/>
          <w:szCs w:val="16"/>
          <w:color w:val="auto"/>
          <w:vertAlign w:val="superscript"/>
        </w:rPr>
        <w:t>4</w:t>
      </w:r>
      <w:r>
        <w:rPr>
          <w:rFonts w:ascii="Times New Roman" w:cs="Times New Roman" w:eastAsia="Times New Roman" w:hAnsi="Times New Roman"/>
          <w:sz w:val="13"/>
          <w:szCs w:val="13"/>
          <w:color w:val="auto"/>
        </w:rPr>
        <w:t xml:space="preserve"> Reconciliation of consolidated companies total cost incurred to Upstream Capex - $ billions:</w:t>
      </w:r>
    </w:p>
    <w:p>
      <w:pPr>
        <w:sectPr>
          <w:pgSz w:w="11900" w:h="16838" w:orient="portrait"/>
          <w:cols w:equalWidth="0" w:num="1">
            <w:col w:w="11240"/>
          </w:cols>
          <w:pgMar w:left="320" w:top="171" w:right="339" w:bottom="1440" w:gutter="0" w:footer="0" w:header="0"/>
        </w:sectPr>
      </w:pPr>
    </w:p>
    <w:p>
      <w:pPr>
        <w:spacing w:after="0" w:line="162" w:lineRule="exact"/>
        <w:rPr>
          <w:sz w:val="20"/>
          <w:szCs w:val="20"/>
          <w:color w:val="auto"/>
        </w:rPr>
      </w:pPr>
    </w:p>
    <w:p>
      <w:pPr>
        <w:ind w:left="80" w:right="160" w:hanging="62"/>
        <w:spacing w:after="0" w:line="288" w:lineRule="auto"/>
        <w:rPr>
          <w:sz w:val="20"/>
          <w:szCs w:val="20"/>
          <w:color w:val="auto"/>
        </w:rPr>
      </w:pPr>
      <w:r>
        <w:rPr>
          <w:rFonts w:ascii="Times New Roman" w:cs="Times New Roman" w:eastAsia="Times New Roman" w:hAnsi="Times New Roman"/>
          <w:sz w:val="13"/>
          <w:szCs w:val="13"/>
          <w:color w:val="auto"/>
        </w:rPr>
        <w:t>Total cost incurred by Consolidated Companies PDC Energy, Inc. (PDC) acquisition Expensed exploration costs</w:t>
      </w:r>
    </w:p>
    <w:p>
      <w:pPr>
        <w:spacing w:after="0" w:line="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auto"/>
        </w:rPr>
        <w:t>Non-oil and gas activities</w:t>
      </w:r>
    </w:p>
    <w:p>
      <w:pPr>
        <w:spacing w:after="0" w:line="2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auto"/>
        </w:rPr>
        <w:t>ARO reduction/(build)</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Upstream Capex</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2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w w:val="92"/>
              </w:rPr>
              <w:t>2024</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w w:val="99"/>
              </w:rPr>
              <w:t>2022</w:t>
            </w:r>
          </w:p>
        </w:tc>
        <w:tc>
          <w:tcPr>
            <w:tcW w:w="2880" w:type="dxa"/>
            <w:vAlign w:val="bottom"/>
          </w:tcPr>
          <w:p>
            <w:pPr>
              <w:spacing w:after="0"/>
              <w:rPr>
                <w:sz w:val="14"/>
                <w:szCs w:val="14"/>
                <w:color w:val="auto"/>
              </w:rPr>
            </w:pPr>
          </w:p>
        </w:tc>
      </w:tr>
      <w:tr>
        <w:trPr>
          <w:trHeight w:val="159"/>
        </w:trPr>
        <w:tc>
          <w:tcPr>
            <w:tcW w:w="2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120" w:type="dxa"/>
            <w:vAlign w:val="bottom"/>
          </w:tcPr>
          <w:p>
            <w:pPr>
              <w:spacing w:after="0"/>
              <w:rPr>
                <w:sz w:val="13"/>
                <w:szCs w:val="13"/>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100" w:type="dxa"/>
            <w:vAlign w:val="bottom"/>
          </w:tcPr>
          <w:p>
            <w:pPr>
              <w:spacing w:after="0"/>
              <w:rPr>
                <w:sz w:val="13"/>
                <w:szCs w:val="13"/>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2880" w:type="dxa"/>
            <w:vAlign w:val="bottom"/>
          </w:tcPr>
          <w:p>
            <w:pPr>
              <w:spacing w:after="0"/>
              <w:rPr>
                <w:sz w:val="13"/>
                <w:szCs w:val="13"/>
                <w:color w:val="auto"/>
              </w:rPr>
            </w:pPr>
          </w:p>
        </w:tc>
      </w:tr>
      <w:tr>
        <w:trPr>
          <w:trHeight w:val="171"/>
        </w:trPr>
        <w:tc>
          <w:tcPr>
            <w:tcW w:w="26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80" w:type="dxa"/>
            <w:vAlign w:val="bottom"/>
          </w:tcPr>
          <w:p>
            <w:pPr>
              <w:spacing w:after="0"/>
              <w:rPr>
                <w:sz w:val="14"/>
                <w:szCs w:val="14"/>
                <w:color w:val="auto"/>
              </w:rPr>
            </w:pPr>
          </w:p>
        </w:tc>
      </w:tr>
      <w:tr>
        <w:trPr>
          <w:trHeight w:val="175"/>
        </w:trPr>
        <w:tc>
          <w:tcPr>
            <w:tcW w:w="260" w:type="dxa"/>
            <w:vAlign w:val="bottom"/>
          </w:tcPr>
          <w:p>
            <w:pPr>
              <w:spacing w:after="0"/>
              <w:rPr>
                <w:sz w:val="15"/>
                <w:szCs w:val="15"/>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96"/>
              </w:rPr>
              <w:t>(0.6)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(0.5)</w:t>
            </w:r>
          </w:p>
        </w:tc>
        <w:tc>
          <w:tcPr>
            <w:tcW w:w="288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5"/>
              </w:rPr>
              <w:t>(Geological and geophysical and other exploration costs)</w:t>
            </w:r>
          </w:p>
        </w:tc>
      </w:tr>
      <w:tr>
        <w:trPr>
          <w:trHeight w:val="176"/>
        </w:trPr>
        <w:tc>
          <w:tcPr>
            <w:tcW w:w="2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2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(Primarily LNG and transportation activities)</w:t>
            </w:r>
          </w:p>
        </w:tc>
      </w:tr>
      <w:tr>
        <w:trPr>
          <w:trHeight w:val="185"/>
        </w:trPr>
        <w:tc>
          <w:tcPr>
            <w:tcW w:w="2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w w:val="96"/>
              </w:rPr>
              <w:t>(0.3)</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rPr>
              <w:t>(0.3)</w:t>
            </w:r>
          </w:p>
        </w:tc>
        <w:tc>
          <w:tcPr>
            <w:tcW w:w="2880" w:type="dxa"/>
            <w:vAlign w:val="bottom"/>
          </w:tcPr>
          <w:p>
            <w:pPr>
              <w:spacing w:after="0"/>
              <w:rPr>
                <w:sz w:val="16"/>
                <w:szCs w:val="16"/>
                <w:color w:val="auto"/>
              </w:rPr>
            </w:pPr>
          </w:p>
        </w:tc>
      </w:tr>
      <w:tr>
        <w:trPr>
          <w:trHeight w:val="164"/>
        </w:trPr>
        <w:tc>
          <w:tcPr>
            <w:tcW w:w="2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12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2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Reference page 50 Upstream Capex</w:t>
            </w:r>
          </w:p>
        </w:tc>
      </w:tr>
    </w:tbl>
    <w:p>
      <w:pPr>
        <w:spacing w:after="0" w:line="200" w:lineRule="exact"/>
        <w:rPr>
          <w:sz w:val="20"/>
          <w:szCs w:val="20"/>
          <w:color w:val="auto"/>
        </w:rPr>
      </w:pPr>
    </w:p>
    <w:p>
      <w:pPr>
        <w:sectPr>
          <w:pgSz w:w="11900" w:h="16838" w:orient="portrait"/>
          <w:cols w:equalWidth="0" w:num="2">
            <w:col w:w="2580" w:space="720"/>
            <w:col w:w="7940"/>
          </w:cols>
          <w:pgMar w:left="320" w:top="171" w:right="339" w:bottom="1440" w:gutter="0" w:footer="0" w:header="0"/>
          <w:type w:val="continuous"/>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105" w:name="page106"/>
    <w:bookmarkEnd w:id="105"/>
    <w:p>
      <w:pPr>
        <w:ind w:left="20"/>
        <w:spacing w:after="0"/>
        <w:tabs>
          <w:tab w:leader="none" w:pos="9460" w:val="left"/>
        </w:tabs>
        <w:rPr>
          <w:sz w:val="20"/>
          <w:szCs w:val="20"/>
          <w:color w:val="auto"/>
        </w:rPr>
      </w:pPr>
      <w:r>
        <w:rPr>
          <w:rFonts w:ascii="Arial" w:cs="Arial" w:eastAsia="Arial" w:hAnsi="Arial"/>
          <w:sz w:val="14"/>
          <w:szCs w:val="14"/>
          <w:color w:val="0077C0"/>
        </w:rPr>
        <w:t>Supplemental Information on Oil and Gas Producing Activities - Unaudited</w:t>
      </w:r>
      <w:r>
        <w:rPr>
          <w:sz w:val="20"/>
          <w:szCs w:val="20"/>
          <w:color w:val="auto"/>
        </w:rPr>
        <w:tab/>
      </w:r>
      <w:r>
        <w:rPr>
          <w:rFonts w:ascii="Arial" w:cs="Arial" w:eastAsia="Arial" w:hAnsi="Arial"/>
          <w:sz w:val="14"/>
          <w:szCs w:val="14"/>
          <w:color w:val="0077C0"/>
        </w:rPr>
        <w:t>Financial 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 xml:space="preserve">proved reserves, and changes in estimated discounted future net cash flows. The amounts for consolidated companies are organized by geographic areas including the United States, Other Americas, Africa, Asia, Australia/Oceania and Europe. Amounts for affiliated companies include Chevron’s equity interests in Tengizchevroil (TCO) in the Republic of Kazakhstan and in other affiliates, principally in Angola. Refer to </w:t>
      </w:r>
      <w:r>
        <w:rPr>
          <w:rFonts w:ascii="Times New Roman" w:cs="Times New Roman" w:eastAsia="Times New Roman" w:hAnsi="Times New Roman"/>
          <w:sz w:val="18"/>
          <w:szCs w:val="18"/>
          <w:u w:val="single" w:color="auto"/>
          <w:color w:val="0000FF"/>
        </w:rPr>
        <w:t>Note 15 Investments and Advances</w:t>
      </w:r>
      <w:r>
        <w:rPr>
          <w:rFonts w:ascii="Times New Roman" w:cs="Times New Roman" w:eastAsia="Times New Roman" w:hAnsi="Times New Roman"/>
          <w:sz w:val="18"/>
          <w:szCs w:val="18"/>
          <w:color w:val="auto"/>
        </w:rPr>
        <w:t xml:space="preserve"> for a discussion of the company’s major equity affiliates.</w:t>
      </w:r>
    </w:p>
    <w:p>
      <w:pPr>
        <w:spacing w:after="0" w:line="3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77C0"/>
        </w:rPr>
        <w:t>Table II - Capitalized Costs Related to Oil and Gas Producing Activities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color w:val="auto"/>
              </w:rPr>
              <w:t>Consolidated Companies</w:t>
            </w:r>
          </w:p>
        </w:tc>
        <w:tc>
          <w:tcPr>
            <w:tcW w:w="26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Affiliated Companies</w:t>
            </w:r>
          </w:p>
        </w:tc>
        <w:tc>
          <w:tcPr>
            <w:tcW w:w="0" w:type="dxa"/>
            <w:vAlign w:val="bottom"/>
          </w:tcPr>
          <w:p>
            <w:pPr>
              <w:spacing w:after="0"/>
              <w:rPr>
                <w:sz w:val="1"/>
                <w:szCs w:val="1"/>
                <w:color w:val="auto"/>
              </w:rPr>
            </w:pPr>
          </w:p>
        </w:tc>
      </w:tr>
      <w:tr>
        <w:trPr>
          <w:trHeight w:val="186"/>
        </w:trPr>
        <w:tc>
          <w:tcPr>
            <w:tcW w:w="2860" w:type="dxa"/>
            <w:vAlign w:val="bottom"/>
          </w:tcPr>
          <w:p>
            <w:pPr>
              <w:spacing w:after="0"/>
              <w:rPr>
                <w:sz w:val="16"/>
                <w:szCs w:val="16"/>
                <w:color w:val="auto"/>
              </w:rPr>
            </w:pPr>
          </w:p>
        </w:tc>
        <w:tc>
          <w:tcPr>
            <w:tcW w:w="220" w:type="dxa"/>
            <w:vAlign w:val="bottom"/>
            <w:tcBorders>
              <w:top w:val="single" w:sz="8" w:color="0077C0"/>
            </w:tcBorders>
          </w:tcPr>
          <w:p>
            <w:pPr>
              <w:spacing w:after="0"/>
              <w:rPr>
                <w:sz w:val="16"/>
                <w:szCs w:val="16"/>
                <w:color w:val="auto"/>
              </w:rPr>
            </w:pPr>
          </w:p>
        </w:tc>
        <w:tc>
          <w:tcPr>
            <w:tcW w:w="680" w:type="dxa"/>
            <w:vAlign w:val="bottom"/>
            <w:tcBorders>
              <w:top w:val="single" w:sz="8" w:color="0077C0"/>
            </w:tcBorders>
          </w:tcPr>
          <w:p>
            <w:pPr>
              <w:spacing w:after="0"/>
              <w:rPr>
                <w:sz w:val="16"/>
                <w:szCs w:val="16"/>
                <w:color w:val="auto"/>
              </w:rPr>
            </w:pPr>
          </w:p>
        </w:tc>
        <w:tc>
          <w:tcPr>
            <w:tcW w:w="200" w:type="dxa"/>
            <w:vAlign w:val="bottom"/>
            <w:tcBorders>
              <w:top w:val="single" w:sz="8" w:color="0077C0"/>
            </w:tcBorders>
          </w:tcPr>
          <w:p>
            <w:pPr>
              <w:spacing w:after="0"/>
              <w:rPr>
                <w:sz w:val="16"/>
                <w:szCs w:val="16"/>
                <w:color w:val="auto"/>
              </w:rPr>
            </w:pPr>
          </w:p>
        </w:tc>
        <w:tc>
          <w:tcPr>
            <w:tcW w:w="700" w:type="dxa"/>
            <w:vAlign w:val="bottom"/>
            <w:tcBorders>
              <w:top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top w:val="single" w:sz="8" w:color="0077C0"/>
            </w:tcBorders>
          </w:tcPr>
          <w:p>
            <w:pPr>
              <w:spacing w:after="0"/>
              <w:rPr>
                <w:sz w:val="16"/>
                <w:szCs w:val="16"/>
                <w:color w:val="auto"/>
              </w:rPr>
            </w:pPr>
          </w:p>
        </w:tc>
        <w:tc>
          <w:tcPr>
            <w:tcW w:w="640" w:type="dxa"/>
            <w:vAlign w:val="bottom"/>
            <w:tcBorders>
              <w:top w:val="single" w:sz="8" w:color="0077C0"/>
            </w:tcBorders>
          </w:tcPr>
          <w:p>
            <w:pPr>
              <w:spacing w:after="0"/>
              <w:rPr>
                <w:sz w:val="16"/>
                <w:szCs w:val="16"/>
                <w:color w:val="auto"/>
              </w:rPr>
            </w:pPr>
          </w:p>
        </w:tc>
        <w:tc>
          <w:tcPr>
            <w:tcW w:w="260" w:type="dxa"/>
            <w:vAlign w:val="bottom"/>
            <w:tcBorders>
              <w:top w:val="single" w:sz="8" w:color="0077C0"/>
            </w:tcBorders>
          </w:tcPr>
          <w:p>
            <w:pPr>
              <w:spacing w:after="0"/>
              <w:rPr>
                <w:sz w:val="16"/>
                <w:szCs w:val="16"/>
                <w:color w:val="auto"/>
              </w:rPr>
            </w:pPr>
          </w:p>
        </w:tc>
        <w:tc>
          <w:tcPr>
            <w:tcW w:w="640" w:type="dxa"/>
            <w:vAlign w:val="bottom"/>
            <w:tcBorders>
              <w:top w:val="single" w:sz="8" w:color="0077C0"/>
            </w:tcBorders>
          </w:tcPr>
          <w:p>
            <w:pPr>
              <w:spacing w:after="0"/>
              <w:rPr>
                <w:sz w:val="16"/>
                <w:szCs w:val="16"/>
                <w:color w:val="auto"/>
              </w:rPr>
            </w:pPr>
          </w:p>
        </w:tc>
        <w:tc>
          <w:tcPr>
            <w:tcW w:w="220" w:type="dxa"/>
            <w:vAlign w:val="bottom"/>
            <w:tcBorders>
              <w:top w:val="single" w:sz="8" w:color="0077C0"/>
            </w:tcBorders>
          </w:tcPr>
          <w:p>
            <w:pPr>
              <w:spacing w:after="0"/>
              <w:rPr>
                <w:sz w:val="16"/>
                <w:szCs w:val="16"/>
                <w:color w:val="auto"/>
              </w:rPr>
            </w:pPr>
          </w:p>
        </w:tc>
        <w:tc>
          <w:tcPr>
            <w:tcW w:w="680" w:type="dxa"/>
            <w:vAlign w:val="bottom"/>
            <w:tcBorders>
              <w:top w:val="single" w:sz="8" w:color="0077C0"/>
            </w:tcBorders>
          </w:tcPr>
          <w:p>
            <w:pPr>
              <w:spacing w:after="0"/>
              <w:rPr>
                <w:sz w:val="16"/>
                <w:szCs w:val="16"/>
                <w:color w:val="auto"/>
              </w:rPr>
            </w:pPr>
          </w:p>
        </w:tc>
        <w:tc>
          <w:tcPr>
            <w:tcW w:w="220" w:type="dxa"/>
            <w:vAlign w:val="bottom"/>
            <w:tcBorders>
              <w:top w:val="single" w:sz="8" w:color="0077C0"/>
            </w:tcBorders>
          </w:tcPr>
          <w:p>
            <w:pPr>
              <w:spacing w:after="0"/>
              <w:rPr>
                <w:sz w:val="16"/>
                <w:szCs w:val="16"/>
                <w:color w:val="auto"/>
              </w:rPr>
            </w:pPr>
          </w:p>
        </w:tc>
        <w:tc>
          <w:tcPr>
            <w:tcW w:w="680" w:type="dxa"/>
            <w:vAlign w:val="bottom"/>
            <w:tcBorders>
              <w:top w:val="single" w:sz="8" w:color="0077C0"/>
            </w:tcBorders>
          </w:tcPr>
          <w:p>
            <w:pPr>
              <w:spacing w:after="0"/>
              <w:rPr>
                <w:sz w:val="16"/>
                <w:szCs w:val="16"/>
                <w:color w:val="auto"/>
              </w:rPr>
            </w:pPr>
          </w:p>
        </w:tc>
        <w:tc>
          <w:tcPr>
            <w:tcW w:w="220" w:type="dxa"/>
            <w:vAlign w:val="bottom"/>
            <w:tcBorders>
              <w:top w:val="single" w:sz="8" w:color="0077C0"/>
            </w:tcBorders>
          </w:tcPr>
          <w:p>
            <w:pPr>
              <w:spacing w:after="0"/>
              <w:rPr>
                <w:sz w:val="16"/>
                <w:szCs w:val="16"/>
                <w:color w:val="auto"/>
              </w:rPr>
            </w:pPr>
          </w:p>
        </w:tc>
        <w:tc>
          <w:tcPr>
            <w:tcW w:w="680" w:type="dxa"/>
            <w:vAlign w:val="bottom"/>
            <w:tcBorders>
              <w:top w:val="single" w:sz="8" w:color="0077C0"/>
            </w:tcBorders>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Borders>
              <w:top w:val="single" w:sz="8" w:color="0077C0"/>
            </w:tcBorders>
          </w:tcPr>
          <w:p>
            <w:pPr>
              <w:spacing w:after="0"/>
              <w:rPr>
                <w:sz w:val="16"/>
                <w:szCs w:val="16"/>
                <w:color w:val="auto"/>
              </w:rPr>
            </w:pPr>
          </w:p>
        </w:tc>
        <w:tc>
          <w:tcPr>
            <w:tcW w:w="640" w:type="dxa"/>
            <w:vAlign w:val="bottom"/>
            <w:tcBorders>
              <w:top w:val="single" w:sz="8" w:color="0077C0"/>
            </w:tcBorders>
          </w:tcPr>
          <w:p>
            <w:pPr>
              <w:spacing w:after="0"/>
              <w:rPr>
                <w:sz w:val="16"/>
                <w:szCs w:val="16"/>
                <w:color w:val="auto"/>
              </w:rPr>
            </w:pPr>
          </w:p>
        </w:tc>
        <w:tc>
          <w:tcPr>
            <w:tcW w:w="300" w:type="dxa"/>
            <w:vAlign w:val="bottom"/>
            <w:tcBorders>
              <w:top w:val="single" w:sz="8" w:color="0077C0"/>
            </w:tcBorders>
          </w:tcPr>
          <w:p>
            <w:pPr>
              <w:spacing w:after="0"/>
              <w:rPr>
                <w:sz w:val="16"/>
                <w:szCs w:val="16"/>
                <w:color w:val="auto"/>
              </w:rPr>
            </w:pPr>
          </w:p>
        </w:tc>
        <w:tc>
          <w:tcPr>
            <w:tcW w:w="600" w:type="dxa"/>
            <w:vAlign w:val="bottom"/>
            <w:tcBorders>
              <w:top w:val="single" w:sz="8" w:color="0077C0"/>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U.S.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Americas</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Africa</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Asia</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Australia</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Europe</w:t>
            </w:r>
          </w:p>
        </w:tc>
        <w:tc>
          <w:tcPr>
            <w:tcW w:w="220" w:type="dxa"/>
            <w:vAlign w:val="bottom"/>
          </w:tcPr>
          <w:p>
            <w:pPr>
              <w:spacing w:after="0"/>
              <w:rPr>
                <w:sz w:val="16"/>
                <w:szCs w:val="16"/>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TCO</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Other</w:t>
            </w:r>
          </w:p>
        </w:tc>
        <w:tc>
          <w:tcPr>
            <w:tcW w:w="0" w:type="dxa"/>
            <w:vAlign w:val="bottom"/>
          </w:tcPr>
          <w:p>
            <w:pPr>
              <w:spacing w:after="0"/>
              <w:rPr>
                <w:sz w:val="1"/>
                <w:szCs w:val="1"/>
                <w:color w:val="auto"/>
              </w:rPr>
            </w:pPr>
          </w:p>
        </w:tc>
      </w:tr>
      <w:tr>
        <w:trPr>
          <w:trHeight w:val="23"/>
        </w:trPr>
        <w:tc>
          <w:tcPr>
            <w:tcW w:w="286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0077C0"/>
              </w:rPr>
              <w:t>At December 31, 2024</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Unproved properties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2,473</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1,545</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287</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536</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1,882</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6,723</w:t>
            </w:r>
          </w:p>
        </w:tc>
        <w:tc>
          <w:tcPr>
            <w:tcW w:w="2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108</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Proved properties and</w:t>
            </w:r>
          </w:p>
        </w:tc>
        <w:tc>
          <w:tcPr>
            <w:tcW w:w="2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109,147</w:t>
            </w:r>
          </w:p>
        </w:tc>
        <w:tc>
          <w:tcPr>
            <w:tcW w:w="200" w:type="dxa"/>
            <w:vAlign w:val="bottom"/>
          </w:tcPr>
          <w:p>
            <w:pPr>
              <w:spacing w:after="0"/>
              <w:rPr>
                <w:sz w:val="14"/>
                <w:szCs w:val="14"/>
                <w:color w:val="auto"/>
              </w:rPr>
            </w:pPr>
          </w:p>
        </w:tc>
        <w:tc>
          <w:tcPr>
            <w:tcW w:w="7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15,739</w:t>
            </w:r>
          </w:p>
        </w:tc>
        <w:tc>
          <w:tcPr>
            <w:tcW w:w="2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48,391</w:t>
            </w:r>
          </w:p>
        </w:tc>
        <w:tc>
          <w:tcPr>
            <w:tcW w:w="2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29,265</w:t>
            </w:r>
          </w:p>
        </w:tc>
        <w:tc>
          <w:tcPr>
            <w:tcW w:w="220" w:type="dxa"/>
            <w:vAlign w:val="bottom"/>
          </w:tcPr>
          <w:p>
            <w:pPr>
              <w:spacing w:after="0"/>
              <w:rPr>
                <w:sz w:val="14"/>
                <w:szCs w:val="14"/>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24,310</w:t>
            </w:r>
          </w:p>
        </w:tc>
        <w:tc>
          <w:tcPr>
            <w:tcW w:w="2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2,283</w:t>
            </w:r>
          </w:p>
        </w:tc>
        <w:tc>
          <w:tcPr>
            <w:tcW w:w="2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229,135</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35,374</w:t>
            </w:r>
          </w:p>
        </w:tc>
        <w:tc>
          <w:tcPr>
            <w:tcW w:w="30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1,612</w:t>
            </w:r>
          </w:p>
        </w:tc>
        <w:tc>
          <w:tcPr>
            <w:tcW w:w="0" w:type="dxa"/>
            <w:vAlign w:val="bottom"/>
          </w:tcPr>
          <w:p>
            <w:pPr>
              <w:spacing w:after="0"/>
              <w:rPr>
                <w:sz w:val="1"/>
                <w:szCs w:val="1"/>
                <w:color w:val="auto"/>
              </w:rPr>
            </w:pPr>
          </w:p>
        </w:tc>
      </w:tr>
      <w:tr>
        <w:trPr>
          <w:trHeight w:val="187"/>
        </w:trPr>
        <w:tc>
          <w:tcPr>
            <w:tcW w:w="2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related producing assets</w:t>
            </w: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Support equipment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2,075</w:t>
            </w: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213</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1,565</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698</w:t>
            </w:r>
          </w:p>
        </w:tc>
        <w:tc>
          <w:tcPr>
            <w:tcW w:w="22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19,134</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23,685</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733</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exploratory wells</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w:t>
            </w:r>
          </w:p>
        </w:tc>
        <w:tc>
          <w:tcPr>
            <w:tcW w:w="20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69</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204</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179</w:t>
            </w:r>
          </w:p>
        </w:tc>
        <w:tc>
          <w:tcPr>
            <w:tcW w:w="22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1,119</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74</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1,662</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uncompleted projects</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8,918</w:t>
            </w:r>
          </w:p>
        </w:tc>
        <w:tc>
          <w:tcPr>
            <w:tcW w:w="20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650</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1,756</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1,040</w:t>
            </w:r>
          </w:p>
        </w:tc>
        <w:tc>
          <w:tcPr>
            <w:tcW w:w="22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1,814</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69</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14,247</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4,634</w:t>
            </w: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286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0077C0"/>
              </w:rPr>
              <w:t>Gross Capitalized Costs</w:t>
            </w:r>
          </w:p>
        </w:tc>
        <w:tc>
          <w:tcPr>
            <w:tcW w:w="22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122,630</w:t>
            </w:r>
          </w:p>
        </w:tc>
        <w:tc>
          <w:tcPr>
            <w:tcW w:w="200" w:type="dxa"/>
            <w:vAlign w:val="bottom"/>
            <w:tcBorders>
              <w:bottom w:val="single" w:sz="8" w:color="0077C0"/>
            </w:tcBorders>
          </w:tcPr>
          <w:p>
            <w:pPr>
              <w:spacing w:after="0"/>
              <w:rPr>
                <w:sz w:val="16"/>
                <w:szCs w:val="16"/>
                <w:color w:val="auto"/>
              </w:rPr>
            </w:pPr>
          </w:p>
        </w:tc>
        <w:tc>
          <w:tcPr>
            <w:tcW w:w="70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18,216</w:t>
            </w:r>
          </w:p>
        </w:tc>
        <w:tc>
          <w:tcPr>
            <w:tcW w:w="26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52,203</w:t>
            </w:r>
          </w:p>
        </w:tc>
        <w:tc>
          <w:tcPr>
            <w:tcW w:w="26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31,718</w:t>
            </w:r>
          </w:p>
        </w:tc>
        <w:tc>
          <w:tcPr>
            <w:tcW w:w="22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48,259</w:t>
            </w:r>
          </w:p>
        </w:tc>
        <w:tc>
          <w:tcPr>
            <w:tcW w:w="22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2,426</w:t>
            </w:r>
          </w:p>
        </w:tc>
        <w:tc>
          <w:tcPr>
            <w:tcW w:w="22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275,452</w:t>
            </w:r>
          </w:p>
        </w:tc>
        <w:tc>
          <w:tcPr>
            <w:tcW w:w="280" w:type="dxa"/>
            <w:vAlign w:val="bottom"/>
            <w:tcBorders>
              <w:bottom w:val="single" w:sz="8" w:color="0077C0"/>
            </w:tcBorders>
          </w:tcPr>
          <w:p>
            <w:pPr>
              <w:spacing w:after="0"/>
              <w:rPr>
                <w:sz w:val="16"/>
                <w:szCs w:val="16"/>
                <w:color w:val="auto"/>
              </w:rPr>
            </w:pPr>
          </w:p>
        </w:tc>
        <w:tc>
          <w:tcPr>
            <w:tcW w:w="26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40,849</w:t>
            </w:r>
          </w:p>
        </w:tc>
        <w:tc>
          <w:tcPr>
            <w:tcW w:w="300" w:type="dxa"/>
            <w:vAlign w:val="bottom"/>
            <w:tcBorders>
              <w:bottom w:val="single" w:sz="8" w:color="0077C0"/>
            </w:tcBorders>
          </w:tcPr>
          <w:p>
            <w:pPr>
              <w:spacing w:after="0"/>
              <w:rPr>
                <w:sz w:val="16"/>
                <w:szCs w:val="16"/>
                <w:color w:val="auto"/>
              </w:rPr>
            </w:pP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1,612</w:t>
            </w:r>
          </w:p>
        </w:tc>
        <w:tc>
          <w:tcPr>
            <w:tcW w:w="0" w:type="dxa"/>
            <w:vAlign w:val="bottom"/>
          </w:tcPr>
          <w:p>
            <w:pPr>
              <w:spacing w:after="0"/>
              <w:rPr>
                <w:sz w:val="1"/>
                <w:szCs w:val="1"/>
                <w:color w:val="auto"/>
              </w:rPr>
            </w:pPr>
          </w:p>
        </w:tc>
      </w:tr>
      <w:tr>
        <w:trPr>
          <w:trHeight w:val="190"/>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Unproved properties valuation</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119</w:t>
            </w: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1,119</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213</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533</w:t>
            </w:r>
          </w:p>
        </w:tc>
        <w:tc>
          <w:tcPr>
            <w:tcW w:w="22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1,989</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80</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2"/>
        </w:trPr>
        <w:tc>
          <w:tcPr>
            <w:tcW w:w="2860" w:type="dxa"/>
            <w:vAlign w:val="bottom"/>
          </w:tcPr>
          <w:p>
            <w:pPr>
              <w:ind w:left="20"/>
              <w:spacing w:after="0" w:line="151" w:lineRule="exact"/>
              <w:rPr>
                <w:sz w:val="20"/>
                <w:szCs w:val="20"/>
                <w:color w:val="auto"/>
              </w:rPr>
            </w:pPr>
            <w:r>
              <w:rPr>
                <w:rFonts w:ascii="Times New Roman" w:cs="Times New Roman" w:eastAsia="Times New Roman" w:hAnsi="Times New Roman"/>
                <w:sz w:val="14"/>
                <w:szCs w:val="14"/>
                <w:color w:val="auto"/>
              </w:rPr>
              <w:t>Proved producing properties – Depreciation and</w:t>
            </w:r>
          </w:p>
        </w:tc>
        <w:tc>
          <w:tcPr>
            <w:tcW w:w="2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69,545</w:t>
            </w:r>
          </w:p>
        </w:tc>
        <w:tc>
          <w:tcPr>
            <w:tcW w:w="200" w:type="dxa"/>
            <w:vAlign w:val="bottom"/>
          </w:tcPr>
          <w:p>
            <w:pPr>
              <w:spacing w:after="0"/>
              <w:rPr>
                <w:sz w:val="13"/>
                <w:szCs w:val="13"/>
                <w:color w:val="auto"/>
              </w:rPr>
            </w:pPr>
          </w:p>
        </w:tc>
        <w:tc>
          <w:tcPr>
            <w:tcW w:w="7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10,314</w:t>
            </w:r>
          </w:p>
        </w:tc>
        <w:tc>
          <w:tcPr>
            <w:tcW w:w="2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41,485</w:t>
            </w:r>
          </w:p>
        </w:tc>
        <w:tc>
          <w:tcPr>
            <w:tcW w:w="2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18,251</w:t>
            </w:r>
          </w:p>
        </w:tc>
        <w:tc>
          <w:tcPr>
            <w:tcW w:w="220" w:type="dxa"/>
            <w:vAlign w:val="bottom"/>
          </w:tcPr>
          <w:p>
            <w:pPr>
              <w:spacing w:after="0"/>
              <w:rPr>
                <w:sz w:val="13"/>
                <w:szCs w:val="13"/>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14,038</w:t>
            </w:r>
          </w:p>
        </w:tc>
        <w:tc>
          <w:tcPr>
            <w:tcW w:w="2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956</w:t>
            </w:r>
          </w:p>
        </w:tc>
        <w:tc>
          <w:tcPr>
            <w:tcW w:w="2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154,589</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11,441</w:t>
            </w:r>
          </w:p>
        </w:tc>
        <w:tc>
          <w:tcPr>
            <w:tcW w:w="30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1,014</w:t>
            </w:r>
          </w:p>
        </w:tc>
        <w:tc>
          <w:tcPr>
            <w:tcW w:w="0" w:type="dxa"/>
            <w:vAlign w:val="bottom"/>
          </w:tcPr>
          <w:p>
            <w:pPr>
              <w:spacing w:after="0"/>
              <w:rPr>
                <w:sz w:val="1"/>
                <w:szCs w:val="1"/>
                <w:color w:val="auto"/>
              </w:rPr>
            </w:pPr>
          </w:p>
        </w:tc>
      </w:tr>
      <w:tr>
        <w:trPr>
          <w:trHeight w:val="187"/>
        </w:trPr>
        <w:tc>
          <w:tcPr>
            <w:tcW w:w="2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depletion</w:t>
            </w: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Support equipment depreciation</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1,265</w:t>
            </w: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152</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1,231</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556</w:t>
            </w:r>
          </w:p>
        </w:tc>
        <w:tc>
          <w:tcPr>
            <w:tcW w:w="22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6,375</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9,579</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535</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286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color w:val="auto"/>
              </w:rPr>
              <w:t>Accumulated provisions</w:t>
            </w:r>
          </w:p>
        </w:tc>
        <w:tc>
          <w:tcPr>
            <w:tcW w:w="22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70,929</w:t>
            </w:r>
          </w:p>
        </w:tc>
        <w:tc>
          <w:tcPr>
            <w:tcW w:w="200" w:type="dxa"/>
            <w:vAlign w:val="bottom"/>
            <w:tcBorders>
              <w:bottom w:val="single" w:sz="8" w:color="0077C0"/>
            </w:tcBorders>
          </w:tcPr>
          <w:p>
            <w:pPr>
              <w:spacing w:after="0"/>
              <w:rPr>
                <w:sz w:val="16"/>
                <w:szCs w:val="16"/>
                <w:color w:val="auto"/>
              </w:rPr>
            </w:pPr>
          </w:p>
        </w:tc>
        <w:tc>
          <w:tcPr>
            <w:tcW w:w="70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11,585</w:t>
            </w:r>
          </w:p>
        </w:tc>
        <w:tc>
          <w:tcPr>
            <w:tcW w:w="26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42,929</w:t>
            </w:r>
          </w:p>
        </w:tc>
        <w:tc>
          <w:tcPr>
            <w:tcW w:w="26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19,340</w:t>
            </w:r>
          </w:p>
        </w:tc>
        <w:tc>
          <w:tcPr>
            <w:tcW w:w="22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20,418</w:t>
            </w:r>
          </w:p>
        </w:tc>
        <w:tc>
          <w:tcPr>
            <w:tcW w:w="22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956</w:t>
            </w:r>
          </w:p>
        </w:tc>
        <w:tc>
          <w:tcPr>
            <w:tcW w:w="22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166,157</w:t>
            </w:r>
          </w:p>
        </w:tc>
        <w:tc>
          <w:tcPr>
            <w:tcW w:w="280" w:type="dxa"/>
            <w:vAlign w:val="bottom"/>
            <w:tcBorders>
              <w:bottom w:val="single" w:sz="8" w:color="0077C0"/>
            </w:tcBorders>
          </w:tcPr>
          <w:p>
            <w:pPr>
              <w:spacing w:after="0"/>
              <w:rPr>
                <w:sz w:val="16"/>
                <w:szCs w:val="16"/>
                <w:color w:val="auto"/>
              </w:rPr>
            </w:pPr>
          </w:p>
        </w:tc>
        <w:tc>
          <w:tcPr>
            <w:tcW w:w="26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12,056</w:t>
            </w:r>
          </w:p>
        </w:tc>
        <w:tc>
          <w:tcPr>
            <w:tcW w:w="300" w:type="dxa"/>
            <w:vAlign w:val="bottom"/>
            <w:tcBorders>
              <w:bottom w:val="single" w:sz="8" w:color="0077C0"/>
            </w:tcBorders>
          </w:tcPr>
          <w:p>
            <w:pPr>
              <w:spacing w:after="0"/>
              <w:rPr>
                <w:sz w:val="16"/>
                <w:szCs w:val="16"/>
                <w:color w:val="auto"/>
              </w:rPr>
            </w:pP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1,014</w:t>
            </w:r>
          </w:p>
        </w:tc>
        <w:tc>
          <w:tcPr>
            <w:tcW w:w="0" w:type="dxa"/>
            <w:vAlign w:val="bottom"/>
          </w:tcPr>
          <w:p>
            <w:pPr>
              <w:spacing w:after="0"/>
              <w:rPr>
                <w:sz w:val="1"/>
                <w:szCs w:val="1"/>
                <w:color w:val="auto"/>
              </w:rPr>
            </w:pPr>
          </w:p>
        </w:tc>
      </w:tr>
      <w:tr>
        <w:trPr>
          <w:trHeight w:val="196"/>
        </w:trPr>
        <w:tc>
          <w:tcPr>
            <w:tcW w:w="28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0077C0"/>
              </w:rPr>
              <w:t>Net Capitalized Costs</w:t>
            </w:r>
          </w:p>
        </w:tc>
        <w:tc>
          <w:tcPr>
            <w:tcW w:w="22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51,701</w:t>
            </w:r>
          </w:p>
        </w:tc>
        <w:tc>
          <w:tcPr>
            <w:tcW w:w="20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6,631</w:t>
            </w:r>
          </w:p>
        </w:tc>
        <w:tc>
          <w:tcPr>
            <w:tcW w:w="26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9,274</w:t>
            </w:r>
          </w:p>
        </w:tc>
        <w:tc>
          <w:tcPr>
            <w:tcW w:w="26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12,378</w:t>
            </w:r>
          </w:p>
        </w:tc>
        <w:tc>
          <w:tcPr>
            <w:tcW w:w="220" w:type="dxa"/>
            <w:vAlign w:val="bottom"/>
            <w:tcBorders>
              <w:bottom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27,841</w:t>
            </w:r>
          </w:p>
        </w:tc>
        <w:tc>
          <w:tcPr>
            <w:tcW w:w="22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1,470</w:t>
            </w:r>
          </w:p>
        </w:tc>
        <w:tc>
          <w:tcPr>
            <w:tcW w:w="22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109,295</w:t>
            </w:r>
          </w:p>
        </w:tc>
        <w:tc>
          <w:tcPr>
            <w:tcW w:w="280" w:type="dxa"/>
            <w:vAlign w:val="bottom"/>
            <w:tcBorders>
              <w:bottom w:val="single" w:sz="8" w:color="0077C0"/>
            </w:tcBorders>
          </w:tcPr>
          <w:p>
            <w:pPr>
              <w:spacing w:after="0"/>
              <w:rPr>
                <w:sz w:val="17"/>
                <w:szCs w:val="17"/>
                <w:color w:val="auto"/>
              </w:rPr>
            </w:pPr>
          </w:p>
        </w:tc>
        <w:tc>
          <w:tcPr>
            <w:tcW w:w="260" w:type="dxa"/>
            <w:vAlign w:val="bottom"/>
            <w:tcBorders>
              <w:bottom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28,793</w:t>
            </w:r>
          </w:p>
        </w:tc>
        <w:tc>
          <w:tcPr>
            <w:tcW w:w="300" w:type="dxa"/>
            <w:vAlign w:val="bottom"/>
            <w:tcBorders>
              <w:bottom w:val="single" w:sz="8" w:color="0077C0"/>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598</w:t>
            </w:r>
          </w:p>
        </w:tc>
        <w:tc>
          <w:tcPr>
            <w:tcW w:w="0" w:type="dxa"/>
            <w:vAlign w:val="bottom"/>
          </w:tcPr>
          <w:p>
            <w:pPr>
              <w:spacing w:after="0"/>
              <w:rPr>
                <w:sz w:val="1"/>
                <w:szCs w:val="1"/>
                <w:color w:val="auto"/>
              </w:rPr>
            </w:pPr>
          </w:p>
        </w:tc>
      </w:tr>
      <w:tr>
        <w:trPr>
          <w:trHeight w:val="190"/>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0077C0"/>
              </w:rPr>
              <w:t>At December 31, 2023</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Unproved properties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2,541</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1,666</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1,882</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6,890</w:t>
            </w:r>
          </w:p>
        </w:tc>
        <w:tc>
          <w:tcPr>
            <w:tcW w:w="2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Proved properties and</w:t>
            </w:r>
          </w:p>
        </w:tc>
        <w:tc>
          <w:tcPr>
            <w:tcW w:w="2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100,680</w:t>
            </w:r>
          </w:p>
        </w:tc>
        <w:tc>
          <w:tcPr>
            <w:tcW w:w="200" w:type="dxa"/>
            <w:vAlign w:val="bottom"/>
          </w:tcPr>
          <w:p>
            <w:pPr>
              <w:spacing w:after="0"/>
              <w:rPr>
                <w:sz w:val="14"/>
                <w:szCs w:val="14"/>
                <w:color w:val="auto"/>
              </w:rPr>
            </w:pPr>
          </w:p>
        </w:tc>
        <w:tc>
          <w:tcPr>
            <w:tcW w:w="7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23,867</w:t>
            </w:r>
          </w:p>
        </w:tc>
        <w:tc>
          <w:tcPr>
            <w:tcW w:w="2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47,635</w:t>
            </w:r>
          </w:p>
        </w:tc>
        <w:tc>
          <w:tcPr>
            <w:tcW w:w="2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30,387</w:t>
            </w:r>
          </w:p>
        </w:tc>
        <w:tc>
          <w:tcPr>
            <w:tcW w:w="220" w:type="dxa"/>
            <w:vAlign w:val="bottom"/>
          </w:tcPr>
          <w:p>
            <w:pPr>
              <w:spacing w:after="0"/>
              <w:rPr>
                <w:sz w:val="14"/>
                <w:szCs w:val="14"/>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23,842</w:t>
            </w:r>
          </w:p>
        </w:tc>
        <w:tc>
          <w:tcPr>
            <w:tcW w:w="2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2,228</w:t>
            </w:r>
          </w:p>
        </w:tc>
        <w:tc>
          <w:tcPr>
            <w:tcW w:w="2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228,639</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23,139</w:t>
            </w:r>
          </w:p>
        </w:tc>
        <w:tc>
          <w:tcPr>
            <w:tcW w:w="30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1,609</w:t>
            </w:r>
          </w:p>
        </w:tc>
        <w:tc>
          <w:tcPr>
            <w:tcW w:w="0" w:type="dxa"/>
            <w:vAlign w:val="bottom"/>
          </w:tcPr>
          <w:p>
            <w:pPr>
              <w:spacing w:after="0"/>
              <w:rPr>
                <w:sz w:val="1"/>
                <w:szCs w:val="1"/>
                <w:color w:val="auto"/>
              </w:rPr>
            </w:pPr>
          </w:p>
        </w:tc>
      </w:tr>
      <w:tr>
        <w:trPr>
          <w:trHeight w:val="188"/>
        </w:trPr>
        <w:tc>
          <w:tcPr>
            <w:tcW w:w="2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related producing assets</w:t>
            </w: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Support equipment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2,121</w:t>
            </w: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191</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1,555</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22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19,118</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23,673</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exploratory wells</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73</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22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1,119</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1,649</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uncompleted projects</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10,872</w:t>
            </w:r>
          </w:p>
        </w:tc>
        <w:tc>
          <w:tcPr>
            <w:tcW w:w="20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734</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w:t>
            </w:r>
          </w:p>
        </w:tc>
        <w:tc>
          <w:tcPr>
            <w:tcW w:w="22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1,469</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15,519</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15,438</w:t>
            </w: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23"/>
        </w:trPr>
        <w:tc>
          <w:tcPr>
            <w:tcW w:w="286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0077C0"/>
              </w:rPr>
              <w:t>Gross Capitalized Costs</w:t>
            </w:r>
          </w:p>
        </w:tc>
        <w:tc>
          <w:tcPr>
            <w:tcW w:w="22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116,214</w:t>
            </w:r>
          </w:p>
        </w:tc>
        <w:tc>
          <w:tcPr>
            <w:tcW w:w="200" w:type="dxa"/>
            <w:vAlign w:val="bottom"/>
            <w:tcBorders>
              <w:bottom w:val="single" w:sz="8" w:color="0077C0"/>
            </w:tcBorders>
          </w:tcPr>
          <w:p>
            <w:pPr>
              <w:spacing w:after="0"/>
              <w:rPr>
                <w:sz w:val="16"/>
                <w:szCs w:val="16"/>
                <w:color w:val="auto"/>
              </w:rPr>
            </w:pPr>
          </w:p>
        </w:tc>
        <w:tc>
          <w:tcPr>
            <w:tcW w:w="70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26,531</w:t>
            </w:r>
          </w:p>
        </w:tc>
        <w:tc>
          <w:tcPr>
            <w:tcW w:w="26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50,931</w:t>
            </w:r>
          </w:p>
        </w:tc>
        <w:tc>
          <w:tcPr>
            <w:tcW w:w="26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32,910</w:t>
            </w:r>
          </w:p>
        </w:tc>
        <w:tc>
          <w:tcPr>
            <w:tcW w:w="22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47,430</w:t>
            </w:r>
          </w:p>
        </w:tc>
        <w:tc>
          <w:tcPr>
            <w:tcW w:w="22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2,354</w:t>
            </w:r>
          </w:p>
        </w:tc>
        <w:tc>
          <w:tcPr>
            <w:tcW w:w="22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276,370</w:t>
            </w:r>
          </w:p>
        </w:tc>
        <w:tc>
          <w:tcPr>
            <w:tcW w:w="280" w:type="dxa"/>
            <w:vAlign w:val="bottom"/>
            <w:tcBorders>
              <w:bottom w:val="single" w:sz="8" w:color="0077C0"/>
            </w:tcBorders>
          </w:tcPr>
          <w:p>
            <w:pPr>
              <w:spacing w:after="0"/>
              <w:rPr>
                <w:sz w:val="16"/>
                <w:szCs w:val="16"/>
                <w:color w:val="auto"/>
              </w:rPr>
            </w:pPr>
          </w:p>
        </w:tc>
        <w:tc>
          <w:tcPr>
            <w:tcW w:w="26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39,358</w:t>
            </w:r>
          </w:p>
        </w:tc>
        <w:tc>
          <w:tcPr>
            <w:tcW w:w="300" w:type="dxa"/>
            <w:vAlign w:val="bottom"/>
            <w:tcBorders>
              <w:bottom w:val="single" w:sz="8" w:color="0077C0"/>
            </w:tcBorders>
          </w:tcPr>
          <w:p>
            <w:pPr>
              <w:spacing w:after="0"/>
              <w:rPr>
                <w:sz w:val="16"/>
                <w:szCs w:val="16"/>
                <w:color w:val="auto"/>
              </w:rPr>
            </w:pP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1,739</w:t>
            </w:r>
          </w:p>
        </w:tc>
        <w:tc>
          <w:tcPr>
            <w:tcW w:w="0" w:type="dxa"/>
            <w:vAlign w:val="bottom"/>
          </w:tcPr>
          <w:p>
            <w:pPr>
              <w:spacing w:after="0"/>
              <w:rPr>
                <w:sz w:val="1"/>
                <w:szCs w:val="1"/>
                <w:color w:val="auto"/>
              </w:rPr>
            </w:pPr>
          </w:p>
        </w:tc>
      </w:tr>
      <w:tr>
        <w:trPr>
          <w:trHeight w:val="188"/>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Unproved properties valuation</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1,214</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22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2,103</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4"/>
        </w:trPr>
        <w:tc>
          <w:tcPr>
            <w:tcW w:w="286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Proved producing properties – Depreciation and</w:t>
            </w:r>
          </w:p>
        </w:tc>
        <w:tc>
          <w:tcPr>
            <w:tcW w:w="2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65,055</w:t>
            </w:r>
          </w:p>
        </w:tc>
        <w:tc>
          <w:tcPr>
            <w:tcW w:w="200" w:type="dxa"/>
            <w:vAlign w:val="bottom"/>
          </w:tcPr>
          <w:p>
            <w:pPr>
              <w:spacing w:after="0"/>
              <w:rPr>
                <w:sz w:val="13"/>
                <w:szCs w:val="13"/>
                <w:color w:val="auto"/>
              </w:rPr>
            </w:pPr>
          </w:p>
        </w:tc>
        <w:tc>
          <w:tcPr>
            <w:tcW w:w="7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14,009</w:t>
            </w:r>
          </w:p>
        </w:tc>
        <w:tc>
          <w:tcPr>
            <w:tcW w:w="2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39,921</w:t>
            </w:r>
          </w:p>
        </w:tc>
        <w:tc>
          <w:tcPr>
            <w:tcW w:w="2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18,941</w:t>
            </w:r>
          </w:p>
        </w:tc>
        <w:tc>
          <w:tcPr>
            <w:tcW w:w="220" w:type="dxa"/>
            <w:vAlign w:val="bottom"/>
          </w:tcPr>
          <w:p>
            <w:pPr>
              <w:spacing w:after="0"/>
              <w:rPr>
                <w:sz w:val="13"/>
                <w:szCs w:val="13"/>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12,082</w:t>
            </w:r>
          </w:p>
        </w:tc>
        <w:tc>
          <w:tcPr>
            <w:tcW w:w="2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2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150,842</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10,279</w:t>
            </w:r>
          </w:p>
        </w:tc>
        <w:tc>
          <w:tcPr>
            <w:tcW w:w="30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0" w:type="dxa"/>
            <w:vAlign w:val="bottom"/>
          </w:tcPr>
          <w:p>
            <w:pPr>
              <w:spacing w:after="0"/>
              <w:rPr>
                <w:sz w:val="1"/>
                <w:szCs w:val="1"/>
                <w:color w:val="auto"/>
              </w:rPr>
            </w:pPr>
          </w:p>
        </w:tc>
      </w:tr>
      <w:tr>
        <w:trPr>
          <w:trHeight w:val="188"/>
        </w:trPr>
        <w:tc>
          <w:tcPr>
            <w:tcW w:w="2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depletion</w:t>
            </w: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Support equipment depreciation</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1,295</w:t>
            </w: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155</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22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5,478</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8,659</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86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color w:val="auto"/>
              </w:rPr>
              <w:t>Accumulated provisions</w:t>
            </w:r>
          </w:p>
        </w:tc>
        <w:tc>
          <w:tcPr>
            <w:tcW w:w="22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66,518</w:t>
            </w:r>
          </w:p>
        </w:tc>
        <w:tc>
          <w:tcPr>
            <w:tcW w:w="200" w:type="dxa"/>
            <w:vAlign w:val="bottom"/>
            <w:tcBorders>
              <w:bottom w:val="single" w:sz="8" w:color="0077C0"/>
            </w:tcBorders>
          </w:tcPr>
          <w:p>
            <w:pPr>
              <w:spacing w:after="0"/>
              <w:rPr>
                <w:sz w:val="16"/>
                <w:szCs w:val="16"/>
                <w:color w:val="auto"/>
              </w:rPr>
            </w:pPr>
          </w:p>
        </w:tc>
        <w:tc>
          <w:tcPr>
            <w:tcW w:w="70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15,378</w:t>
            </w:r>
          </w:p>
        </w:tc>
        <w:tc>
          <w:tcPr>
            <w:tcW w:w="26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41,306</w:t>
            </w:r>
          </w:p>
        </w:tc>
        <w:tc>
          <w:tcPr>
            <w:tcW w:w="26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20,003</w:t>
            </w:r>
          </w:p>
        </w:tc>
        <w:tc>
          <w:tcPr>
            <w:tcW w:w="22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17,565</w:t>
            </w:r>
          </w:p>
        </w:tc>
        <w:tc>
          <w:tcPr>
            <w:tcW w:w="22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22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161,604</w:t>
            </w:r>
          </w:p>
        </w:tc>
        <w:tc>
          <w:tcPr>
            <w:tcW w:w="280" w:type="dxa"/>
            <w:vAlign w:val="bottom"/>
            <w:tcBorders>
              <w:bottom w:val="single" w:sz="8" w:color="0077C0"/>
            </w:tcBorders>
          </w:tcPr>
          <w:p>
            <w:pPr>
              <w:spacing w:after="0"/>
              <w:rPr>
                <w:sz w:val="16"/>
                <w:szCs w:val="16"/>
                <w:color w:val="auto"/>
              </w:rPr>
            </w:pPr>
          </w:p>
        </w:tc>
        <w:tc>
          <w:tcPr>
            <w:tcW w:w="26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10,834</w:t>
            </w:r>
          </w:p>
        </w:tc>
        <w:tc>
          <w:tcPr>
            <w:tcW w:w="300" w:type="dxa"/>
            <w:vAlign w:val="bottom"/>
            <w:tcBorders>
              <w:bottom w:val="single" w:sz="8" w:color="0077C0"/>
            </w:tcBorders>
          </w:tcPr>
          <w:p>
            <w:pPr>
              <w:spacing w:after="0"/>
              <w:rPr>
                <w:sz w:val="16"/>
                <w:szCs w:val="16"/>
                <w:color w:val="auto"/>
              </w:rPr>
            </w:pP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0" w:type="dxa"/>
            <w:vAlign w:val="bottom"/>
          </w:tcPr>
          <w:p>
            <w:pPr>
              <w:spacing w:after="0"/>
              <w:rPr>
                <w:sz w:val="1"/>
                <w:szCs w:val="1"/>
                <w:color w:val="auto"/>
              </w:rPr>
            </w:pPr>
          </w:p>
        </w:tc>
      </w:tr>
      <w:tr>
        <w:trPr>
          <w:trHeight w:val="196"/>
        </w:trPr>
        <w:tc>
          <w:tcPr>
            <w:tcW w:w="28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0077C0"/>
              </w:rPr>
              <w:t>Net Capitalized Costs</w:t>
            </w:r>
          </w:p>
        </w:tc>
        <w:tc>
          <w:tcPr>
            <w:tcW w:w="22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49,696</w:t>
            </w:r>
          </w:p>
        </w:tc>
        <w:tc>
          <w:tcPr>
            <w:tcW w:w="20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11,153</w:t>
            </w:r>
          </w:p>
        </w:tc>
        <w:tc>
          <w:tcPr>
            <w:tcW w:w="26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9,625</w:t>
            </w:r>
          </w:p>
        </w:tc>
        <w:tc>
          <w:tcPr>
            <w:tcW w:w="26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12,907</w:t>
            </w:r>
          </w:p>
        </w:tc>
        <w:tc>
          <w:tcPr>
            <w:tcW w:w="220" w:type="dxa"/>
            <w:vAlign w:val="bottom"/>
            <w:tcBorders>
              <w:bottom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29,865</w:t>
            </w:r>
          </w:p>
        </w:tc>
        <w:tc>
          <w:tcPr>
            <w:tcW w:w="22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1,520</w:t>
            </w:r>
          </w:p>
        </w:tc>
        <w:tc>
          <w:tcPr>
            <w:tcW w:w="22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114,766</w:t>
            </w:r>
          </w:p>
        </w:tc>
        <w:tc>
          <w:tcPr>
            <w:tcW w:w="280" w:type="dxa"/>
            <w:vAlign w:val="bottom"/>
            <w:tcBorders>
              <w:bottom w:val="single" w:sz="8" w:color="0077C0"/>
            </w:tcBorders>
          </w:tcPr>
          <w:p>
            <w:pPr>
              <w:spacing w:after="0"/>
              <w:rPr>
                <w:sz w:val="17"/>
                <w:szCs w:val="17"/>
                <w:color w:val="auto"/>
              </w:rPr>
            </w:pPr>
          </w:p>
        </w:tc>
        <w:tc>
          <w:tcPr>
            <w:tcW w:w="260" w:type="dxa"/>
            <w:vAlign w:val="bottom"/>
            <w:tcBorders>
              <w:bottom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28,524</w:t>
            </w:r>
          </w:p>
        </w:tc>
        <w:tc>
          <w:tcPr>
            <w:tcW w:w="300" w:type="dxa"/>
            <w:vAlign w:val="bottom"/>
            <w:tcBorders>
              <w:bottom w:val="single" w:sz="8" w:color="0077C0"/>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873</w:t>
            </w:r>
          </w:p>
        </w:tc>
        <w:tc>
          <w:tcPr>
            <w:tcW w:w="0" w:type="dxa"/>
            <w:vAlign w:val="bottom"/>
          </w:tcPr>
          <w:p>
            <w:pPr>
              <w:spacing w:after="0"/>
              <w:rPr>
                <w:sz w:val="1"/>
                <w:szCs w:val="1"/>
                <w:color w:val="auto"/>
              </w:rPr>
            </w:pPr>
          </w:p>
        </w:tc>
      </w:tr>
      <w:tr>
        <w:trPr>
          <w:trHeight w:val="190"/>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0077C0"/>
              </w:rPr>
              <w:t>At December 31, 2022</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Unproved properties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2,541</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2,176</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1,987</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7,939</w:t>
            </w:r>
          </w:p>
        </w:tc>
        <w:tc>
          <w:tcPr>
            <w:tcW w:w="2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Proved properties and</w:t>
            </w:r>
          </w:p>
        </w:tc>
        <w:tc>
          <w:tcPr>
            <w:tcW w:w="2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83,525</w:t>
            </w:r>
          </w:p>
        </w:tc>
        <w:tc>
          <w:tcPr>
            <w:tcW w:w="200" w:type="dxa"/>
            <w:vAlign w:val="bottom"/>
          </w:tcPr>
          <w:p>
            <w:pPr>
              <w:spacing w:after="0"/>
              <w:rPr>
                <w:sz w:val="14"/>
                <w:szCs w:val="14"/>
                <w:color w:val="auto"/>
              </w:rPr>
            </w:pPr>
          </w:p>
        </w:tc>
        <w:tc>
          <w:tcPr>
            <w:tcW w:w="7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22,867</w:t>
            </w:r>
          </w:p>
        </w:tc>
        <w:tc>
          <w:tcPr>
            <w:tcW w:w="2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46,950</w:t>
            </w:r>
          </w:p>
        </w:tc>
        <w:tc>
          <w:tcPr>
            <w:tcW w:w="2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31,179</w:t>
            </w:r>
          </w:p>
        </w:tc>
        <w:tc>
          <w:tcPr>
            <w:tcW w:w="220" w:type="dxa"/>
            <w:vAlign w:val="bottom"/>
          </w:tcPr>
          <w:p>
            <w:pPr>
              <w:spacing w:after="0"/>
              <w:rPr>
                <w:sz w:val="14"/>
                <w:szCs w:val="14"/>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22,926</w:t>
            </w:r>
          </w:p>
        </w:tc>
        <w:tc>
          <w:tcPr>
            <w:tcW w:w="2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2,186</w:t>
            </w:r>
          </w:p>
        </w:tc>
        <w:tc>
          <w:tcPr>
            <w:tcW w:w="2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209,633</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15,793</w:t>
            </w:r>
          </w:p>
        </w:tc>
        <w:tc>
          <w:tcPr>
            <w:tcW w:w="30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1,552</w:t>
            </w:r>
          </w:p>
        </w:tc>
        <w:tc>
          <w:tcPr>
            <w:tcW w:w="0" w:type="dxa"/>
            <w:vAlign w:val="bottom"/>
          </w:tcPr>
          <w:p>
            <w:pPr>
              <w:spacing w:after="0"/>
              <w:rPr>
                <w:sz w:val="1"/>
                <w:szCs w:val="1"/>
                <w:color w:val="auto"/>
              </w:rPr>
            </w:pPr>
          </w:p>
        </w:tc>
      </w:tr>
      <w:tr>
        <w:trPr>
          <w:trHeight w:val="188"/>
        </w:trPr>
        <w:tc>
          <w:tcPr>
            <w:tcW w:w="2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related producing assets</w:t>
            </w: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Support equipment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2,146</w:t>
            </w: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194</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1,543</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22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19,107</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23,686</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exploratory wells</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0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2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1,119</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1,448</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uncompleted projects</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8,213</w:t>
            </w:r>
          </w:p>
        </w:tc>
        <w:tc>
          <w:tcPr>
            <w:tcW w:w="20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610</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1,095</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w:t>
            </w:r>
          </w:p>
        </w:tc>
        <w:tc>
          <w:tcPr>
            <w:tcW w:w="22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1,869</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12,731</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20,590</w:t>
            </w: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23"/>
        </w:trPr>
        <w:tc>
          <w:tcPr>
            <w:tcW w:w="286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0077C0"/>
              </w:rPr>
              <w:t>Gross Capitalized Costs</w:t>
            </w:r>
          </w:p>
        </w:tc>
        <w:tc>
          <w:tcPr>
            <w:tcW w:w="22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96,468</w:t>
            </w:r>
          </w:p>
        </w:tc>
        <w:tc>
          <w:tcPr>
            <w:tcW w:w="200" w:type="dxa"/>
            <w:vAlign w:val="bottom"/>
            <w:tcBorders>
              <w:bottom w:val="single" w:sz="8" w:color="0077C0"/>
            </w:tcBorders>
          </w:tcPr>
          <w:p>
            <w:pPr>
              <w:spacing w:after="0"/>
              <w:rPr>
                <w:sz w:val="16"/>
                <w:szCs w:val="16"/>
                <w:color w:val="auto"/>
              </w:rPr>
            </w:pPr>
          </w:p>
        </w:tc>
        <w:tc>
          <w:tcPr>
            <w:tcW w:w="70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25,903</w:t>
            </w:r>
          </w:p>
        </w:tc>
        <w:tc>
          <w:tcPr>
            <w:tcW w:w="26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49,969</w:t>
            </w:r>
          </w:p>
        </w:tc>
        <w:tc>
          <w:tcPr>
            <w:tcW w:w="26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33,799</w:t>
            </w:r>
          </w:p>
        </w:tc>
        <w:tc>
          <w:tcPr>
            <w:tcW w:w="22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47,008</w:t>
            </w:r>
          </w:p>
        </w:tc>
        <w:tc>
          <w:tcPr>
            <w:tcW w:w="22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2,290</w:t>
            </w:r>
          </w:p>
        </w:tc>
        <w:tc>
          <w:tcPr>
            <w:tcW w:w="22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255,437</w:t>
            </w:r>
          </w:p>
        </w:tc>
        <w:tc>
          <w:tcPr>
            <w:tcW w:w="280" w:type="dxa"/>
            <w:vAlign w:val="bottom"/>
            <w:tcBorders>
              <w:bottom w:val="single" w:sz="8" w:color="0077C0"/>
            </w:tcBorders>
          </w:tcPr>
          <w:p>
            <w:pPr>
              <w:spacing w:after="0"/>
              <w:rPr>
                <w:sz w:val="16"/>
                <w:szCs w:val="16"/>
                <w:color w:val="auto"/>
              </w:rPr>
            </w:pPr>
          </w:p>
        </w:tc>
        <w:tc>
          <w:tcPr>
            <w:tcW w:w="26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37,137</w:t>
            </w:r>
          </w:p>
        </w:tc>
        <w:tc>
          <w:tcPr>
            <w:tcW w:w="300" w:type="dxa"/>
            <w:vAlign w:val="bottom"/>
            <w:tcBorders>
              <w:bottom w:val="single" w:sz="8" w:color="0077C0"/>
            </w:tcBorders>
          </w:tcPr>
          <w:p>
            <w:pPr>
              <w:spacing w:after="0"/>
              <w:rPr>
                <w:sz w:val="16"/>
                <w:szCs w:val="16"/>
                <w:color w:val="auto"/>
              </w:rPr>
            </w:pP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1,606</w:t>
            </w:r>
          </w:p>
        </w:tc>
        <w:tc>
          <w:tcPr>
            <w:tcW w:w="0" w:type="dxa"/>
            <w:vAlign w:val="bottom"/>
          </w:tcPr>
          <w:p>
            <w:pPr>
              <w:spacing w:after="0"/>
              <w:rPr>
                <w:sz w:val="1"/>
                <w:szCs w:val="1"/>
                <w:color w:val="auto"/>
              </w:rPr>
            </w:pPr>
          </w:p>
        </w:tc>
      </w:tr>
      <w:tr>
        <w:trPr>
          <w:trHeight w:val="188"/>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Unproved properties valuation</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1,589</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w:t>
            </w:r>
          </w:p>
        </w:tc>
        <w:tc>
          <w:tcPr>
            <w:tcW w:w="22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110</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2,992</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4"/>
        </w:trPr>
        <w:tc>
          <w:tcPr>
            <w:tcW w:w="286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Proved producing properties – Depreciation and</w:t>
            </w:r>
          </w:p>
        </w:tc>
        <w:tc>
          <w:tcPr>
            <w:tcW w:w="2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58,253</w:t>
            </w:r>
          </w:p>
        </w:tc>
        <w:tc>
          <w:tcPr>
            <w:tcW w:w="200" w:type="dxa"/>
            <w:vAlign w:val="bottom"/>
          </w:tcPr>
          <w:p>
            <w:pPr>
              <w:spacing w:after="0"/>
              <w:rPr>
                <w:sz w:val="13"/>
                <w:szCs w:val="13"/>
                <w:color w:val="auto"/>
              </w:rPr>
            </w:pPr>
          </w:p>
        </w:tc>
        <w:tc>
          <w:tcPr>
            <w:tcW w:w="7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12,974</w:t>
            </w:r>
          </w:p>
        </w:tc>
        <w:tc>
          <w:tcPr>
            <w:tcW w:w="2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38,543</w:t>
            </w:r>
          </w:p>
        </w:tc>
        <w:tc>
          <w:tcPr>
            <w:tcW w:w="2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19,051</w:t>
            </w:r>
          </w:p>
        </w:tc>
        <w:tc>
          <w:tcPr>
            <w:tcW w:w="220" w:type="dxa"/>
            <w:vAlign w:val="bottom"/>
          </w:tcPr>
          <w:p>
            <w:pPr>
              <w:spacing w:after="0"/>
              <w:rPr>
                <w:sz w:val="13"/>
                <w:szCs w:val="13"/>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10,689</w:t>
            </w:r>
          </w:p>
        </w:tc>
        <w:tc>
          <w:tcPr>
            <w:tcW w:w="2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2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140,230</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9,441</w:t>
            </w:r>
          </w:p>
        </w:tc>
        <w:tc>
          <w:tcPr>
            <w:tcW w:w="30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0" w:type="dxa"/>
            <w:vAlign w:val="bottom"/>
          </w:tcPr>
          <w:p>
            <w:pPr>
              <w:spacing w:after="0"/>
              <w:rPr>
                <w:sz w:val="1"/>
                <w:szCs w:val="1"/>
                <w:color w:val="auto"/>
              </w:rPr>
            </w:pPr>
          </w:p>
        </w:tc>
      </w:tr>
      <w:tr>
        <w:trPr>
          <w:trHeight w:val="188"/>
        </w:trPr>
        <w:tc>
          <w:tcPr>
            <w:tcW w:w="2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depletion</w:t>
            </w: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Support equipment depreciation</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155</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22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4,644</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7,767</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86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color w:val="auto"/>
              </w:rPr>
              <w:t>Accumulated provisions</w:t>
            </w:r>
          </w:p>
        </w:tc>
        <w:tc>
          <w:tcPr>
            <w:tcW w:w="22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59,733</w:t>
            </w:r>
          </w:p>
        </w:tc>
        <w:tc>
          <w:tcPr>
            <w:tcW w:w="200" w:type="dxa"/>
            <w:vAlign w:val="bottom"/>
            <w:tcBorders>
              <w:bottom w:val="single" w:sz="8" w:color="0077C0"/>
            </w:tcBorders>
          </w:tcPr>
          <w:p>
            <w:pPr>
              <w:spacing w:after="0"/>
              <w:rPr>
                <w:sz w:val="16"/>
                <w:szCs w:val="16"/>
                <w:color w:val="auto"/>
              </w:rPr>
            </w:pPr>
          </w:p>
        </w:tc>
        <w:tc>
          <w:tcPr>
            <w:tcW w:w="70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14,718</w:t>
            </w:r>
          </w:p>
        </w:tc>
        <w:tc>
          <w:tcPr>
            <w:tcW w:w="26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39,855</w:t>
            </w:r>
          </w:p>
        </w:tc>
        <w:tc>
          <w:tcPr>
            <w:tcW w:w="26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20,520</w:t>
            </w:r>
          </w:p>
        </w:tc>
        <w:tc>
          <w:tcPr>
            <w:tcW w:w="22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15,443</w:t>
            </w:r>
          </w:p>
        </w:tc>
        <w:tc>
          <w:tcPr>
            <w:tcW w:w="22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22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150,989</w:t>
            </w:r>
          </w:p>
        </w:tc>
        <w:tc>
          <w:tcPr>
            <w:tcW w:w="280" w:type="dxa"/>
            <w:vAlign w:val="bottom"/>
            <w:tcBorders>
              <w:bottom w:val="single" w:sz="8" w:color="0077C0"/>
            </w:tcBorders>
          </w:tcPr>
          <w:p>
            <w:pPr>
              <w:spacing w:after="0"/>
              <w:rPr>
                <w:sz w:val="16"/>
                <w:szCs w:val="16"/>
                <w:color w:val="auto"/>
              </w:rPr>
            </w:pPr>
          </w:p>
        </w:tc>
        <w:tc>
          <w:tcPr>
            <w:tcW w:w="26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9,939</w:t>
            </w:r>
          </w:p>
        </w:tc>
        <w:tc>
          <w:tcPr>
            <w:tcW w:w="300" w:type="dxa"/>
            <w:vAlign w:val="bottom"/>
            <w:tcBorders>
              <w:bottom w:val="single" w:sz="8" w:color="0077C0"/>
            </w:tcBorders>
          </w:tcPr>
          <w:p>
            <w:pPr>
              <w:spacing w:after="0"/>
              <w:rPr>
                <w:sz w:val="16"/>
                <w:szCs w:val="16"/>
                <w:color w:val="auto"/>
              </w:rPr>
            </w:pP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0" w:type="dxa"/>
            <w:vAlign w:val="bottom"/>
          </w:tcPr>
          <w:p>
            <w:pPr>
              <w:spacing w:after="0"/>
              <w:rPr>
                <w:sz w:val="1"/>
                <w:szCs w:val="1"/>
                <w:color w:val="auto"/>
              </w:rPr>
            </w:pPr>
          </w:p>
        </w:tc>
      </w:tr>
      <w:tr>
        <w:trPr>
          <w:trHeight w:val="196"/>
        </w:trPr>
        <w:tc>
          <w:tcPr>
            <w:tcW w:w="28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0077C0"/>
              </w:rPr>
              <w:t>Net Capitalized Costs</w:t>
            </w:r>
          </w:p>
        </w:tc>
        <w:tc>
          <w:tcPr>
            <w:tcW w:w="22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36,735</w:t>
            </w:r>
          </w:p>
        </w:tc>
        <w:tc>
          <w:tcPr>
            <w:tcW w:w="20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11,185</w:t>
            </w:r>
          </w:p>
        </w:tc>
        <w:tc>
          <w:tcPr>
            <w:tcW w:w="26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10,114</w:t>
            </w:r>
          </w:p>
        </w:tc>
        <w:tc>
          <w:tcPr>
            <w:tcW w:w="26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13,279</w:t>
            </w:r>
          </w:p>
        </w:tc>
        <w:tc>
          <w:tcPr>
            <w:tcW w:w="220" w:type="dxa"/>
            <w:vAlign w:val="bottom"/>
            <w:tcBorders>
              <w:bottom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31,565</w:t>
            </w:r>
          </w:p>
        </w:tc>
        <w:tc>
          <w:tcPr>
            <w:tcW w:w="22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1,570</w:t>
            </w:r>
          </w:p>
        </w:tc>
        <w:tc>
          <w:tcPr>
            <w:tcW w:w="22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104,448</w:t>
            </w:r>
          </w:p>
        </w:tc>
        <w:tc>
          <w:tcPr>
            <w:tcW w:w="280" w:type="dxa"/>
            <w:vAlign w:val="bottom"/>
            <w:tcBorders>
              <w:bottom w:val="single" w:sz="8" w:color="0077C0"/>
            </w:tcBorders>
          </w:tcPr>
          <w:p>
            <w:pPr>
              <w:spacing w:after="0"/>
              <w:rPr>
                <w:sz w:val="17"/>
                <w:szCs w:val="17"/>
                <w:color w:val="auto"/>
              </w:rPr>
            </w:pPr>
          </w:p>
        </w:tc>
        <w:tc>
          <w:tcPr>
            <w:tcW w:w="260" w:type="dxa"/>
            <w:vAlign w:val="bottom"/>
            <w:tcBorders>
              <w:bottom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27,198</w:t>
            </w:r>
          </w:p>
        </w:tc>
        <w:tc>
          <w:tcPr>
            <w:tcW w:w="300" w:type="dxa"/>
            <w:vAlign w:val="bottom"/>
            <w:tcBorders>
              <w:bottom w:val="single" w:sz="8" w:color="0077C0"/>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952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06" w:name="page107"/>
    <w:bookmarkEnd w:id="106"/>
    <w:p>
      <w:pPr>
        <w:ind w:left="20"/>
        <w:spacing w:after="0"/>
        <w:tabs>
          <w:tab w:leader="none" w:pos="9460" w:val="left"/>
        </w:tabs>
        <w:rPr>
          <w:sz w:val="20"/>
          <w:szCs w:val="20"/>
          <w:color w:val="auto"/>
        </w:rPr>
      </w:pPr>
      <w:r>
        <w:rPr>
          <w:rFonts w:ascii="Arial" w:cs="Arial" w:eastAsia="Arial" w:hAnsi="Arial"/>
          <w:sz w:val="14"/>
          <w:szCs w:val="14"/>
          <w:color w:val="0077C0"/>
        </w:rPr>
        <w:t>Supplemental Information on Oil and Gas Producing Activities - Unaudited</w:t>
      </w:r>
      <w:r>
        <w:rPr>
          <w:sz w:val="20"/>
          <w:szCs w:val="20"/>
          <w:color w:val="auto"/>
        </w:rPr>
        <w:tab/>
      </w:r>
      <w:r>
        <w:rPr>
          <w:rFonts w:ascii="Arial" w:cs="Arial" w:eastAsia="Arial" w:hAnsi="Arial"/>
          <w:sz w:val="14"/>
          <w:szCs w:val="14"/>
          <w:color w:val="0077C0"/>
        </w:rPr>
        <w:t>Financial 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color w:val="0077C0"/>
        </w:rPr>
        <w:t>Table III - Results of Operations for Oil and Gas Producing Activities</w:t>
      </w:r>
      <w:r>
        <w:rPr>
          <w:rFonts w:ascii="Arial" w:cs="Arial" w:eastAsia="Arial" w:hAnsi="Arial"/>
          <w:sz w:val="21"/>
          <w:szCs w:val="21"/>
          <w:b w:val="1"/>
          <w:bCs w:val="1"/>
          <w:color w:val="0077C0"/>
          <w:vertAlign w:val="superscript"/>
        </w:rPr>
        <w:t>1</w:t>
      </w:r>
    </w:p>
    <w:p>
      <w:pPr>
        <w:spacing w:after="0" w:line="17"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The company’s results of operations from oil and gas producing activities for the years 2024, 2023 and 2022 are shown in the following table. Net income (loss) from exploration and production activities as reported on page 81 reflects income taxes computed on an effective rate basis.</w:t>
      </w:r>
    </w:p>
    <w:p>
      <w:pPr>
        <w:spacing w:after="0" w:line="47"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auto"/>
        </w:rPr>
        <w:t>Income taxes in Table III are based on statutory tax rates, reflecting allowable deductions and tax credits. Interest income and expense are excluded from the results reported in Table III and from the upstream net income amounts on page 81.</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color w:val="auto"/>
              </w:rPr>
              <w:t>Consolidated Companies</w:t>
            </w:r>
          </w:p>
        </w:tc>
        <w:tc>
          <w:tcPr>
            <w:tcW w:w="26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Affiliated Companies</w:t>
            </w:r>
          </w:p>
        </w:tc>
      </w:tr>
      <w:tr>
        <w:trPr>
          <w:trHeight w:val="23"/>
        </w:trPr>
        <w:tc>
          <w:tcPr>
            <w:tcW w:w="2860" w:type="dxa"/>
            <w:vAlign w:val="bottom"/>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24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4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r>
      <w:tr>
        <w:trPr>
          <w:trHeight w:val="182"/>
        </w:trPr>
        <w:tc>
          <w:tcPr>
            <w:tcW w:w="2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9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U.S.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Americas</w:t>
            </w: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Africa</w:t>
            </w: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Asia</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Australia</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Europe</w:t>
            </w:r>
          </w:p>
        </w:tc>
        <w:tc>
          <w:tcPr>
            <w:tcW w:w="24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TCO</w:t>
            </w:r>
          </w:p>
        </w:tc>
        <w:tc>
          <w:tcPr>
            <w:tcW w:w="3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Other</w:t>
            </w:r>
          </w:p>
        </w:tc>
      </w:tr>
      <w:tr>
        <w:trPr>
          <w:trHeight w:val="23"/>
        </w:trPr>
        <w:tc>
          <w:tcPr>
            <w:tcW w:w="286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24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4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r>
      <w:tr>
        <w:trPr>
          <w:trHeight w:val="184"/>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0077C0"/>
              </w:rPr>
              <w:t>Year Ended December 31, 2024</w:t>
            </w: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91"/>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Revenues from net production</w:t>
            </w: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03"/>
        </w:trPr>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Sales</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6,657</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799</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622</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3,376</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5,856</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319</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17,629</w:t>
            </w:r>
          </w:p>
        </w:tc>
        <w:tc>
          <w:tcPr>
            <w:tcW w:w="24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7,240</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700</w:t>
            </w:r>
          </w:p>
        </w:tc>
      </w:tr>
      <w:tr>
        <w:trPr>
          <w:trHeight w:val="203"/>
        </w:trPr>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Transfers</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18,043</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3,110</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5,227</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2,101</w:t>
            </w:r>
          </w:p>
        </w:tc>
        <w:tc>
          <w:tcPr>
            <w:tcW w:w="24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4,237</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32,718</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286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24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4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24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r>
      <w:tr>
        <w:trPr>
          <w:trHeight w:val="184"/>
        </w:trPr>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24,700</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3,909</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5,849</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5,477</w:t>
            </w:r>
          </w:p>
        </w:tc>
        <w:tc>
          <w:tcPr>
            <w:tcW w:w="240" w:type="dxa"/>
            <w:vAlign w:val="bottom"/>
          </w:tcPr>
          <w:p>
            <w:pPr>
              <w:spacing w:after="0"/>
              <w:rPr>
                <w:sz w:val="15"/>
                <w:szCs w:val="15"/>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10,093</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319</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50,347</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7,240</w:t>
            </w:r>
          </w:p>
        </w:tc>
        <w:tc>
          <w:tcPr>
            <w:tcW w:w="3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700</w:t>
            </w:r>
          </w:p>
        </w:tc>
      </w:tr>
      <w:tr>
        <w:trPr>
          <w:trHeight w:val="191"/>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Production expenses excluding taxes</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(5,472)</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(928)</w:t>
            </w: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(1,662)</w:t>
            </w: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(939)</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(540)</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(74)</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(9,615)</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(696)</w:t>
            </w:r>
          </w:p>
        </w:tc>
        <w:tc>
          <w:tcPr>
            <w:tcW w:w="3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w:t>
            </w:r>
          </w:p>
        </w:tc>
      </w:tr>
      <w:tr>
        <w:trPr>
          <w:trHeight w:val="20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Taxes other than on income</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(1,445)</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(67)</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(165)</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(209)</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(1,913)</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(1,117)</w:t>
            </w:r>
          </w:p>
        </w:tc>
        <w:tc>
          <w:tcPr>
            <w:tcW w:w="3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Proved producing properties:</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depletion</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(7,231)</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(981)</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(1,616)</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(1,236)</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(2,547)</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(103)</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(13,714)</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(1,222)</w:t>
            </w:r>
          </w:p>
        </w:tc>
        <w:tc>
          <w:tcPr>
            <w:tcW w:w="3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(154)</w:t>
            </w:r>
          </w:p>
        </w:tc>
      </w:tr>
      <w:tr>
        <w:trPr>
          <w:trHeight w:val="20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Accretion expense</w:t>
            </w:r>
            <w:r>
              <w:rPr>
                <w:rFonts w:ascii="Times New Roman" w:cs="Times New Roman" w:eastAsia="Times New Roman" w:hAnsi="Times New Roman"/>
                <w:sz w:val="9"/>
                <w:szCs w:val="9"/>
                <w:color w:val="auto"/>
              </w:rPr>
              <w:t>2</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(205)</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(127)</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(63)</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(104)</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(533)</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3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r>
      <w:tr>
        <w:trPr>
          <w:trHeight w:val="20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Exploration expenses</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(352)</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(141)</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(308)</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(233)</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(1,068)</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Unproved properties valuation</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(68)</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24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(130)</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(loss)</w:t>
            </w:r>
            <w:r>
              <w:rPr>
                <w:rFonts w:ascii="Times New Roman" w:cs="Times New Roman" w:eastAsia="Times New Roman" w:hAnsi="Times New Roman"/>
                <w:sz w:val="9"/>
                <w:szCs w:val="9"/>
                <w:color w:val="auto"/>
              </w:rPr>
              <w:t>3</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247</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1,556</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534</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139</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2,464</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(80)</w:t>
            </w:r>
          </w:p>
        </w:tc>
        <w:tc>
          <w:tcPr>
            <w:tcW w:w="3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(150)</w:t>
            </w:r>
          </w:p>
        </w:tc>
      </w:tr>
      <w:tr>
        <w:trPr>
          <w:trHeight w:val="23"/>
        </w:trPr>
        <w:tc>
          <w:tcPr>
            <w:tcW w:w="286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24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4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24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r>
      <w:tr>
        <w:trPr>
          <w:trHeight w:val="184"/>
        </w:trPr>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Results before income taxes</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10,174</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3,291</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2,475</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3,120</w:t>
            </w:r>
          </w:p>
        </w:tc>
        <w:tc>
          <w:tcPr>
            <w:tcW w:w="240" w:type="dxa"/>
            <w:vAlign w:val="bottom"/>
          </w:tcPr>
          <w:p>
            <w:pPr>
              <w:spacing w:after="0"/>
              <w:rPr>
                <w:sz w:val="15"/>
                <w:szCs w:val="15"/>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6,652</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126</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25,838</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4,120</w:t>
            </w:r>
          </w:p>
        </w:tc>
        <w:tc>
          <w:tcPr>
            <w:tcW w:w="3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347</w:t>
            </w:r>
          </w:p>
        </w:tc>
      </w:tr>
      <w:tr>
        <w:trPr>
          <w:trHeight w:val="191"/>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(2,238)</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(954)</w:t>
            </w: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(1,240)</w:t>
            </w: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(1,684)</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(2,010)</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(95)</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(8,221)</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(1,238)</w:t>
            </w:r>
          </w:p>
        </w:tc>
        <w:tc>
          <w:tcPr>
            <w:tcW w:w="3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r>
      <w:tr>
        <w:trPr>
          <w:trHeight w:val="23"/>
        </w:trPr>
        <w:tc>
          <w:tcPr>
            <w:tcW w:w="286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24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4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24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r>
      <w:tr>
        <w:trPr>
          <w:trHeight w:val="190"/>
        </w:trPr>
        <w:tc>
          <w:tcPr>
            <w:tcW w:w="28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0077C0"/>
              </w:rPr>
              <w:t>Results of Producing Operations</w:t>
            </w:r>
          </w:p>
        </w:tc>
        <w:tc>
          <w:tcPr>
            <w:tcW w:w="28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7,936</w:t>
            </w:r>
          </w:p>
        </w:tc>
        <w:tc>
          <w:tcPr>
            <w:tcW w:w="200" w:type="dxa"/>
            <w:vAlign w:val="bottom"/>
            <w:tcBorders>
              <w:bottom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2,337</w:t>
            </w:r>
          </w:p>
        </w:tc>
        <w:tc>
          <w:tcPr>
            <w:tcW w:w="280" w:type="dxa"/>
            <w:vAlign w:val="bottom"/>
            <w:tcBorders>
              <w:bottom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1,235</w:t>
            </w:r>
          </w:p>
        </w:tc>
        <w:tc>
          <w:tcPr>
            <w:tcW w:w="28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1,436</w:t>
            </w:r>
          </w:p>
        </w:tc>
        <w:tc>
          <w:tcPr>
            <w:tcW w:w="24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4,642</w:t>
            </w:r>
          </w:p>
        </w:tc>
        <w:tc>
          <w:tcPr>
            <w:tcW w:w="22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c>
          <w:tcPr>
            <w:tcW w:w="240" w:type="dxa"/>
            <w:vAlign w:val="bottom"/>
            <w:tcBorders>
              <w:bottom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17,617</w:t>
            </w:r>
          </w:p>
        </w:tc>
        <w:tc>
          <w:tcPr>
            <w:tcW w:w="240" w:type="dxa"/>
            <w:vAlign w:val="bottom"/>
            <w:tcBorders>
              <w:bottom w:val="single" w:sz="8" w:color="0077C0"/>
            </w:tcBorders>
          </w:tcPr>
          <w:p>
            <w:pPr>
              <w:spacing w:after="0"/>
              <w:rPr>
                <w:sz w:val="16"/>
                <w:szCs w:val="16"/>
                <w:color w:val="auto"/>
              </w:rPr>
            </w:pPr>
          </w:p>
        </w:tc>
        <w:tc>
          <w:tcPr>
            <w:tcW w:w="26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2,882</w:t>
            </w:r>
          </w:p>
        </w:tc>
        <w:tc>
          <w:tcPr>
            <w:tcW w:w="320" w:type="dxa"/>
            <w:vAlign w:val="bottom"/>
            <w:tcBorders>
              <w:bottom w:val="single" w:sz="8" w:color="0077C0"/>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359</w:t>
            </w:r>
          </w:p>
        </w:tc>
      </w:tr>
      <w:tr>
        <w:trPr>
          <w:trHeight w:val="190"/>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0077C0"/>
              </w:rPr>
              <w:t>Year Ended December 31, 2023</w:t>
            </w: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91"/>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Revenues from net production</w:t>
            </w: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03"/>
        </w:trPr>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Sales</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6,658</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3,309</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6,780</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18,354</w:t>
            </w:r>
          </w:p>
        </w:tc>
        <w:tc>
          <w:tcPr>
            <w:tcW w:w="24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6,831</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w:t>
            </w:r>
          </w:p>
        </w:tc>
      </w:tr>
      <w:tr>
        <w:trPr>
          <w:trHeight w:val="203"/>
        </w:trPr>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Transfers</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15,948</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3,243</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5,979</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2,151</w:t>
            </w:r>
          </w:p>
        </w:tc>
        <w:tc>
          <w:tcPr>
            <w:tcW w:w="24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4,753</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32,074</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286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24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4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24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r>
      <w:tr>
        <w:trPr>
          <w:trHeight w:val="182"/>
        </w:trPr>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22,606</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3,967</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6,494</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5,460</w:t>
            </w:r>
          </w:p>
        </w:tc>
        <w:tc>
          <w:tcPr>
            <w:tcW w:w="240" w:type="dxa"/>
            <w:vAlign w:val="bottom"/>
          </w:tcPr>
          <w:p>
            <w:pPr>
              <w:spacing w:after="0"/>
              <w:rPr>
                <w:sz w:val="15"/>
                <w:szCs w:val="15"/>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11,533</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50,428</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6,831</w:t>
            </w:r>
          </w:p>
        </w:tc>
        <w:tc>
          <w:tcPr>
            <w:tcW w:w="3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w:t>
            </w:r>
          </w:p>
        </w:tc>
      </w:tr>
      <w:tr>
        <w:trPr>
          <w:trHeight w:val="19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Production expenses excluding taxes</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(1,619)</w:t>
            </w: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(1,103)</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(9,801)</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3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0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Taxes other than on income</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(1,720)</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3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Proved producing properties:</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depletion</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(7,133)</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(1,042)</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(1,414)</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(1,114)</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(2,561)</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(13,379)</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(895)</w:t>
            </w:r>
          </w:p>
        </w:tc>
        <w:tc>
          <w:tcPr>
            <w:tcW w:w="3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r>
      <w:tr>
        <w:trPr>
          <w:trHeight w:val="20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Accretion expense</w:t>
            </w:r>
            <w:r>
              <w:rPr>
                <w:rFonts w:ascii="Times New Roman" w:cs="Times New Roman" w:eastAsia="Times New Roman" w:hAnsi="Times New Roman"/>
                <w:sz w:val="9"/>
                <w:szCs w:val="9"/>
                <w:color w:val="auto"/>
              </w:rPr>
              <w:t>2</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3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0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Exploration expenses</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Unproved properties valuation</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(loss)</w:t>
            </w:r>
            <w:r>
              <w:rPr>
                <w:rFonts w:ascii="Times New Roman" w:cs="Times New Roman" w:eastAsia="Times New Roman" w:hAnsi="Times New Roman"/>
                <w:sz w:val="9"/>
                <w:szCs w:val="9"/>
                <w:color w:val="auto"/>
              </w:rPr>
              <w:t>3</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(2,673)</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(2,656)</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3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r>
      <w:tr>
        <w:trPr>
          <w:trHeight w:val="23"/>
        </w:trPr>
        <w:tc>
          <w:tcPr>
            <w:tcW w:w="286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24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4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24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r>
      <w:tr>
        <w:trPr>
          <w:trHeight w:val="182"/>
        </w:trPr>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Results before income taxes</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5,433</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3,043</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3,152</w:t>
            </w:r>
          </w:p>
        </w:tc>
        <w:tc>
          <w:tcPr>
            <w:tcW w:w="240" w:type="dxa"/>
            <w:vAlign w:val="bottom"/>
          </w:tcPr>
          <w:p>
            <w:pPr>
              <w:spacing w:after="0"/>
              <w:rPr>
                <w:sz w:val="15"/>
                <w:szCs w:val="15"/>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7,984</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21,208</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4,684</w:t>
            </w:r>
          </w:p>
        </w:tc>
        <w:tc>
          <w:tcPr>
            <w:tcW w:w="3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w:t>
            </w:r>
          </w:p>
        </w:tc>
      </w:tr>
      <w:tr>
        <w:trPr>
          <w:trHeight w:val="19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w:t>
            </w: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(1,576)</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(2,776)</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(6,964)</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3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3"/>
        </w:trPr>
        <w:tc>
          <w:tcPr>
            <w:tcW w:w="286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70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24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4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24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32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r>
      <w:tr>
        <w:trPr>
          <w:trHeight w:val="190"/>
        </w:trPr>
        <w:tc>
          <w:tcPr>
            <w:tcW w:w="28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0077C0"/>
              </w:rPr>
              <w:t>Results of Producing Operations</w:t>
            </w:r>
          </w:p>
        </w:tc>
        <w:tc>
          <w:tcPr>
            <w:tcW w:w="28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4,238</w:t>
            </w:r>
          </w:p>
        </w:tc>
        <w:tc>
          <w:tcPr>
            <w:tcW w:w="200" w:type="dxa"/>
            <w:vAlign w:val="bottom"/>
            <w:tcBorders>
              <w:bottom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280" w:type="dxa"/>
            <w:vAlign w:val="bottom"/>
            <w:tcBorders>
              <w:bottom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2,211</w:t>
            </w:r>
          </w:p>
        </w:tc>
        <w:tc>
          <w:tcPr>
            <w:tcW w:w="28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1,576</w:t>
            </w:r>
          </w:p>
        </w:tc>
        <w:tc>
          <w:tcPr>
            <w:tcW w:w="24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5,208</w:t>
            </w:r>
          </w:p>
        </w:tc>
        <w:tc>
          <w:tcPr>
            <w:tcW w:w="22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40" w:type="dxa"/>
            <w:vAlign w:val="bottom"/>
            <w:tcBorders>
              <w:bottom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14,244</w:t>
            </w:r>
          </w:p>
        </w:tc>
        <w:tc>
          <w:tcPr>
            <w:tcW w:w="240" w:type="dxa"/>
            <w:vAlign w:val="bottom"/>
            <w:tcBorders>
              <w:bottom w:val="single" w:sz="8" w:color="0077C0"/>
            </w:tcBorders>
          </w:tcPr>
          <w:p>
            <w:pPr>
              <w:spacing w:after="0"/>
              <w:rPr>
                <w:sz w:val="16"/>
                <w:szCs w:val="16"/>
                <w:color w:val="auto"/>
              </w:rPr>
            </w:pPr>
          </w:p>
        </w:tc>
        <w:tc>
          <w:tcPr>
            <w:tcW w:w="26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3,276</w:t>
            </w:r>
          </w:p>
        </w:tc>
        <w:tc>
          <w:tcPr>
            <w:tcW w:w="320" w:type="dxa"/>
            <w:vAlign w:val="bottom"/>
            <w:tcBorders>
              <w:bottom w:val="single" w:sz="8" w:color="0077C0"/>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510</w:t>
            </w:r>
          </w:p>
        </w:tc>
      </w:tr>
    </w:tbl>
    <w:p>
      <w:pPr>
        <w:spacing w:after="0" w:line="90" w:lineRule="exact"/>
        <w:rPr>
          <w:sz w:val="20"/>
          <w:szCs w:val="20"/>
          <w:color w:val="auto"/>
        </w:rPr>
      </w:pPr>
    </w:p>
    <w:p>
      <w:pPr>
        <w:ind w:firstLine="8"/>
        <w:spacing w:after="0" w:line="252" w:lineRule="auto"/>
        <w:tabs>
          <w:tab w:leader="none" w:pos="61" w:val="left"/>
        </w:tabs>
        <w:numPr>
          <w:ilvl w:val="0"/>
          <w:numId w:val="6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The value of owned production consumed in operations as fuel has been eliminated from revenues and production expenses, and the related volumes have been deducted from net production in calculating the unit average sales price and production cost. This has no effect on the results of producing operations.</w:t>
      </w:r>
    </w:p>
    <w:p>
      <w:pPr>
        <w:spacing w:after="0" w:line="209" w:lineRule="auto"/>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 xml:space="preserve"> Represents accretion of ARO liability. Refer to </w:t>
      </w:r>
      <w:r>
        <w:rPr>
          <w:rFonts w:ascii="Times New Roman" w:cs="Times New Roman" w:eastAsia="Times New Roman" w:hAnsi="Times New Roman"/>
          <w:sz w:val="13"/>
          <w:szCs w:val="13"/>
          <w:u w:val="single" w:color="auto"/>
          <w:color w:val="0000FF"/>
        </w:rPr>
        <w:t>Note 25 Asset Retirement Obligations</w:t>
      </w:r>
      <w:r>
        <w:rPr>
          <w:rFonts w:ascii="Times New Roman" w:cs="Times New Roman" w:eastAsia="Times New Roman" w:hAnsi="Times New Roman"/>
          <w:sz w:val="13"/>
          <w:szCs w:val="13"/>
          <w:color w:val="auto"/>
        </w:rPr>
        <w:t>.</w:t>
      </w:r>
    </w:p>
    <w:p>
      <w:pPr>
        <w:spacing w:after="0" w:line="214" w:lineRule="auto"/>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6"/>
          <w:szCs w:val="16"/>
          <w:color w:val="auto"/>
          <w:vertAlign w:val="superscript"/>
        </w:rPr>
        <w:t>3</w:t>
      </w:r>
      <w:r>
        <w:rPr>
          <w:rFonts w:ascii="Times New Roman" w:cs="Times New Roman" w:eastAsia="Times New Roman" w:hAnsi="Times New Roman"/>
          <w:sz w:val="13"/>
          <w:szCs w:val="13"/>
          <w:color w:val="auto"/>
        </w:rPr>
        <w:t xml:space="preserve"> Includes foreign currency gains and losses, gains and losses on property dispositions and other miscellaneous income and expenses. 2023 also includes a loss related to decommissioning obligations from certain previously divested oil and gas production assets in the Gulf of America.</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07" w:name="page108"/>
    <w:bookmarkEnd w:id="107"/>
    <w:p>
      <w:pPr>
        <w:ind w:left="20"/>
        <w:spacing w:after="0"/>
        <w:tabs>
          <w:tab w:leader="none" w:pos="9460" w:val="left"/>
        </w:tabs>
        <w:rPr>
          <w:sz w:val="20"/>
          <w:szCs w:val="20"/>
          <w:color w:val="auto"/>
        </w:rPr>
      </w:pPr>
      <w:r>
        <w:rPr>
          <w:rFonts w:ascii="Arial" w:cs="Arial" w:eastAsia="Arial" w:hAnsi="Arial"/>
          <w:sz w:val="14"/>
          <w:szCs w:val="14"/>
          <w:color w:val="0077C0"/>
        </w:rPr>
        <w:t>Supplemental Information on Oil and Gas Producing Activities - Unaudited</w:t>
      </w:r>
      <w:r>
        <w:rPr>
          <w:sz w:val="20"/>
          <w:szCs w:val="20"/>
          <w:color w:val="auto"/>
        </w:rPr>
        <w:tab/>
      </w:r>
      <w:r>
        <w:rPr>
          <w:rFonts w:ascii="Arial" w:cs="Arial" w:eastAsia="Arial" w:hAnsi="Arial"/>
          <w:sz w:val="14"/>
          <w:szCs w:val="14"/>
          <w:color w:val="0077C0"/>
        </w:rPr>
        <w:t>Financial 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color w:val="0077C0"/>
        </w:rPr>
        <w:t>Table III - Results of Operations for Oil and Gas Producing Activities</w:t>
      </w:r>
      <w:r>
        <w:rPr>
          <w:rFonts w:ascii="Arial" w:cs="Arial" w:eastAsia="Arial" w:hAnsi="Arial"/>
          <w:sz w:val="21"/>
          <w:szCs w:val="21"/>
          <w:b w:val="1"/>
          <w:bCs w:val="1"/>
          <w:color w:val="0077C0"/>
          <w:vertAlign w:val="superscript"/>
        </w:rPr>
        <w:t>1</w:t>
      </w:r>
      <w:r>
        <w:rPr>
          <w:rFonts w:ascii="Arial" w:cs="Arial" w:eastAsia="Arial" w:hAnsi="Arial"/>
          <w:sz w:val="16"/>
          <w:szCs w:val="16"/>
          <w:b w:val="1"/>
          <w:bCs w:val="1"/>
          <w:color w:val="0077C0"/>
        </w:rPr>
        <w:t>, continued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color w:val="auto"/>
              </w:rPr>
              <w:t>Consolidated Companies</w:t>
            </w:r>
          </w:p>
        </w:tc>
        <w:tc>
          <w:tcPr>
            <w:tcW w:w="26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Affiliated Companies</w:t>
            </w:r>
          </w:p>
        </w:tc>
      </w:tr>
      <w:tr>
        <w:trPr>
          <w:trHeight w:val="23"/>
        </w:trPr>
        <w:tc>
          <w:tcPr>
            <w:tcW w:w="2860" w:type="dxa"/>
            <w:vAlign w:val="bottom"/>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4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r>
      <w:tr>
        <w:trPr>
          <w:trHeight w:val="182"/>
        </w:trPr>
        <w:tc>
          <w:tcPr>
            <w:tcW w:w="2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9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U.S.</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Americas</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Africa</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Asia</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Australia</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Europe</w:t>
            </w:r>
          </w:p>
        </w:tc>
        <w:tc>
          <w:tcPr>
            <w:tcW w:w="240" w:type="dxa"/>
            <w:vAlign w:val="bottom"/>
          </w:tcPr>
          <w:p>
            <w:pPr>
              <w:spacing w:after="0"/>
              <w:rPr>
                <w:sz w:val="16"/>
                <w:szCs w:val="16"/>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TCO</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Other</w:t>
            </w:r>
          </w:p>
        </w:tc>
      </w:tr>
      <w:tr>
        <w:trPr>
          <w:trHeight w:val="23"/>
        </w:trPr>
        <w:tc>
          <w:tcPr>
            <w:tcW w:w="286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4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r>
      <w:tr>
        <w:trPr>
          <w:trHeight w:val="184"/>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0077C0"/>
              </w:rPr>
              <w:t>Year Ended December 31, 2022</w:t>
            </w: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91"/>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Revenues from net production</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03"/>
        </w:trPr>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Sales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9,656</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2,192</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3,963</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7,302</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24,849</w:t>
            </w:r>
          </w:p>
        </w:tc>
        <w:tc>
          <w:tcPr>
            <w:tcW w:w="26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8,304</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2,080</w:t>
            </w:r>
          </w:p>
        </w:tc>
      </w:tr>
      <w:tr>
        <w:trPr>
          <w:trHeight w:val="203"/>
        </w:trPr>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Transfers</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18,494</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3,801</w:t>
            </w:r>
          </w:p>
        </w:tc>
        <w:tc>
          <w:tcPr>
            <w:tcW w:w="28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6,829</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2,477</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7,535</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39,136</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286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4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r>
      <w:tr>
        <w:trPr>
          <w:trHeight w:val="182"/>
        </w:trPr>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28,150</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4,973</w:t>
            </w:r>
          </w:p>
        </w:tc>
        <w:tc>
          <w:tcPr>
            <w:tcW w:w="280" w:type="dxa"/>
            <w:vAlign w:val="bottom"/>
          </w:tcPr>
          <w:p>
            <w:pPr>
              <w:spacing w:after="0"/>
              <w:rPr>
                <w:sz w:val="15"/>
                <w:szCs w:val="15"/>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9,021</w:t>
            </w: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6,440</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14,837</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63,985</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8,304</w:t>
            </w: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2,080</w:t>
            </w:r>
          </w:p>
        </w:tc>
      </w:tr>
      <w:tr>
        <w:trPr>
          <w:trHeight w:val="19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Production expenses excluding taxes</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(4,752)</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(1,515)</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(1,316)</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(9,328)</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20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Taxes other than on income</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(1,949)</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w:t>
            </w: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Proved producing properties:</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depletion</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(4,612)</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(1,223)</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(1,943)</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(1,765)</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(2,520)</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r>
      <w:tr>
        <w:trPr>
          <w:trHeight w:val="217"/>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Accretion expense</w:t>
            </w:r>
            <w:r>
              <w:rPr>
                <w:rFonts w:ascii="Times New Roman" w:cs="Times New Roman" w:eastAsia="Times New Roman" w:hAnsi="Times New Roman"/>
                <w:sz w:val="18"/>
                <w:szCs w:val="18"/>
                <w:color w:val="auto"/>
                <w:vertAlign w:val="superscript"/>
              </w:rPr>
              <w:t>2</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8"/>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Exploration expenses</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Unproved properties valuation</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6"/>
        </w:trPr>
        <w:tc>
          <w:tcPr>
            <w:tcW w:w="28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color w:val="auto"/>
              </w:rPr>
              <w:t>Other income (loss)</w:t>
            </w:r>
            <w:r>
              <w:rPr>
                <w:rFonts w:ascii="Times New Roman" w:cs="Times New Roman" w:eastAsia="Times New Roman" w:hAnsi="Times New Roman"/>
                <w:sz w:val="18"/>
                <w:szCs w:val="18"/>
                <w:color w:val="auto"/>
                <w:vertAlign w:val="superscript"/>
              </w:rPr>
              <w:t>3</w:t>
            </w:r>
          </w:p>
        </w:tc>
        <w:tc>
          <w:tcPr>
            <w:tcW w:w="260" w:type="dxa"/>
            <w:vAlign w:val="bottom"/>
            <w:tcBorders>
              <w:bottom w:val="single" w:sz="8" w:color="0077C0"/>
            </w:tcBorders>
          </w:tcPr>
          <w:p>
            <w:pPr>
              <w:spacing w:after="0"/>
              <w:rPr>
                <w:sz w:val="19"/>
                <w:szCs w:val="19"/>
                <w:color w:val="auto"/>
              </w:rPr>
            </w:pP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220" w:type="dxa"/>
            <w:vAlign w:val="bottom"/>
            <w:tcBorders>
              <w:bottom w:val="single" w:sz="8" w:color="0077C0"/>
            </w:tcBorders>
          </w:tcPr>
          <w:p>
            <w:pPr>
              <w:spacing w:after="0"/>
              <w:rPr>
                <w:sz w:val="19"/>
                <w:szCs w:val="19"/>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80" w:type="dxa"/>
            <w:vAlign w:val="bottom"/>
            <w:tcBorders>
              <w:bottom w:val="single" w:sz="8" w:color="0077C0"/>
            </w:tcBorders>
          </w:tcPr>
          <w:p>
            <w:pPr>
              <w:spacing w:after="0"/>
              <w:rPr>
                <w:sz w:val="19"/>
                <w:szCs w:val="19"/>
                <w:color w:val="auto"/>
              </w:rPr>
            </w:pPr>
          </w:p>
        </w:tc>
        <w:tc>
          <w:tcPr>
            <w:tcW w:w="64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300</w:t>
            </w:r>
          </w:p>
        </w:tc>
        <w:tc>
          <w:tcPr>
            <w:tcW w:w="260" w:type="dxa"/>
            <w:vAlign w:val="bottom"/>
            <w:tcBorders>
              <w:bottom w:val="single" w:sz="8" w:color="0077C0"/>
            </w:tcBorders>
          </w:tcPr>
          <w:p>
            <w:pPr>
              <w:spacing w:after="0"/>
              <w:rPr>
                <w:sz w:val="19"/>
                <w:szCs w:val="19"/>
                <w:color w:val="auto"/>
              </w:rPr>
            </w:pP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220" w:type="dxa"/>
            <w:vAlign w:val="bottom"/>
            <w:tcBorders>
              <w:bottom w:val="single" w:sz="8" w:color="0077C0"/>
            </w:tcBorders>
          </w:tcPr>
          <w:p>
            <w:pPr>
              <w:spacing w:after="0"/>
              <w:rPr>
                <w:sz w:val="19"/>
                <w:szCs w:val="19"/>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220" w:type="dxa"/>
            <w:vAlign w:val="bottom"/>
            <w:tcBorders>
              <w:bottom w:val="single" w:sz="8" w:color="0077C0"/>
            </w:tcBorders>
          </w:tcPr>
          <w:p>
            <w:pPr>
              <w:spacing w:after="0"/>
              <w:rPr>
                <w:sz w:val="19"/>
                <w:szCs w:val="19"/>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240" w:type="dxa"/>
            <w:vAlign w:val="bottom"/>
            <w:tcBorders>
              <w:bottom w:val="single" w:sz="8" w:color="0077C0"/>
            </w:tcBorders>
          </w:tcPr>
          <w:p>
            <w:pPr>
              <w:spacing w:after="0"/>
              <w:rPr>
                <w:sz w:val="19"/>
                <w:szCs w:val="19"/>
                <w:color w:val="auto"/>
              </w:rPr>
            </w:pPr>
          </w:p>
        </w:tc>
        <w:tc>
          <w:tcPr>
            <w:tcW w:w="6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260" w:type="dxa"/>
            <w:vAlign w:val="bottom"/>
            <w:tcBorders>
              <w:bottom w:val="single" w:sz="8" w:color="0077C0"/>
            </w:tcBorders>
          </w:tcPr>
          <w:p>
            <w:pPr>
              <w:spacing w:after="0"/>
              <w:rPr>
                <w:sz w:val="19"/>
                <w:szCs w:val="19"/>
                <w:color w:val="auto"/>
              </w:rPr>
            </w:pPr>
          </w:p>
        </w:tc>
        <w:tc>
          <w:tcPr>
            <w:tcW w:w="260" w:type="dxa"/>
            <w:vAlign w:val="bottom"/>
            <w:tcBorders>
              <w:bottom w:val="single" w:sz="8" w:color="0077C0"/>
            </w:tcBorders>
          </w:tcPr>
          <w:p>
            <w:pPr>
              <w:spacing w:after="0"/>
              <w:rPr>
                <w:sz w:val="19"/>
                <w:szCs w:val="19"/>
                <w:color w:val="auto"/>
              </w:rPr>
            </w:pP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300" w:type="dxa"/>
            <w:vAlign w:val="bottom"/>
            <w:tcBorders>
              <w:bottom w:val="single" w:sz="8" w:color="0077C0"/>
            </w:tcBorders>
          </w:tcPr>
          <w:p>
            <w:pPr>
              <w:spacing w:after="0"/>
              <w:rPr>
                <w:sz w:val="19"/>
                <w:szCs w:val="19"/>
                <w:color w:val="auto"/>
              </w:rPr>
            </w:pP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82"/>
        </w:trPr>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Results before income taxes</w:t>
            </w: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16,985</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2,174</w:t>
            </w:r>
          </w:p>
        </w:tc>
        <w:tc>
          <w:tcPr>
            <w:tcW w:w="280" w:type="dxa"/>
            <w:vAlign w:val="bottom"/>
          </w:tcPr>
          <w:p>
            <w:pPr>
              <w:spacing w:after="0"/>
              <w:rPr>
                <w:sz w:val="15"/>
                <w:szCs w:val="15"/>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5,288</w:t>
            </w: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3,184</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11,273</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39,379</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6,111</w:t>
            </w: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1,839</w:t>
            </w:r>
          </w:p>
        </w:tc>
      </w:tr>
      <w:tr>
        <w:trPr>
          <w:trHeight w:val="19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(3,736)</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(3,114)</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(1,742)</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(3,185)</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(12,640)</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(1,835)</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3"/>
        </w:trPr>
        <w:tc>
          <w:tcPr>
            <w:tcW w:w="286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4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26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r>
      <w:tr>
        <w:trPr>
          <w:trHeight w:val="190"/>
        </w:trPr>
        <w:tc>
          <w:tcPr>
            <w:tcW w:w="28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0077C0"/>
              </w:rPr>
              <w:t>Results of Producing Operations</w:t>
            </w:r>
          </w:p>
        </w:tc>
        <w:tc>
          <w:tcPr>
            <w:tcW w:w="26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13,249</w:t>
            </w:r>
          </w:p>
        </w:tc>
        <w:tc>
          <w:tcPr>
            <w:tcW w:w="220" w:type="dxa"/>
            <w:vAlign w:val="bottom"/>
            <w:tcBorders>
              <w:bottom w:val="single" w:sz="8" w:color="0077C0"/>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1,504</w:t>
            </w:r>
          </w:p>
        </w:tc>
        <w:tc>
          <w:tcPr>
            <w:tcW w:w="28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2,174</w:t>
            </w:r>
          </w:p>
        </w:tc>
        <w:tc>
          <w:tcPr>
            <w:tcW w:w="26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1,442</w:t>
            </w:r>
          </w:p>
        </w:tc>
        <w:tc>
          <w:tcPr>
            <w:tcW w:w="22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8,088</w:t>
            </w:r>
          </w:p>
        </w:tc>
        <w:tc>
          <w:tcPr>
            <w:tcW w:w="22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24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26,739</w:t>
            </w:r>
          </w:p>
        </w:tc>
        <w:tc>
          <w:tcPr>
            <w:tcW w:w="260" w:type="dxa"/>
            <w:vAlign w:val="bottom"/>
            <w:tcBorders>
              <w:bottom w:val="single" w:sz="8" w:color="0077C0"/>
            </w:tcBorders>
          </w:tcPr>
          <w:p>
            <w:pPr>
              <w:spacing w:after="0"/>
              <w:rPr>
                <w:sz w:val="16"/>
                <w:szCs w:val="16"/>
                <w:color w:val="auto"/>
              </w:rPr>
            </w:pPr>
          </w:p>
        </w:tc>
        <w:tc>
          <w:tcPr>
            <w:tcW w:w="26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4,276</w:t>
            </w:r>
          </w:p>
        </w:tc>
        <w:tc>
          <w:tcPr>
            <w:tcW w:w="300" w:type="dxa"/>
            <w:vAlign w:val="bottom"/>
            <w:tcBorders>
              <w:bottom w:val="single" w:sz="8" w:color="0077C0"/>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1,851</w:t>
            </w:r>
          </w:p>
        </w:tc>
      </w:tr>
    </w:tbl>
    <w:p>
      <w:pPr>
        <w:spacing w:after="0" w:line="76" w:lineRule="exact"/>
        <w:rPr>
          <w:sz w:val="20"/>
          <w:szCs w:val="20"/>
          <w:color w:val="auto"/>
        </w:rPr>
      </w:pPr>
    </w:p>
    <w:p>
      <w:pPr>
        <w:ind w:firstLine="8"/>
        <w:spacing w:after="0" w:line="241" w:lineRule="auto"/>
        <w:tabs>
          <w:tab w:leader="none" w:pos="61" w:val="left"/>
        </w:tabs>
        <w:numPr>
          <w:ilvl w:val="0"/>
          <w:numId w:val="64"/>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The value of owned production consumed in operations as fuel has been eliminated from revenues and production expenses, and the related volumes have been deducted from net production in calculating the unit average sales price and production cost. This has no effect on the results of producing operations.</w:t>
      </w:r>
    </w:p>
    <w:p>
      <w:pPr>
        <w:spacing w:after="0"/>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 xml:space="preserve"> Represents accretion of ARO liability. Refer to </w:t>
      </w:r>
      <w:r>
        <w:rPr>
          <w:rFonts w:ascii="Times New Roman" w:cs="Times New Roman" w:eastAsia="Times New Roman" w:hAnsi="Times New Roman"/>
          <w:sz w:val="13"/>
          <w:szCs w:val="13"/>
          <w:u w:val="single" w:color="auto"/>
          <w:color w:val="0000FF"/>
        </w:rPr>
        <w:t>Note 25 Asset Retirement Obligations</w:t>
      </w:r>
      <w:r>
        <w:rPr>
          <w:rFonts w:ascii="Times New Roman" w:cs="Times New Roman" w:eastAsia="Times New Roman" w:hAnsi="Times New Roman"/>
          <w:sz w:val="13"/>
          <w:szCs w:val="13"/>
          <w:color w:val="auto"/>
        </w:rPr>
        <w:t>.</w:t>
      </w:r>
    </w:p>
    <w:p>
      <w:pPr>
        <w:spacing w:after="0" w:line="3" w:lineRule="exact"/>
        <w:rPr>
          <w:rFonts w:ascii="Times New Roman" w:cs="Times New Roman" w:eastAsia="Times New Roman" w:hAnsi="Times New Roman"/>
          <w:sz w:val="15"/>
          <w:szCs w:val="15"/>
          <w:color w:val="auto"/>
          <w:vertAlign w:val="superscript"/>
        </w:rPr>
      </w:pPr>
    </w:p>
    <w:p>
      <w:pPr>
        <w:spacing w:after="0"/>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6"/>
          <w:szCs w:val="16"/>
          <w:color w:val="auto"/>
          <w:vertAlign w:val="superscript"/>
        </w:rPr>
        <w:t>3</w:t>
      </w:r>
      <w:r>
        <w:rPr>
          <w:rFonts w:ascii="Times New Roman" w:cs="Times New Roman" w:eastAsia="Times New Roman" w:hAnsi="Times New Roman"/>
          <w:sz w:val="13"/>
          <w:szCs w:val="13"/>
          <w:color w:val="auto"/>
        </w:rPr>
        <w:t xml:space="preserve"> Includes foreign currency gains and losses, gains and losses on property dispositions and other miscellaneous income and expenses.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0077C0"/>
        </w:rPr>
        <w:t>Table IV - Results of Operations for Oil and Gas Producing Activities - Unit Prices and Costs</w:t>
      </w:r>
      <w:r>
        <w:rPr>
          <w:rFonts w:ascii="Arial" w:cs="Arial" w:eastAsia="Arial" w:hAnsi="Arial"/>
          <w:sz w:val="21"/>
          <w:szCs w:val="21"/>
          <w:b w:val="1"/>
          <w:bCs w:val="1"/>
          <w:color w:val="0077C0"/>
          <w:vertAlign w:val="superscript"/>
        </w:rPr>
        <w:t>1</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Consolidated Companies</w:t>
            </w:r>
          </w:p>
        </w:tc>
        <w:tc>
          <w:tcPr>
            <w:tcW w:w="30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Affiliated Companies</w:t>
            </w:r>
          </w:p>
        </w:tc>
      </w:tr>
      <w:tr>
        <w:trPr>
          <w:trHeight w:val="23"/>
        </w:trPr>
        <w:tc>
          <w:tcPr>
            <w:tcW w:w="2940" w:type="dxa"/>
            <w:vAlign w:val="bottom"/>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r>
      <w:tr>
        <w:trPr>
          <w:trHeight w:val="182"/>
        </w:trPr>
        <w:tc>
          <w:tcPr>
            <w:tcW w:w="2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93"/>
        </w:trPr>
        <w:tc>
          <w:tcPr>
            <w:tcW w:w="2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U.S.</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Americas</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Africa</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Asia</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Australia</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Europe</w:t>
            </w:r>
          </w:p>
        </w:tc>
        <w:tc>
          <w:tcPr>
            <w:tcW w:w="3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TCO</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Other</w:t>
            </w:r>
          </w:p>
        </w:tc>
      </w:tr>
      <w:tr>
        <w:trPr>
          <w:trHeight w:val="23"/>
        </w:trPr>
        <w:tc>
          <w:tcPr>
            <w:tcW w:w="294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8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30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r>
      <w:tr>
        <w:trPr>
          <w:trHeight w:val="184"/>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0077C0"/>
              </w:rPr>
              <w:t>Year Ended December 31, 2024</w:t>
            </w: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91"/>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sales prices</w:t>
            </w: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03"/>
        </w:trPr>
        <w:tc>
          <w:tcPr>
            <w:tcW w:w="2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Crude, per barrel</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73.47</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70.06</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75.69</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71.22</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74.20</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77.47</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73.27</w:t>
            </w:r>
          </w:p>
        </w:tc>
        <w:tc>
          <w:tcPr>
            <w:tcW w:w="18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67.02</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3"/>
        </w:trPr>
        <w:tc>
          <w:tcPr>
            <w:tcW w:w="2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Natural gas liquids, per barrel</w:t>
            </w: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19.88</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26.53</w:t>
            </w:r>
          </w:p>
        </w:tc>
        <w:tc>
          <w:tcPr>
            <w:tcW w:w="28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32.13</w:t>
            </w: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59.48</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20.51</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12.09</w:t>
            </w: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47.61</w:t>
            </w:r>
          </w:p>
        </w:tc>
      </w:tr>
      <w:tr>
        <w:trPr>
          <w:trHeight w:val="203"/>
        </w:trPr>
        <w:tc>
          <w:tcPr>
            <w:tcW w:w="2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Natural gas, per thousand cubic feet</w:t>
            </w: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1.03</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1.03</w:t>
            </w:r>
          </w:p>
        </w:tc>
        <w:tc>
          <w:tcPr>
            <w:tcW w:w="28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4.14</w:t>
            </w: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4.21</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10.24</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9.10</w:t>
            </w: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4.99</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1.57</w:t>
            </w: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7.75</w:t>
            </w:r>
          </w:p>
        </w:tc>
      </w:tr>
      <w:tr>
        <w:trPr>
          <w:trHeight w:val="226"/>
        </w:trPr>
        <w:tc>
          <w:tcPr>
            <w:tcW w:w="294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color w:val="auto"/>
              </w:rPr>
              <w:t>Average production costs, per barrel</w:t>
            </w:r>
            <w:r>
              <w:rPr>
                <w:rFonts w:ascii="Times New Roman" w:cs="Times New Roman" w:eastAsia="Times New Roman" w:hAnsi="Times New Roman"/>
                <w:sz w:val="18"/>
                <w:szCs w:val="18"/>
                <w:color w:val="auto"/>
                <w:vertAlign w:val="superscript"/>
              </w:rPr>
              <w:t>2</w:t>
            </w:r>
          </w:p>
        </w:tc>
        <w:tc>
          <w:tcPr>
            <w:tcW w:w="300" w:type="dxa"/>
            <w:vAlign w:val="bottom"/>
            <w:tcBorders>
              <w:bottom w:val="single" w:sz="8" w:color="0077C0"/>
            </w:tcBorders>
          </w:tcPr>
          <w:p>
            <w:pPr>
              <w:spacing w:after="0"/>
              <w:rPr>
                <w:sz w:val="19"/>
                <w:szCs w:val="19"/>
                <w:color w:val="auto"/>
              </w:rPr>
            </w:pP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9.41</w:t>
            </w:r>
          </w:p>
        </w:tc>
        <w:tc>
          <w:tcPr>
            <w:tcW w:w="220" w:type="dxa"/>
            <w:vAlign w:val="bottom"/>
            <w:tcBorders>
              <w:bottom w:val="single" w:sz="8" w:color="0077C0"/>
            </w:tcBorders>
          </w:tcPr>
          <w:p>
            <w:pPr>
              <w:spacing w:after="0"/>
              <w:rPr>
                <w:sz w:val="19"/>
                <w:szCs w:val="19"/>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14.28</w:t>
            </w:r>
          </w:p>
        </w:tc>
        <w:tc>
          <w:tcPr>
            <w:tcW w:w="280" w:type="dxa"/>
            <w:vAlign w:val="bottom"/>
            <w:tcBorders>
              <w:bottom w:val="single" w:sz="8" w:color="0077C0"/>
            </w:tcBorders>
          </w:tcPr>
          <w:p>
            <w:pPr>
              <w:spacing w:after="0"/>
              <w:rPr>
                <w:sz w:val="19"/>
                <w:szCs w:val="19"/>
                <w:color w:val="auto"/>
              </w:rPr>
            </w:pPr>
          </w:p>
        </w:tc>
        <w:tc>
          <w:tcPr>
            <w:tcW w:w="64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18.07</w:t>
            </w:r>
          </w:p>
        </w:tc>
        <w:tc>
          <w:tcPr>
            <w:tcW w:w="300" w:type="dxa"/>
            <w:vAlign w:val="bottom"/>
            <w:tcBorders>
              <w:bottom w:val="single" w:sz="8" w:color="0077C0"/>
            </w:tcBorders>
          </w:tcPr>
          <w:p>
            <w:pPr>
              <w:spacing w:after="0"/>
              <w:rPr>
                <w:sz w:val="19"/>
                <w:szCs w:val="19"/>
                <w:color w:val="auto"/>
              </w:rPr>
            </w:pP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6.80</w:t>
            </w:r>
          </w:p>
        </w:tc>
        <w:tc>
          <w:tcPr>
            <w:tcW w:w="220" w:type="dxa"/>
            <w:vAlign w:val="bottom"/>
            <w:tcBorders>
              <w:bottom w:val="single" w:sz="8" w:color="0077C0"/>
            </w:tcBorders>
          </w:tcPr>
          <w:p>
            <w:pPr>
              <w:spacing w:after="0"/>
              <w:rPr>
                <w:sz w:val="19"/>
                <w:szCs w:val="19"/>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3.37</w:t>
            </w:r>
          </w:p>
        </w:tc>
        <w:tc>
          <w:tcPr>
            <w:tcW w:w="220" w:type="dxa"/>
            <w:vAlign w:val="bottom"/>
            <w:tcBorders>
              <w:bottom w:val="single" w:sz="8" w:color="0077C0"/>
            </w:tcBorders>
          </w:tcPr>
          <w:p>
            <w:pPr>
              <w:spacing w:after="0"/>
              <w:rPr>
                <w:sz w:val="19"/>
                <w:szCs w:val="19"/>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16.43</w:t>
            </w:r>
          </w:p>
        </w:tc>
        <w:tc>
          <w:tcPr>
            <w:tcW w:w="300" w:type="dxa"/>
            <w:vAlign w:val="bottom"/>
            <w:tcBorders>
              <w:bottom w:val="single" w:sz="8" w:color="0077C0"/>
            </w:tcBorders>
          </w:tcPr>
          <w:p>
            <w:pPr>
              <w:spacing w:after="0"/>
              <w:rPr>
                <w:sz w:val="19"/>
                <w:szCs w:val="19"/>
                <w:color w:val="auto"/>
              </w:rPr>
            </w:pP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9.23</w:t>
            </w:r>
          </w:p>
        </w:tc>
        <w:tc>
          <w:tcPr>
            <w:tcW w:w="180" w:type="dxa"/>
            <w:vAlign w:val="bottom"/>
            <w:tcBorders>
              <w:bottom w:val="single" w:sz="8" w:color="0077C0"/>
            </w:tcBorders>
          </w:tcPr>
          <w:p>
            <w:pPr>
              <w:spacing w:after="0"/>
              <w:rPr>
                <w:sz w:val="19"/>
                <w:szCs w:val="19"/>
                <w:color w:val="auto"/>
              </w:rPr>
            </w:pPr>
          </w:p>
        </w:tc>
        <w:tc>
          <w:tcPr>
            <w:tcW w:w="300" w:type="dxa"/>
            <w:vAlign w:val="bottom"/>
            <w:tcBorders>
              <w:bottom w:val="single" w:sz="8" w:color="0077C0"/>
            </w:tcBorders>
          </w:tcPr>
          <w:p>
            <w:pPr>
              <w:spacing w:after="0"/>
              <w:rPr>
                <w:sz w:val="19"/>
                <w:szCs w:val="19"/>
                <w:color w:val="auto"/>
              </w:rPr>
            </w:pP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5.44</w:t>
            </w:r>
          </w:p>
        </w:tc>
        <w:tc>
          <w:tcPr>
            <w:tcW w:w="300" w:type="dxa"/>
            <w:vAlign w:val="bottom"/>
            <w:tcBorders>
              <w:bottom w:val="single" w:sz="8" w:color="0077C0"/>
            </w:tcBorders>
          </w:tcPr>
          <w:p>
            <w:pPr>
              <w:spacing w:after="0"/>
              <w:rPr>
                <w:sz w:val="19"/>
                <w:szCs w:val="19"/>
                <w:color w:val="auto"/>
              </w:rPr>
            </w:pP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2.89</w:t>
            </w:r>
          </w:p>
        </w:tc>
      </w:tr>
      <w:tr>
        <w:trPr>
          <w:trHeight w:val="184"/>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0077C0"/>
              </w:rPr>
              <w:t>Year Ended December 31, 2023</w:t>
            </w: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91"/>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sales prices</w:t>
            </w: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03"/>
        </w:trPr>
        <w:tc>
          <w:tcPr>
            <w:tcW w:w="2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Crude, per barrel</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74.36</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72.85</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72.86</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70.05</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78.93</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83.00</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73.76</w:t>
            </w:r>
          </w:p>
        </w:tc>
        <w:tc>
          <w:tcPr>
            <w:tcW w:w="18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66.44</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Natural gas liquids, per barrel</w:t>
            </w: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20.01</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29.00</w:t>
            </w:r>
          </w:p>
        </w:tc>
        <w:tc>
          <w:tcPr>
            <w:tcW w:w="28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27.80</w:t>
            </w: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51.00</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20.79</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45.33</w:t>
            </w:r>
          </w:p>
        </w:tc>
      </w:tr>
      <w:tr>
        <w:trPr>
          <w:trHeight w:val="203"/>
        </w:trPr>
        <w:tc>
          <w:tcPr>
            <w:tcW w:w="2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Natural gas, per thousand cubic feet</w:t>
            </w: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28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3.95</w:t>
            </w: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11.43</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w:t>
            </w:r>
          </w:p>
        </w:tc>
      </w:tr>
      <w:tr>
        <w:trPr>
          <w:trHeight w:val="226"/>
        </w:trPr>
        <w:tc>
          <w:tcPr>
            <w:tcW w:w="294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color w:val="auto"/>
              </w:rPr>
              <w:t>Average production costs, per barrel</w:t>
            </w:r>
            <w:r>
              <w:rPr>
                <w:rFonts w:ascii="Times New Roman" w:cs="Times New Roman" w:eastAsia="Times New Roman" w:hAnsi="Times New Roman"/>
                <w:sz w:val="18"/>
                <w:szCs w:val="18"/>
                <w:color w:val="auto"/>
                <w:vertAlign w:val="superscript"/>
              </w:rPr>
              <w:t>2</w:t>
            </w:r>
          </w:p>
        </w:tc>
        <w:tc>
          <w:tcPr>
            <w:tcW w:w="300" w:type="dxa"/>
            <w:vAlign w:val="bottom"/>
            <w:tcBorders>
              <w:bottom w:val="single" w:sz="8" w:color="0077C0"/>
            </w:tcBorders>
          </w:tcPr>
          <w:p>
            <w:pPr>
              <w:spacing w:after="0"/>
              <w:rPr>
                <w:sz w:val="19"/>
                <w:szCs w:val="19"/>
                <w:color w:val="auto"/>
              </w:rPr>
            </w:pP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220" w:type="dxa"/>
            <w:vAlign w:val="bottom"/>
            <w:tcBorders>
              <w:bottom w:val="single" w:sz="8" w:color="0077C0"/>
            </w:tcBorders>
          </w:tcPr>
          <w:p>
            <w:pPr>
              <w:spacing w:after="0"/>
              <w:rPr>
                <w:sz w:val="19"/>
                <w:szCs w:val="19"/>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16.13</w:t>
            </w:r>
          </w:p>
        </w:tc>
        <w:tc>
          <w:tcPr>
            <w:tcW w:w="280" w:type="dxa"/>
            <w:vAlign w:val="bottom"/>
            <w:tcBorders>
              <w:bottom w:val="single" w:sz="8" w:color="0077C0"/>
            </w:tcBorders>
          </w:tcPr>
          <w:p>
            <w:pPr>
              <w:spacing w:after="0"/>
              <w:rPr>
                <w:sz w:val="19"/>
                <w:szCs w:val="19"/>
                <w:color w:val="auto"/>
              </w:rPr>
            </w:pPr>
          </w:p>
        </w:tc>
        <w:tc>
          <w:tcPr>
            <w:tcW w:w="6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16.35</w:t>
            </w:r>
          </w:p>
        </w:tc>
        <w:tc>
          <w:tcPr>
            <w:tcW w:w="300" w:type="dxa"/>
            <w:vAlign w:val="bottom"/>
            <w:tcBorders>
              <w:bottom w:val="single" w:sz="8" w:color="0077C0"/>
            </w:tcBorders>
          </w:tcPr>
          <w:p>
            <w:pPr>
              <w:spacing w:after="0"/>
              <w:rPr>
                <w:sz w:val="19"/>
                <w:szCs w:val="19"/>
                <w:color w:val="auto"/>
              </w:rPr>
            </w:pP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220" w:type="dxa"/>
            <w:vAlign w:val="bottom"/>
            <w:tcBorders>
              <w:bottom w:val="single" w:sz="8" w:color="0077C0"/>
            </w:tcBorders>
          </w:tcPr>
          <w:p>
            <w:pPr>
              <w:spacing w:after="0"/>
              <w:rPr>
                <w:sz w:val="19"/>
                <w:szCs w:val="19"/>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220" w:type="dxa"/>
            <w:vAlign w:val="bottom"/>
            <w:tcBorders>
              <w:bottom w:val="single" w:sz="8" w:color="0077C0"/>
            </w:tcBorders>
          </w:tcPr>
          <w:p>
            <w:pPr>
              <w:spacing w:after="0"/>
              <w:rPr>
                <w:sz w:val="19"/>
                <w:szCs w:val="19"/>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12.80</w:t>
            </w:r>
          </w:p>
        </w:tc>
        <w:tc>
          <w:tcPr>
            <w:tcW w:w="300" w:type="dxa"/>
            <w:vAlign w:val="bottom"/>
            <w:tcBorders>
              <w:bottom w:val="single" w:sz="8" w:color="0077C0"/>
            </w:tcBorders>
          </w:tcPr>
          <w:p>
            <w:pPr>
              <w:spacing w:after="0"/>
              <w:rPr>
                <w:sz w:val="19"/>
                <w:szCs w:val="19"/>
                <w:color w:val="auto"/>
              </w:rPr>
            </w:pP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10.23</w:t>
            </w:r>
          </w:p>
        </w:tc>
        <w:tc>
          <w:tcPr>
            <w:tcW w:w="180" w:type="dxa"/>
            <w:vAlign w:val="bottom"/>
            <w:tcBorders>
              <w:bottom w:val="single" w:sz="8" w:color="0077C0"/>
            </w:tcBorders>
          </w:tcPr>
          <w:p>
            <w:pPr>
              <w:spacing w:after="0"/>
              <w:rPr>
                <w:sz w:val="19"/>
                <w:szCs w:val="19"/>
                <w:color w:val="auto"/>
              </w:rPr>
            </w:pPr>
          </w:p>
        </w:tc>
        <w:tc>
          <w:tcPr>
            <w:tcW w:w="300" w:type="dxa"/>
            <w:vAlign w:val="bottom"/>
            <w:tcBorders>
              <w:bottom w:val="single" w:sz="8" w:color="0077C0"/>
            </w:tcBorders>
          </w:tcPr>
          <w:p>
            <w:pPr>
              <w:spacing w:after="0"/>
              <w:rPr>
                <w:sz w:val="19"/>
                <w:szCs w:val="19"/>
                <w:color w:val="auto"/>
              </w:rPr>
            </w:pP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300" w:type="dxa"/>
            <w:vAlign w:val="bottom"/>
            <w:tcBorders>
              <w:bottom w:val="single" w:sz="8" w:color="0077C0"/>
            </w:tcBorders>
          </w:tcPr>
          <w:p>
            <w:pPr>
              <w:spacing w:after="0"/>
              <w:rPr>
                <w:sz w:val="19"/>
                <w:szCs w:val="19"/>
                <w:color w:val="auto"/>
              </w:rPr>
            </w:pP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2.94</w:t>
            </w:r>
          </w:p>
        </w:tc>
      </w:tr>
      <w:tr>
        <w:trPr>
          <w:trHeight w:val="184"/>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0077C0"/>
              </w:rPr>
              <w:t>Year Ended December 31, 2022</w:t>
            </w: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91"/>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sales prices</w:t>
            </w: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03"/>
        </w:trPr>
        <w:tc>
          <w:tcPr>
            <w:tcW w:w="2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Crude, per barrel</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91.88</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90.04</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100.82</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85.64</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98.00</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102.00</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92.92</w:t>
            </w:r>
          </w:p>
        </w:tc>
        <w:tc>
          <w:tcPr>
            <w:tcW w:w="18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85.71</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Natural gas liquids, per barrel</w:t>
            </w: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33.76</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34.33</w:t>
            </w:r>
          </w:p>
        </w:tc>
        <w:tc>
          <w:tcPr>
            <w:tcW w:w="28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35.43</w:t>
            </w: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34.31</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20.83</w:t>
            </w: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65.33</w:t>
            </w:r>
          </w:p>
        </w:tc>
      </w:tr>
      <w:tr>
        <w:trPr>
          <w:trHeight w:val="203"/>
        </w:trPr>
        <w:tc>
          <w:tcPr>
            <w:tcW w:w="2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Natural gas, per thousand cubic feet</w:t>
            </w: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28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9.00</w:t>
            </w: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15.34</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27.00</w:t>
            </w: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0.95</w:t>
            </w: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29.44</w:t>
            </w:r>
          </w:p>
        </w:tc>
      </w:tr>
      <w:tr>
        <w:trPr>
          <w:trHeight w:val="226"/>
        </w:trPr>
        <w:tc>
          <w:tcPr>
            <w:tcW w:w="294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color w:val="auto"/>
              </w:rPr>
              <w:t>Average production costs, per barrel</w:t>
            </w:r>
            <w:r>
              <w:rPr>
                <w:rFonts w:ascii="Times New Roman" w:cs="Times New Roman" w:eastAsia="Times New Roman" w:hAnsi="Times New Roman"/>
                <w:sz w:val="18"/>
                <w:szCs w:val="18"/>
                <w:color w:val="auto"/>
                <w:vertAlign w:val="superscript"/>
              </w:rPr>
              <w:t>2</w:t>
            </w:r>
          </w:p>
        </w:tc>
        <w:tc>
          <w:tcPr>
            <w:tcW w:w="300" w:type="dxa"/>
            <w:vAlign w:val="bottom"/>
            <w:tcBorders>
              <w:bottom w:val="single" w:sz="8" w:color="0077C0"/>
            </w:tcBorders>
          </w:tcPr>
          <w:p>
            <w:pPr>
              <w:spacing w:after="0"/>
              <w:rPr>
                <w:sz w:val="19"/>
                <w:szCs w:val="19"/>
                <w:color w:val="auto"/>
              </w:rPr>
            </w:pP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220" w:type="dxa"/>
            <w:vAlign w:val="bottom"/>
            <w:tcBorders>
              <w:bottom w:val="single" w:sz="8" w:color="0077C0"/>
            </w:tcBorders>
          </w:tcPr>
          <w:p>
            <w:pPr>
              <w:spacing w:after="0"/>
              <w:rPr>
                <w:sz w:val="19"/>
                <w:szCs w:val="19"/>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17.00</w:t>
            </w:r>
          </w:p>
        </w:tc>
        <w:tc>
          <w:tcPr>
            <w:tcW w:w="280" w:type="dxa"/>
            <w:vAlign w:val="bottom"/>
            <w:tcBorders>
              <w:bottom w:val="single" w:sz="8" w:color="0077C0"/>
            </w:tcBorders>
          </w:tcPr>
          <w:p>
            <w:pPr>
              <w:spacing w:after="0"/>
              <w:rPr>
                <w:sz w:val="19"/>
                <w:szCs w:val="19"/>
                <w:color w:val="auto"/>
              </w:rPr>
            </w:pPr>
          </w:p>
        </w:tc>
        <w:tc>
          <w:tcPr>
            <w:tcW w:w="64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14.43</w:t>
            </w:r>
          </w:p>
        </w:tc>
        <w:tc>
          <w:tcPr>
            <w:tcW w:w="300" w:type="dxa"/>
            <w:vAlign w:val="bottom"/>
            <w:tcBorders>
              <w:bottom w:val="single" w:sz="8" w:color="0077C0"/>
            </w:tcBorders>
          </w:tcPr>
          <w:p>
            <w:pPr>
              <w:spacing w:after="0"/>
              <w:rPr>
                <w:sz w:val="19"/>
                <w:szCs w:val="19"/>
                <w:color w:val="auto"/>
              </w:rPr>
            </w:pP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220" w:type="dxa"/>
            <w:vAlign w:val="bottom"/>
            <w:tcBorders>
              <w:bottom w:val="single" w:sz="8" w:color="0077C0"/>
            </w:tcBorders>
          </w:tcPr>
          <w:p>
            <w:pPr>
              <w:spacing w:after="0"/>
              <w:rPr>
                <w:sz w:val="19"/>
                <w:szCs w:val="19"/>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220" w:type="dxa"/>
            <w:vAlign w:val="bottom"/>
            <w:tcBorders>
              <w:bottom w:val="single" w:sz="8" w:color="0077C0"/>
            </w:tcBorders>
          </w:tcPr>
          <w:p>
            <w:pPr>
              <w:spacing w:after="0"/>
              <w:rPr>
                <w:sz w:val="19"/>
                <w:szCs w:val="19"/>
                <w:color w:val="auto"/>
              </w:rPr>
            </w:pPr>
          </w:p>
        </w:tc>
        <w:tc>
          <w:tcPr>
            <w:tcW w:w="6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300" w:type="dxa"/>
            <w:vAlign w:val="bottom"/>
            <w:tcBorders>
              <w:bottom w:val="single" w:sz="8" w:color="0077C0"/>
            </w:tcBorders>
          </w:tcPr>
          <w:p>
            <w:pPr>
              <w:spacing w:after="0"/>
              <w:rPr>
                <w:sz w:val="19"/>
                <w:szCs w:val="19"/>
                <w:color w:val="auto"/>
              </w:rPr>
            </w:pP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10.16</w:t>
            </w:r>
          </w:p>
        </w:tc>
        <w:tc>
          <w:tcPr>
            <w:tcW w:w="180" w:type="dxa"/>
            <w:vAlign w:val="bottom"/>
            <w:tcBorders>
              <w:bottom w:val="single" w:sz="8" w:color="0077C0"/>
            </w:tcBorders>
          </w:tcPr>
          <w:p>
            <w:pPr>
              <w:spacing w:after="0"/>
              <w:rPr>
                <w:sz w:val="19"/>
                <w:szCs w:val="19"/>
                <w:color w:val="auto"/>
              </w:rPr>
            </w:pPr>
          </w:p>
        </w:tc>
        <w:tc>
          <w:tcPr>
            <w:tcW w:w="300" w:type="dxa"/>
            <w:vAlign w:val="bottom"/>
            <w:tcBorders>
              <w:bottom w:val="single" w:sz="8" w:color="0077C0"/>
            </w:tcBorders>
          </w:tcPr>
          <w:p>
            <w:pPr>
              <w:spacing w:after="0"/>
              <w:rPr>
                <w:sz w:val="19"/>
                <w:szCs w:val="19"/>
                <w:color w:val="auto"/>
              </w:rPr>
            </w:pP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300" w:type="dxa"/>
            <w:vAlign w:val="bottom"/>
            <w:tcBorders>
              <w:bottom w:val="single" w:sz="8" w:color="0077C0"/>
            </w:tcBorders>
          </w:tcPr>
          <w:p>
            <w:pPr>
              <w:spacing w:after="0"/>
              <w:rPr>
                <w:sz w:val="19"/>
                <w:szCs w:val="19"/>
                <w:color w:val="auto"/>
              </w:rPr>
            </w:pP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3.36</w:t>
            </w:r>
          </w:p>
        </w:tc>
      </w:tr>
    </w:tbl>
    <w:p>
      <w:pPr>
        <w:spacing w:after="0" w:line="76" w:lineRule="exact"/>
        <w:rPr>
          <w:sz w:val="20"/>
          <w:szCs w:val="20"/>
          <w:color w:val="auto"/>
        </w:rPr>
      </w:pPr>
    </w:p>
    <w:p>
      <w:pPr>
        <w:ind w:firstLine="8"/>
        <w:spacing w:after="0"/>
        <w:tabs>
          <w:tab w:leader="none" w:pos="61" w:val="left"/>
        </w:tabs>
        <w:numPr>
          <w:ilvl w:val="0"/>
          <w:numId w:val="65"/>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The value of owned production consumed in operations as fuel has been eliminated from revenues and production expenses, and the related volumes have been deducted from net production in calculating the unit average sales price and production cost. This has no effect on the results of producing operations.</w:t>
      </w:r>
    </w:p>
    <w:p>
      <w:pPr>
        <w:spacing w:after="0"/>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 xml:space="preserve"> Natural gas converted to oil-equivalent gas (OEG) barrels at a rate of 6 MCF = 1 OEG barrel.</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108" w:name="page109"/>
    <w:bookmarkEnd w:id="108"/>
    <w:p>
      <w:pPr>
        <w:ind w:left="20"/>
        <w:spacing w:after="0"/>
        <w:tabs>
          <w:tab w:leader="none" w:pos="9460" w:val="left"/>
        </w:tabs>
        <w:rPr>
          <w:sz w:val="20"/>
          <w:szCs w:val="20"/>
          <w:color w:val="auto"/>
        </w:rPr>
      </w:pPr>
      <w:r>
        <w:rPr>
          <w:rFonts w:ascii="Arial" w:cs="Arial" w:eastAsia="Arial" w:hAnsi="Arial"/>
          <w:sz w:val="14"/>
          <w:szCs w:val="14"/>
          <w:color w:val="0077C0"/>
        </w:rPr>
        <w:t>Supplemental Information on Oil and Gas Producing Activities - Unaudited</w:t>
      </w:r>
      <w:r>
        <w:rPr>
          <w:sz w:val="20"/>
          <w:szCs w:val="20"/>
          <w:color w:val="auto"/>
        </w:rPr>
        <w:tab/>
      </w:r>
      <w:r>
        <w:rPr>
          <w:rFonts w:ascii="Arial" w:cs="Arial" w:eastAsia="Arial" w:hAnsi="Arial"/>
          <w:sz w:val="14"/>
          <w:szCs w:val="14"/>
          <w:color w:val="0077C0"/>
        </w:rPr>
        <w:t>Financial 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0077C0"/>
        </w:rPr>
        <w:t>Table V Proved Reserve Quantity Information</w:t>
      </w:r>
      <w:r>
        <w:rPr>
          <w:rFonts w:ascii="Arial" w:cs="Arial" w:eastAsia="Arial" w:hAnsi="Arial"/>
          <w:sz w:val="21"/>
          <w:szCs w:val="21"/>
          <w:b w:val="1"/>
          <w:bCs w:val="1"/>
          <w:color w:val="0077C0"/>
          <w:vertAlign w:val="superscript"/>
        </w:rPr>
        <w:t>*</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color w:val="0077C0"/>
        </w:rPr>
        <w:t>Summary of Net Oil and Gas Reserves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3"/>
        </w:trPr>
        <w:tc>
          <w:tcPr>
            <w:tcW w:w="1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Liquids in Millions of Barrels</w:t>
            </w:r>
          </w:p>
        </w:tc>
        <w:tc>
          <w:tcPr>
            <w:tcW w:w="920" w:type="dxa"/>
            <w:vAlign w:val="bottom"/>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194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Natural Gas in Billions of</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Crude Oil</w:t>
            </w: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SyntheticOil</w:t>
            </w:r>
          </w:p>
        </w:tc>
        <w:tc>
          <w:tcPr>
            <w:tcW w:w="6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NGL</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Natural</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Crude Oil</w:t>
            </w: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SyntheticOil</w:t>
            </w:r>
          </w:p>
        </w:tc>
        <w:tc>
          <w:tcPr>
            <w:tcW w:w="6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NGL</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Natural</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Crude Oil</w:t>
            </w: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SyntheticOil</w:t>
            </w:r>
          </w:p>
        </w:tc>
        <w:tc>
          <w:tcPr>
            <w:tcW w:w="5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NGL</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Natural</w:t>
            </w:r>
          </w:p>
        </w:tc>
        <w:tc>
          <w:tcPr>
            <w:tcW w:w="0" w:type="dxa"/>
            <w:vAlign w:val="bottom"/>
          </w:tcPr>
          <w:p>
            <w:pPr>
              <w:spacing w:after="0"/>
              <w:rPr>
                <w:sz w:val="1"/>
                <w:szCs w:val="1"/>
                <w:color w:val="auto"/>
              </w:rPr>
            </w:pPr>
          </w:p>
        </w:tc>
      </w:tr>
      <w:tr>
        <w:trPr>
          <w:trHeight w:val="195"/>
        </w:trPr>
        <w:tc>
          <w:tcPr>
            <w:tcW w:w="1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Cubic Feet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Condensate</w:t>
            </w:r>
          </w:p>
        </w:tc>
        <w:tc>
          <w:tcPr>
            <w:tcW w:w="90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Gas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Condensate</w:t>
            </w:r>
          </w:p>
        </w:tc>
        <w:tc>
          <w:tcPr>
            <w:tcW w:w="88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Gas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Condensate</w:t>
            </w:r>
          </w:p>
        </w:tc>
        <w:tc>
          <w:tcPr>
            <w:tcW w:w="88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Gas</w:t>
            </w:r>
          </w:p>
        </w:tc>
        <w:tc>
          <w:tcPr>
            <w:tcW w:w="0" w:type="dxa"/>
            <w:vAlign w:val="bottom"/>
          </w:tcPr>
          <w:p>
            <w:pPr>
              <w:spacing w:after="0"/>
              <w:rPr>
                <w:sz w:val="1"/>
                <w:szCs w:val="1"/>
                <w:color w:val="auto"/>
              </w:rPr>
            </w:pPr>
          </w:p>
        </w:tc>
      </w:tr>
      <w:tr>
        <w:trPr>
          <w:trHeight w:val="195"/>
        </w:trPr>
        <w:tc>
          <w:tcPr>
            <w:tcW w:w="1940" w:type="dxa"/>
            <w:vAlign w:val="bottom"/>
            <w:tcBorders>
              <w:top w:val="single" w:sz="8" w:color="0077C0"/>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0077C0"/>
              </w:rPr>
              <w:t>Proved Developed</w:t>
            </w:r>
          </w:p>
        </w:tc>
        <w:tc>
          <w:tcPr>
            <w:tcW w:w="920" w:type="dxa"/>
            <w:vAlign w:val="bottom"/>
            <w:tcBorders>
              <w:top w:val="single" w:sz="8" w:color="0077C0"/>
              <w:bottom w:val="single" w:sz="8" w:color="0077C0"/>
            </w:tcBorders>
          </w:tcPr>
          <w:p>
            <w:pPr>
              <w:spacing w:after="0"/>
              <w:rPr>
                <w:sz w:val="16"/>
                <w:szCs w:val="16"/>
                <w:color w:val="auto"/>
              </w:rPr>
            </w:pPr>
          </w:p>
        </w:tc>
        <w:tc>
          <w:tcPr>
            <w:tcW w:w="900" w:type="dxa"/>
            <w:vAlign w:val="bottom"/>
            <w:tcBorders>
              <w:top w:val="single" w:sz="8" w:color="0077C0"/>
              <w:bottom w:val="single" w:sz="8" w:color="0077C0"/>
            </w:tcBorders>
          </w:tcPr>
          <w:p>
            <w:pPr>
              <w:spacing w:after="0"/>
              <w:rPr>
                <w:sz w:val="16"/>
                <w:szCs w:val="16"/>
                <w:color w:val="auto"/>
              </w:rPr>
            </w:pPr>
          </w:p>
        </w:tc>
        <w:tc>
          <w:tcPr>
            <w:tcW w:w="600" w:type="dxa"/>
            <w:vAlign w:val="bottom"/>
            <w:tcBorders>
              <w:top w:val="single" w:sz="8" w:color="0077C0"/>
              <w:bottom w:val="single" w:sz="8" w:color="0077C0"/>
            </w:tcBorders>
          </w:tcPr>
          <w:p>
            <w:pPr>
              <w:spacing w:after="0"/>
              <w:rPr>
                <w:sz w:val="16"/>
                <w:szCs w:val="16"/>
                <w:color w:val="auto"/>
              </w:rPr>
            </w:pPr>
          </w:p>
        </w:tc>
        <w:tc>
          <w:tcPr>
            <w:tcW w:w="580" w:type="dxa"/>
            <w:vAlign w:val="bottom"/>
            <w:tcBorders>
              <w:top w:val="single" w:sz="8" w:color="0077C0"/>
              <w:bottom w:val="single" w:sz="8" w:color="0077C0"/>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0077C0"/>
              <w:bottom w:val="single" w:sz="8" w:color="0077C0"/>
            </w:tcBorders>
          </w:tcPr>
          <w:p>
            <w:pPr>
              <w:spacing w:after="0"/>
              <w:rPr>
                <w:sz w:val="16"/>
                <w:szCs w:val="16"/>
                <w:color w:val="auto"/>
              </w:rPr>
            </w:pPr>
          </w:p>
        </w:tc>
        <w:tc>
          <w:tcPr>
            <w:tcW w:w="880" w:type="dxa"/>
            <w:vAlign w:val="bottom"/>
            <w:tcBorders>
              <w:top w:val="single" w:sz="8" w:color="0077C0"/>
              <w:bottom w:val="single" w:sz="8" w:color="0077C0"/>
            </w:tcBorders>
          </w:tcPr>
          <w:p>
            <w:pPr>
              <w:spacing w:after="0"/>
              <w:rPr>
                <w:sz w:val="16"/>
                <w:szCs w:val="16"/>
                <w:color w:val="auto"/>
              </w:rPr>
            </w:pPr>
          </w:p>
        </w:tc>
        <w:tc>
          <w:tcPr>
            <w:tcW w:w="600" w:type="dxa"/>
            <w:vAlign w:val="bottom"/>
            <w:tcBorders>
              <w:top w:val="single" w:sz="8" w:color="0077C0"/>
              <w:bottom w:val="single" w:sz="8" w:color="0077C0"/>
            </w:tcBorders>
          </w:tcPr>
          <w:p>
            <w:pPr>
              <w:spacing w:after="0"/>
              <w:rPr>
                <w:sz w:val="16"/>
                <w:szCs w:val="16"/>
                <w:color w:val="auto"/>
              </w:rPr>
            </w:pPr>
          </w:p>
        </w:tc>
        <w:tc>
          <w:tcPr>
            <w:tcW w:w="580" w:type="dxa"/>
            <w:vAlign w:val="bottom"/>
            <w:tcBorders>
              <w:top w:val="single" w:sz="8" w:color="0077C0"/>
              <w:bottom w:val="single" w:sz="8" w:color="0077C0"/>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0077C0"/>
              <w:bottom w:val="single" w:sz="8" w:color="0077C0"/>
            </w:tcBorders>
          </w:tcPr>
          <w:p>
            <w:pPr>
              <w:spacing w:after="0"/>
              <w:rPr>
                <w:sz w:val="16"/>
                <w:szCs w:val="16"/>
                <w:color w:val="auto"/>
              </w:rPr>
            </w:pPr>
          </w:p>
        </w:tc>
        <w:tc>
          <w:tcPr>
            <w:tcW w:w="880" w:type="dxa"/>
            <w:vAlign w:val="bottom"/>
            <w:tcBorders>
              <w:top w:val="single" w:sz="8" w:color="0077C0"/>
              <w:bottom w:val="single" w:sz="8" w:color="0077C0"/>
            </w:tcBorders>
          </w:tcPr>
          <w:p>
            <w:pPr>
              <w:spacing w:after="0"/>
              <w:rPr>
                <w:sz w:val="16"/>
                <w:szCs w:val="16"/>
                <w:color w:val="auto"/>
              </w:rPr>
            </w:pPr>
          </w:p>
        </w:tc>
        <w:tc>
          <w:tcPr>
            <w:tcW w:w="580" w:type="dxa"/>
            <w:vAlign w:val="bottom"/>
            <w:tcBorders>
              <w:top w:val="single" w:sz="8" w:color="0077C0"/>
              <w:bottom w:val="single" w:sz="8" w:color="0077C0"/>
            </w:tcBorders>
          </w:tcPr>
          <w:p>
            <w:pPr>
              <w:spacing w:after="0"/>
              <w:rPr>
                <w:sz w:val="16"/>
                <w:szCs w:val="16"/>
                <w:color w:val="auto"/>
              </w:rPr>
            </w:pPr>
          </w:p>
        </w:tc>
        <w:tc>
          <w:tcPr>
            <w:tcW w:w="580" w:type="dxa"/>
            <w:vAlign w:val="bottom"/>
            <w:tcBorders>
              <w:top w:val="single" w:sz="8" w:color="0077C0"/>
              <w:bottom w:val="single" w:sz="8" w:color="0077C0"/>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Consolidated Companies</w:t>
            </w: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1,207</w:t>
            </w:r>
          </w:p>
        </w:tc>
        <w:tc>
          <w:tcPr>
            <w:tcW w:w="90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615</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4,420</w:t>
            </w:r>
          </w:p>
        </w:tc>
        <w:tc>
          <w:tcPr>
            <w:tcW w:w="1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1,221</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611</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4,543</w:t>
            </w:r>
          </w:p>
        </w:tc>
        <w:tc>
          <w:tcPr>
            <w:tcW w:w="1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1,198</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450</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3,288</w:t>
            </w:r>
          </w:p>
        </w:tc>
        <w:tc>
          <w:tcPr>
            <w:tcW w:w="0" w:type="dxa"/>
            <w:vAlign w:val="bottom"/>
          </w:tcPr>
          <w:p>
            <w:pPr>
              <w:spacing w:after="0"/>
              <w:rPr>
                <w:sz w:val="1"/>
                <w:szCs w:val="1"/>
                <w:color w:val="auto"/>
              </w:rPr>
            </w:pPr>
          </w:p>
        </w:tc>
      </w:tr>
      <w:tr>
        <w:trPr>
          <w:trHeight w:val="203"/>
        </w:trPr>
        <w:tc>
          <w:tcPr>
            <w:tcW w:w="1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Americas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181</w:t>
            </w:r>
          </w:p>
        </w:tc>
        <w:tc>
          <w:tcPr>
            <w:tcW w:w="90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168</w:t>
            </w:r>
          </w:p>
        </w:tc>
        <w:tc>
          <w:tcPr>
            <w:tcW w:w="1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195</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598</w:t>
            </w:r>
          </w:p>
        </w:tc>
        <w:tc>
          <w:tcPr>
            <w:tcW w:w="6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1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174</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574</w:t>
            </w:r>
          </w:p>
        </w:tc>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0" w:type="dxa"/>
            <w:vAlign w:val="bottom"/>
          </w:tcPr>
          <w:p>
            <w:pPr>
              <w:spacing w:after="0"/>
              <w:rPr>
                <w:sz w:val="1"/>
                <w:szCs w:val="1"/>
                <w:color w:val="auto"/>
              </w:rPr>
            </w:pPr>
          </w:p>
        </w:tc>
      </w:tr>
      <w:tr>
        <w:trPr>
          <w:trHeight w:val="203"/>
        </w:trPr>
        <w:tc>
          <w:tcPr>
            <w:tcW w:w="1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Africa</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392</w:t>
            </w:r>
          </w:p>
        </w:tc>
        <w:tc>
          <w:tcPr>
            <w:tcW w:w="90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67</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1,491</w:t>
            </w:r>
          </w:p>
        </w:tc>
        <w:tc>
          <w:tcPr>
            <w:tcW w:w="1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367</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70</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1,632</w:t>
            </w:r>
          </w:p>
        </w:tc>
        <w:tc>
          <w:tcPr>
            <w:tcW w:w="1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392</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72</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1,734</w:t>
            </w:r>
          </w:p>
        </w:tc>
        <w:tc>
          <w:tcPr>
            <w:tcW w:w="0" w:type="dxa"/>
            <w:vAlign w:val="bottom"/>
          </w:tcPr>
          <w:p>
            <w:pPr>
              <w:spacing w:after="0"/>
              <w:rPr>
                <w:sz w:val="1"/>
                <w:szCs w:val="1"/>
                <w:color w:val="auto"/>
              </w:rPr>
            </w:pPr>
          </w:p>
        </w:tc>
      </w:tr>
      <w:tr>
        <w:trPr>
          <w:trHeight w:val="203"/>
        </w:trPr>
        <w:tc>
          <w:tcPr>
            <w:tcW w:w="1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Asia</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246</w:t>
            </w:r>
          </w:p>
        </w:tc>
        <w:tc>
          <w:tcPr>
            <w:tcW w:w="90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6,560</w:t>
            </w:r>
          </w:p>
        </w:tc>
        <w:tc>
          <w:tcPr>
            <w:tcW w:w="1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240</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6,974</w:t>
            </w:r>
          </w:p>
        </w:tc>
        <w:tc>
          <w:tcPr>
            <w:tcW w:w="1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235</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6,578</w:t>
            </w:r>
          </w:p>
        </w:tc>
        <w:tc>
          <w:tcPr>
            <w:tcW w:w="0" w:type="dxa"/>
            <w:vAlign w:val="bottom"/>
          </w:tcPr>
          <w:p>
            <w:pPr>
              <w:spacing w:after="0"/>
              <w:rPr>
                <w:sz w:val="1"/>
                <w:szCs w:val="1"/>
                <w:color w:val="auto"/>
              </w:rPr>
            </w:pPr>
          </w:p>
        </w:tc>
      </w:tr>
      <w:tr>
        <w:trPr>
          <w:trHeight w:val="203"/>
        </w:trPr>
        <w:tc>
          <w:tcPr>
            <w:tcW w:w="1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Australia</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72</w:t>
            </w:r>
          </w:p>
        </w:tc>
        <w:tc>
          <w:tcPr>
            <w:tcW w:w="90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6,517</w:t>
            </w:r>
          </w:p>
        </w:tc>
        <w:tc>
          <w:tcPr>
            <w:tcW w:w="1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85</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6,951</w:t>
            </w:r>
          </w:p>
        </w:tc>
        <w:tc>
          <w:tcPr>
            <w:tcW w:w="1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99</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7,898</w:t>
            </w:r>
          </w:p>
        </w:tc>
        <w:tc>
          <w:tcPr>
            <w:tcW w:w="0" w:type="dxa"/>
            <w:vAlign w:val="bottom"/>
          </w:tcPr>
          <w:p>
            <w:pPr>
              <w:spacing w:after="0"/>
              <w:rPr>
                <w:sz w:val="1"/>
                <w:szCs w:val="1"/>
                <w:color w:val="auto"/>
              </w:rPr>
            </w:pPr>
          </w:p>
        </w:tc>
      </w:tr>
      <w:tr>
        <w:trPr>
          <w:trHeight w:val="203"/>
        </w:trPr>
        <w:tc>
          <w:tcPr>
            <w:tcW w:w="1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Europe</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w:t>
            </w:r>
          </w:p>
        </w:tc>
        <w:tc>
          <w:tcPr>
            <w:tcW w:w="90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1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3"/>
        </w:trPr>
        <w:tc>
          <w:tcPr>
            <w:tcW w:w="194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940" w:type="dxa"/>
            <w:vAlign w:val="bottom"/>
            <w:tcBorders>
              <w:bottom w:val="single" w:sz="8" w:color="0077C0"/>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Total Consolidated</w:t>
            </w:r>
          </w:p>
        </w:tc>
        <w:tc>
          <w:tcPr>
            <w:tcW w:w="9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2,121</w:t>
            </w:r>
          </w:p>
        </w:tc>
        <w:tc>
          <w:tcPr>
            <w:tcW w:w="900" w:type="dxa"/>
            <w:vAlign w:val="bottom"/>
            <w:tcBorders>
              <w:bottom w:val="single" w:sz="8" w:color="0077C0"/>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683</w:t>
            </w:r>
          </w:p>
        </w:tc>
        <w:tc>
          <w:tcPr>
            <w:tcW w:w="5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19,166</w:t>
            </w:r>
          </w:p>
        </w:tc>
        <w:tc>
          <w:tcPr>
            <w:tcW w:w="100" w:type="dxa"/>
            <w:vAlign w:val="bottom"/>
          </w:tcPr>
          <w:p>
            <w:pPr>
              <w:spacing w:after="0"/>
              <w:rPr>
                <w:sz w:val="16"/>
                <w:szCs w:val="16"/>
                <w:color w:val="auto"/>
              </w:rPr>
            </w:pPr>
          </w:p>
        </w:tc>
        <w:tc>
          <w:tcPr>
            <w:tcW w:w="100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2,133</w:t>
            </w:r>
          </w:p>
        </w:tc>
        <w:tc>
          <w:tcPr>
            <w:tcW w:w="88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color w:val="auto"/>
              </w:rPr>
              <w:t>598</w:t>
            </w:r>
          </w:p>
        </w:tc>
        <w:tc>
          <w:tcPr>
            <w:tcW w:w="60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color w:val="auto"/>
              </w:rPr>
              <w:t>690</w:t>
            </w:r>
          </w:p>
        </w:tc>
        <w:tc>
          <w:tcPr>
            <w:tcW w:w="5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20,407</w:t>
            </w:r>
          </w:p>
        </w:tc>
        <w:tc>
          <w:tcPr>
            <w:tcW w:w="100" w:type="dxa"/>
            <w:vAlign w:val="bottom"/>
          </w:tcPr>
          <w:p>
            <w:pPr>
              <w:spacing w:after="0"/>
              <w:rPr>
                <w:sz w:val="16"/>
                <w:szCs w:val="16"/>
                <w:color w:val="auto"/>
              </w:rPr>
            </w:pPr>
          </w:p>
        </w:tc>
        <w:tc>
          <w:tcPr>
            <w:tcW w:w="100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2,124</w:t>
            </w:r>
          </w:p>
        </w:tc>
        <w:tc>
          <w:tcPr>
            <w:tcW w:w="88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color w:val="auto"/>
              </w:rPr>
              <w:t>574</w:t>
            </w:r>
          </w:p>
        </w:tc>
        <w:tc>
          <w:tcPr>
            <w:tcW w:w="58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color w:val="auto"/>
              </w:rPr>
              <w:t>532</w:t>
            </w:r>
          </w:p>
        </w:tc>
        <w:tc>
          <w:tcPr>
            <w:tcW w:w="5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19,812</w:t>
            </w:r>
          </w:p>
        </w:tc>
        <w:tc>
          <w:tcPr>
            <w:tcW w:w="0" w:type="dxa"/>
            <w:vAlign w:val="bottom"/>
          </w:tcPr>
          <w:p>
            <w:pPr>
              <w:spacing w:after="0"/>
              <w:rPr>
                <w:sz w:val="1"/>
                <w:szCs w:val="1"/>
                <w:color w:val="auto"/>
              </w:rPr>
            </w:pPr>
          </w:p>
        </w:tc>
      </w:tr>
      <w:tr>
        <w:trPr>
          <w:trHeight w:val="188"/>
        </w:trPr>
        <w:tc>
          <w:tcPr>
            <w:tcW w:w="19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Affiliated Companies</w:t>
            </w: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TCO</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663</w:t>
            </w:r>
          </w:p>
        </w:tc>
        <w:tc>
          <w:tcPr>
            <w:tcW w:w="90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70</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1,118</w:t>
            </w:r>
          </w:p>
        </w:tc>
        <w:tc>
          <w:tcPr>
            <w:tcW w:w="1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478</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67</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w:t>
            </w:r>
          </w:p>
        </w:tc>
        <w:tc>
          <w:tcPr>
            <w:tcW w:w="1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515</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52</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895</w:t>
            </w:r>
          </w:p>
        </w:tc>
        <w:tc>
          <w:tcPr>
            <w:tcW w:w="0" w:type="dxa"/>
            <w:vAlign w:val="bottom"/>
          </w:tcPr>
          <w:p>
            <w:pPr>
              <w:spacing w:after="0"/>
              <w:rPr>
                <w:sz w:val="1"/>
                <w:szCs w:val="1"/>
                <w:color w:val="auto"/>
              </w:rPr>
            </w:pPr>
          </w:p>
        </w:tc>
      </w:tr>
      <w:tr>
        <w:trPr>
          <w:trHeight w:val="203"/>
        </w:trPr>
        <w:tc>
          <w:tcPr>
            <w:tcW w:w="1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90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12</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670</w:t>
            </w:r>
          </w:p>
        </w:tc>
        <w:tc>
          <w:tcPr>
            <w:tcW w:w="1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1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0" w:type="dxa"/>
            <w:vAlign w:val="bottom"/>
          </w:tcPr>
          <w:p>
            <w:pPr>
              <w:spacing w:after="0"/>
              <w:rPr>
                <w:sz w:val="1"/>
                <w:szCs w:val="1"/>
                <w:color w:val="auto"/>
              </w:rPr>
            </w:pPr>
          </w:p>
        </w:tc>
      </w:tr>
      <w:tr>
        <w:trPr>
          <w:trHeight w:val="23"/>
        </w:trPr>
        <w:tc>
          <w:tcPr>
            <w:tcW w:w="194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940" w:type="dxa"/>
            <w:vAlign w:val="bottom"/>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Total Consolidated and</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2,786</w:t>
            </w:r>
          </w:p>
        </w:tc>
        <w:tc>
          <w:tcPr>
            <w:tcW w:w="90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765</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20,954</w:t>
            </w:r>
          </w:p>
        </w:tc>
        <w:tc>
          <w:tcPr>
            <w:tcW w:w="100" w:type="dxa"/>
            <w:vAlign w:val="bottom"/>
          </w:tcPr>
          <w:p>
            <w:pPr>
              <w:spacing w:after="0"/>
              <w:rPr>
                <w:sz w:val="11"/>
                <w:szCs w:val="11"/>
                <w:color w:val="auto"/>
              </w:rPr>
            </w:pPr>
          </w:p>
        </w:tc>
        <w:tc>
          <w:tcPr>
            <w:tcW w:w="10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2,614</w:t>
            </w:r>
          </w:p>
        </w:tc>
        <w:tc>
          <w:tcPr>
            <w:tcW w:w="8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598</w:t>
            </w:r>
          </w:p>
        </w:tc>
        <w:tc>
          <w:tcPr>
            <w:tcW w:w="6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770</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21,792</w:t>
            </w:r>
          </w:p>
        </w:tc>
        <w:tc>
          <w:tcPr>
            <w:tcW w:w="100" w:type="dxa"/>
            <w:vAlign w:val="bottom"/>
          </w:tcPr>
          <w:p>
            <w:pPr>
              <w:spacing w:after="0"/>
              <w:rPr>
                <w:sz w:val="11"/>
                <w:szCs w:val="11"/>
                <w:color w:val="auto"/>
              </w:rPr>
            </w:pPr>
          </w:p>
        </w:tc>
        <w:tc>
          <w:tcPr>
            <w:tcW w:w="10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2,642</w:t>
            </w:r>
          </w:p>
        </w:tc>
        <w:tc>
          <w:tcPr>
            <w:tcW w:w="8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574</w:t>
            </w:r>
          </w:p>
        </w:tc>
        <w:tc>
          <w:tcPr>
            <w:tcW w:w="5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597</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21,056</w:t>
            </w:r>
          </w:p>
        </w:tc>
        <w:tc>
          <w:tcPr>
            <w:tcW w:w="0" w:type="dxa"/>
            <w:vAlign w:val="bottom"/>
          </w:tcPr>
          <w:p>
            <w:pPr>
              <w:spacing w:after="0"/>
              <w:rPr>
                <w:sz w:val="1"/>
                <w:szCs w:val="1"/>
                <w:color w:val="auto"/>
              </w:rPr>
            </w:pPr>
          </w:p>
        </w:tc>
      </w:tr>
      <w:tr>
        <w:trPr>
          <w:trHeight w:val="195"/>
        </w:trPr>
        <w:tc>
          <w:tcPr>
            <w:tcW w:w="194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Affiliated Companies</w:t>
            </w:r>
          </w:p>
        </w:tc>
        <w:tc>
          <w:tcPr>
            <w:tcW w:w="920" w:type="dxa"/>
            <w:vAlign w:val="bottom"/>
            <w:tcBorders>
              <w:bottom w:val="single" w:sz="8" w:color="0077C0"/>
            </w:tcBorders>
            <w:vMerge w:val="continue"/>
          </w:tcPr>
          <w:p>
            <w:pPr>
              <w:spacing w:after="0"/>
              <w:rPr>
                <w:sz w:val="16"/>
                <w:szCs w:val="16"/>
                <w:color w:val="auto"/>
              </w:rPr>
            </w:pPr>
          </w:p>
        </w:tc>
        <w:tc>
          <w:tcPr>
            <w:tcW w:w="900" w:type="dxa"/>
            <w:vAlign w:val="bottom"/>
            <w:tcBorders>
              <w:bottom w:val="single" w:sz="8" w:color="0077C0"/>
            </w:tcBorders>
            <w:vMerge w:val="continue"/>
          </w:tcPr>
          <w:p>
            <w:pPr>
              <w:spacing w:after="0"/>
              <w:rPr>
                <w:sz w:val="16"/>
                <w:szCs w:val="16"/>
                <w:color w:val="auto"/>
              </w:rPr>
            </w:pPr>
          </w:p>
        </w:tc>
        <w:tc>
          <w:tcPr>
            <w:tcW w:w="600" w:type="dxa"/>
            <w:vAlign w:val="bottom"/>
            <w:tcBorders>
              <w:bottom w:val="single" w:sz="8" w:color="0077C0"/>
            </w:tcBorders>
            <w:vMerge w:val="continue"/>
          </w:tcPr>
          <w:p>
            <w:pPr>
              <w:spacing w:after="0"/>
              <w:rPr>
                <w:sz w:val="16"/>
                <w:szCs w:val="16"/>
                <w:color w:val="auto"/>
              </w:rPr>
            </w:pPr>
          </w:p>
        </w:tc>
        <w:tc>
          <w:tcPr>
            <w:tcW w:w="580" w:type="dxa"/>
            <w:vAlign w:val="bottom"/>
            <w:tcBorders>
              <w:bottom w:val="single" w:sz="8" w:color="0077C0"/>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0077C0"/>
            </w:tcBorders>
            <w:vMerge w:val="continue"/>
          </w:tcPr>
          <w:p>
            <w:pPr>
              <w:spacing w:after="0"/>
              <w:rPr>
                <w:sz w:val="16"/>
                <w:szCs w:val="16"/>
                <w:color w:val="auto"/>
              </w:rPr>
            </w:pPr>
          </w:p>
        </w:tc>
        <w:tc>
          <w:tcPr>
            <w:tcW w:w="880" w:type="dxa"/>
            <w:vAlign w:val="bottom"/>
            <w:tcBorders>
              <w:bottom w:val="single" w:sz="8" w:color="0077C0"/>
            </w:tcBorders>
            <w:vMerge w:val="continue"/>
          </w:tcPr>
          <w:p>
            <w:pPr>
              <w:spacing w:after="0"/>
              <w:rPr>
                <w:sz w:val="16"/>
                <w:szCs w:val="16"/>
                <w:color w:val="auto"/>
              </w:rPr>
            </w:pPr>
          </w:p>
        </w:tc>
        <w:tc>
          <w:tcPr>
            <w:tcW w:w="600" w:type="dxa"/>
            <w:vAlign w:val="bottom"/>
            <w:tcBorders>
              <w:bottom w:val="single" w:sz="8" w:color="0077C0"/>
            </w:tcBorders>
            <w:vMerge w:val="continue"/>
          </w:tcPr>
          <w:p>
            <w:pPr>
              <w:spacing w:after="0"/>
              <w:rPr>
                <w:sz w:val="16"/>
                <w:szCs w:val="16"/>
                <w:color w:val="auto"/>
              </w:rPr>
            </w:pPr>
          </w:p>
        </w:tc>
        <w:tc>
          <w:tcPr>
            <w:tcW w:w="580" w:type="dxa"/>
            <w:vAlign w:val="bottom"/>
            <w:tcBorders>
              <w:bottom w:val="single" w:sz="8" w:color="0077C0"/>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0077C0"/>
            </w:tcBorders>
            <w:vMerge w:val="continue"/>
          </w:tcPr>
          <w:p>
            <w:pPr>
              <w:spacing w:after="0"/>
              <w:rPr>
                <w:sz w:val="16"/>
                <w:szCs w:val="16"/>
                <w:color w:val="auto"/>
              </w:rPr>
            </w:pPr>
          </w:p>
        </w:tc>
        <w:tc>
          <w:tcPr>
            <w:tcW w:w="880" w:type="dxa"/>
            <w:vAlign w:val="bottom"/>
            <w:tcBorders>
              <w:bottom w:val="single" w:sz="8" w:color="0077C0"/>
            </w:tcBorders>
            <w:vMerge w:val="continue"/>
          </w:tcPr>
          <w:p>
            <w:pPr>
              <w:spacing w:after="0"/>
              <w:rPr>
                <w:sz w:val="16"/>
                <w:szCs w:val="16"/>
                <w:color w:val="auto"/>
              </w:rPr>
            </w:pPr>
          </w:p>
        </w:tc>
        <w:tc>
          <w:tcPr>
            <w:tcW w:w="580" w:type="dxa"/>
            <w:vAlign w:val="bottom"/>
            <w:tcBorders>
              <w:bottom w:val="single" w:sz="8" w:color="0077C0"/>
            </w:tcBorders>
            <w:vMerge w:val="continue"/>
          </w:tcPr>
          <w:p>
            <w:pPr>
              <w:spacing w:after="0"/>
              <w:rPr>
                <w:sz w:val="16"/>
                <w:szCs w:val="16"/>
                <w:color w:val="auto"/>
              </w:rPr>
            </w:pPr>
          </w:p>
        </w:tc>
        <w:tc>
          <w:tcPr>
            <w:tcW w:w="580" w:type="dxa"/>
            <w:vAlign w:val="bottom"/>
            <w:tcBorders>
              <w:bottom w:val="single" w:sz="8" w:color="0077C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94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0077C0"/>
              </w:rPr>
              <w:t>Proved Undeveloped</w:t>
            </w:r>
          </w:p>
        </w:tc>
        <w:tc>
          <w:tcPr>
            <w:tcW w:w="920" w:type="dxa"/>
            <w:vAlign w:val="bottom"/>
            <w:tcBorders>
              <w:bottom w:val="single" w:sz="8" w:color="0077C0"/>
            </w:tcBorders>
          </w:tcPr>
          <w:p>
            <w:pPr>
              <w:spacing w:after="0"/>
              <w:rPr>
                <w:sz w:val="16"/>
                <w:szCs w:val="16"/>
                <w:color w:val="auto"/>
              </w:rPr>
            </w:pPr>
          </w:p>
        </w:tc>
        <w:tc>
          <w:tcPr>
            <w:tcW w:w="900" w:type="dxa"/>
            <w:vAlign w:val="bottom"/>
            <w:tcBorders>
              <w:bottom w:val="single" w:sz="8" w:color="0077C0"/>
            </w:tcBorders>
          </w:tcPr>
          <w:p>
            <w:pPr>
              <w:spacing w:after="0"/>
              <w:rPr>
                <w:sz w:val="16"/>
                <w:szCs w:val="16"/>
                <w:color w:val="auto"/>
              </w:rPr>
            </w:pPr>
          </w:p>
        </w:tc>
        <w:tc>
          <w:tcPr>
            <w:tcW w:w="600" w:type="dxa"/>
            <w:vAlign w:val="bottom"/>
            <w:tcBorders>
              <w:bottom w:val="single" w:sz="8" w:color="0077C0"/>
            </w:tcBorders>
          </w:tcPr>
          <w:p>
            <w:pPr>
              <w:spacing w:after="0"/>
              <w:rPr>
                <w:sz w:val="16"/>
                <w:szCs w:val="16"/>
                <w:color w:val="auto"/>
              </w:rPr>
            </w:pPr>
          </w:p>
        </w:tc>
        <w:tc>
          <w:tcPr>
            <w:tcW w:w="580" w:type="dxa"/>
            <w:vAlign w:val="bottom"/>
            <w:tcBorders>
              <w:bottom w:val="single" w:sz="8" w:color="0077C0"/>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0077C0"/>
            </w:tcBorders>
          </w:tcPr>
          <w:p>
            <w:pPr>
              <w:spacing w:after="0"/>
              <w:rPr>
                <w:sz w:val="16"/>
                <w:szCs w:val="16"/>
                <w:color w:val="auto"/>
              </w:rPr>
            </w:pPr>
          </w:p>
        </w:tc>
        <w:tc>
          <w:tcPr>
            <w:tcW w:w="880" w:type="dxa"/>
            <w:vAlign w:val="bottom"/>
            <w:tcBorders>
              <w:bottom w:val="single" w:sz="8" w:color="0077C0"/>
            </w:tcBorders>
          </w:tcPr>
          <w:p>
            <w:pPr>
              <w:spacing w:after="0"/>
              <w:rPr>
                <w:sz w:val="16"/>
                <w:szCs w:val="16"/>
                <w:color w:val="auto"/>
              </w:rPr>
            </w:pPr>
          </w:p>
        </w:tc>
        <w:tc>
          <w:tcPr>
            <w:tcW w:w="600" w:type="dxa"/>
            <w:vAlign w:val="bottom"/>
            <w:tcBorders>
              <w:bottom w:val="single" w:sz="8" w:color="0077C0"/>
            </w:tcBorders>
          </w:tcPr>
          <w:p>
            <w:pPr>
              <w:spacing w:after="0"/>
              <w:rPr>
                <w:sz w:val="16"/>
                <w:szCs w:val="16"/>
                <w:color w:val="auto"/>
              </w:rPr>
            </w:pPr>
          </w:p>
        </w:tc>
        <w:tc>
          <w:tcPr>
            <w:tcW w:w="580" w:type="dxa"/>
            <w:vAlign w:val="bottom"/>
            <w:tcBorders>
              <w:bottom w:val="single" w:sz="8" w:color="0077C0"/>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0077C0"/>
            </w:tcBorders>
          </w:tcPr>
          <w:p>
            <w:pPr>
              <w:spacing w:after="0"/>
              <w:rPr>
                <w:sz w:val="16"/>
                <w:szCs w:val="16"/>
                <w:color w:val="auto"/>
              </w:rPr>
            </w:pPr>
          </w:p>
        </w:tc>
        <w:tc>
          <w:tcPr>
            <w:tcW w:w="880" w:type="dxa"/>
            <w:vAlign w:val="bottom"/>
            <w:tcBorders>
              <w:bottom w:val="single" w:sz="8" w:color="0077C0"/>
            </w:tcBorders>
          </w:tcPr>
          <w:p>
            <w:pPr>
              <w:spacing w:after="0"/>
              <w:rPr>
                <w:sz w:val="16"/>
                <w:szCs w:val="16"/>
                <w:color w:val="auto"/>
              </w:rPr>
            </w:pPr>
          </w:p>
        </w:tc>
        <w:tc>
          <w:tcPr>
            <w:tcW w:w="580" w:type="dxa"/>
            <w:vAlign w:val="bottom"/>
            <w:tcBorders>
              <w:bottom w:val="single" w:sz="8" w:color="0077C0"/>
            </w:tcBorders>
          </w:tcPr>
          <w:p>
            <w:pPr>
              <w:spacing w:after="0"/>
              <w:rPr>
                <w:sz w:val="16"/>
                <w:szCs w:val="16"/>
                <w:color w:val="auto"/>
              </w:rPr>
            </w:pPr>
          </w:p>
        </w:tc>
        <w:tc>
          <w:tcPr>
            <w:tcW w:w="580" w:type="dxa"/>
            <w:vAlign w:val="bottom"/>
            <w:tcBorders>
              <w:bottom w:val="single" w:sz="8" w:color="0077C0"/>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Consolidated Companies</w:t>
            </w: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639</w:t>
            </w:r>
          </w:p>
        </w:tc>
        <w:tc>
          <w:tcPr>
            <w:tcW w:w="90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373</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2,730</w:t>
            </w:r>
          </w:p>
        </w:tc>
        <w:tc>
          <w:tcPr>
            <w:tcW w:w="1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721</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413</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3,139</w:t>
            </w:r>
          </w:p>
        </w:tc>
        <w:tc>
          <w:tcPr>
            <w:tcW w:w="1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875</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435</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3,543</w:t>
            </w:r>
          </w:p>
        </w:tc>
        <w:tc>
          <w:tcPr>
            <w:tcW w:w="0" w:type="dxa"/>
            <w:vAlign w:val="bottom"/>
          </w:tcPr>
          <w:p>
            <w:pPr>
              <w:spacing w:after="0"/>
              <w:rPr>
                <w:sz w:val="1"/>
                <w:szCs w:val="1"/>
                <w:color w:val="auto"/>
              </w:rPr>
            </w:pPr>
          </w:p>
        </w:tc>
      </w:tr>
      <w:tr>
        <w:trPr>
          <w:trHeight w:val="203"/>
        </w:trPr>
        <w:tc>
          <w:tcPr>
            <w:tcW w:w="1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Americas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106</w:t>
            </w:r>
          </w:p>
        </w:tc>
        <w:tc>
          <w:tcPr>
            <w:tcW w:w="90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146</w:t>
            </w:r>
          </w:p>
        </w:tc>
        <w:tc>
          <w:tcPr>
            <w:tcW w:w="1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129</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121</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0" w:type="dxa"/>
            <w:vAlign w:val="bottom"/>
          </w:tcPr>
          <w:p>
            <w:pPr>
              <w:spacing w:after="0"/>
              <w:rPr>
                <w:sz w:val="1"/>
                <w:szCs w:val="1"/>
                <w:color w:val="auto"/>
              </w:rPr>
            </w:pPr>
          </w:p>
        </w:tc>
      </w:tr>
      <w:tr>
        <w:trPr>
          <w:trHeight w:val="203"/>
        </w:trPr>
        <w:tc>
          <w:tcPr>
            <w:tcW w:w="1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Africa</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63</w:t>
            </w:r>
          </w:p>
        </w:tc>
        <w:tc>
          <w:tcPr>
            <w:tcW w:w="90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19</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703</w:t>
            </w:r>
          </w:p>
        </w:tc>
        <w:tc>
          <w:tcPr>
            <w:tcW w:w="1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78</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27</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62</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0" w:type="dxa"/>
            <w:vAlign w:val="bottom"/>
          </w:tcPr>
          <w:p>
            <w:pPr>
              <w:spacing w:after="0"/>
              <w:rPr>
                <w:sz w:val="1"/>
                <w:szCs w:val="1"/>
                <w:color w:val="auto"/>
              </w:rPr>
            </w:pPr>
          </w:p>
        </w:tc>
      </w:tr>
      <w:tr>
        <w:trPr>
          <w:trHeight w:val="203"/>
        </w:trPr>
        <w:tc>
          <w:tcPr>
            <w:tcW w:w="1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Asia</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52</w:t>
            </w:r>
          </w:p>
        </w:tc>
        <w:tc>
          <w:tcPr>
            <w:tcW w:w="90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1,351</w:t>
            </w:r>
          </w:p>
        </w:tc>
        <w:tc>
          <w:tcPr>
            <w:tcW w:w="1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61</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1,419</w:t>
            </w:r>
          </w:p>
        </w:tc>
        <w:tc>
          <w:tcPr>
            <w:tcW w:w="1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1,959</w:t>
            </w:r>
          </w:p>
        </w:tc>
        <w:tc>
          <w:tcPr>
            <w:tcW w:w="0" w:type="dxa"/>
            <w:vAlign w:val="bottom"/>
          </w:tcPr>
          <w:p>
            <w:pPr>
              <w:spacing w:after="0"/>
              <w:rPr>
                <w:sz w:val="1"/>
                <w:szCs w:val="1"/>
                <w:color w:val="auto"/>
              </w:rPr>
            </w:pPr>
          </w:p>
        </w:tc>
      </w:tr>
      <w:tr>
        <w:trPr>
          <w:trHeight w:val="203"/>
        </w:trPr>
        <w:tc>
          <w:tcPr>
            <w:tcW w:w="1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Australia</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w:t>
            </w:r>
          </w:p>
        </w:tc>
        <w:tc>
          <w:tcPr>
            <w:tcW w:w="90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2,422</w:t>
            </w:r>
          </w:p>
        </w:tc>
        <w:tc>
          <w:tcPr>
            <w:tcW w:w="1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2,444</w:t>
            </w:r>
          </w:p>
        </w:tc>
        <w:tc>
          <w:tcPr>
            <w:tcW w:w="1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2,444</w:t>
            </w:r>
          </w:p>
        </w:tc>
        <w:tc>
          <w:tcPr>
            <w:tcW w:w="0" w:type="dxa"/>
            <w:vAlign w:val="bottom"/>
          </w:tcPr>
          <w:p>
            <w:pPr>
              <w:spacing w:after="0"/>
              <w:rPr>
                <w:sz w:val="1"/>
                <w:szCs w:val="1"/>
                <w:color w:val="auto"/>
              </w:rPr>
            </w:pPr>
          </w:p>
        </w:tc>
      </w:tr>
      <w:tr>
        <w:trPr>
          <w:trHeight w:val="203"/>
        </w:trPr>
        <w:tc>
          <w:tcPr>
            <w:tcW w:w="1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Europe</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w:t>
            </w:r>
          </w:p>
        </w:tc>
        <w:tc>
          <w:tcPr>
            <w:tcW w:w="90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1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3"/>
        </w:trPr>
        <w:tc>
          <w:tcPr>
            <w:tcW w:w="194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940" w:type="dxa"/>
            <w:vAlign w:val="bottom"/>
            <w:tcBorders>
              <w:bottom w:val="single" w:sz="8" w:color="0077C0"/>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Total Consolidated</w:t>
            </w:r>
          </w:p>
        </w:tc>
        <w:tc>
          <w:tcPr>
            <w:tcW w:w="9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906</w:t>
            </w:r>
          </w:p>
        </w:tc>
        <w:tc>
          <w:tcPr>
            <w:tcW w:w="900" w:type="dxa"/>
            <w:vAlign w:val="bottom"/>
            <w:tcBorders>
              <w:bottom w:val="single" w:sz="8" w:color="0077C0"/>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392</w:t>
            </w:r>
          </w:p>
        </w:tc>
        <w:tc>
          <w:tcPr>
            <w:tcW w:w="5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7,360</w:t>
            </w:r>
          </w:p>
        </w:tc>
        <w:tc>
          <w:tcPr>
            <w:tcW w:w="100" w:type="dxa"/>
            <w:vAlign w:val="bottom"/>
          </w:tcPr>
          <w:p>
            <w:pPr>
              <w:spacing w:after="0"/>
              <w:rPr>
                <w:sz w:val="16"/>
                <w:szCs w:val="16"/>
                <w:color w:val="auto"/>
              </w:rPr>
            </w:pPr>
          </w:p>
        </w:tc>
        <w:tc>
          <w:tcPr>
            <w:tcW w:w="100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1,039</w:t>
            </w:r>
          </w:p>
        </w:tc>
        <w:tc>
          <w:tcPr>
            <w:tcW w:w="88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color w:val="auto"/>
              </w:rPr>
              <w:t>448</w:t>
            </w:r>
          </w:p>
        </w:tc>
        <w:tc>
          <w:tcPr>
            <w:tcW w:w="5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7,911</w:t>
            </w:r>
          </w:p>
        </w:tc>
        <w:tc>
          <w:tcPr>
            <w:tcW w:w="100" w:type="dxa"/>
            <w:vAlign w:val="bottom"/>
          </w:tcPr>
          <w:p>
            <w:pPr>
              <w:spacing w:after="0"/>
              <w:rPr>
                <w:sz w:val="16"/>
                <w:szCs w:val="16"/>
                <w:color w:val="auto"/>
              </w:rPr>
            </w:pPr>
          </w:p>
        </w:tc>
        <w:tc>
          <w:tcPr>
            <w:tcW w:w="100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1,170</w:t>
            </w:r>
          </w:p>
        </w:tc>
        <w:tc>
          <w:tcPr>
            <w:tcW w:w="88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color w:val="auto"/>
              </w:rPr>
              <w:t>470</w:t>
            </w:r>
          </w:p>
        </w:tc>
        <w:tc>
          <w:tcPr>
            <w:tcW w:w="5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8,953</w:t>
            </w:r>
          </w:p>
        </w:tc>
        <w:tc>
          <w:tcPr>
            <w:tcW w:w="0" w:type="dxa"/>
            <w:vAlign w:val="bottom"/>
          </w:tcPr>
          <w:p>
            <w:pPr>
              <w:spacing w:after="0"/>
              <w:rPr>
                <w:sz w:val="1"/>
                <w:szCs w:val="1"/>
                <w:color w:val="auto"/>
              </w:rPr>
            </w:pPr>
          </w:p>
        </w:tc>
      </w:tr>
      <w:tr>
        <w:trPr>
          <w:trHeight w:val="188"/>
        </w:trPr>
        <w:tc>
          <w:tcPr>
            <w:tcW w:w="19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Affiliated Companies</w:t>
            </w: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TCO</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224</w:t>
            </w:r>
          </w:p>
        </w:tc>
        <w:tc>
          <w:tcPr>
            <w:tcW w:w="90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w:t>
            </w:r>
          </w:p>
        </w:tc>
        <w:tc>
          <w:tcPr>
            <w:tcW w:w="1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526</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611</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0" w:type="dxa"/>
            <w:vAlign w:val="bottom"/>
          </w:tcPr>
          <w:p>
            <w:pPr>
              <w:spacing w:after="0"/>
              <w:rPr>
                <w:sz w:val="1"/>
                <w:szCs w:val="1"/>
                <w:color w:val="auto"/>
              </w:rPr>
            </w:pPr>
          </w:p>
        </w:tc>
      </w:tr>
      <w:tr>
        <w:trPr>
          <w:trHeight w:val="203"/>
        </w:trPr>
        <w:tc>
          <w:tcPr>
            <w:tcW w:w="1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41</w:t>
            </w:r>
          </w:p>
        </w:tc>
        <w:tc>
          <w:tcPr>
            <w:tcW w:w="1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1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0" w:type="dxa"/>
            <w:vAlign w:val="bottom"/>
          </w:tcPr>
          <w:p>
            <w:pPr>
              <w:spacing w:after="0"/>
              <w:rPr>
                <w:sz w:val="1"/>
                <w:szCs w:val="1"/>
                <w:color w:val="auto"/>
              </w:rPr>
            </w:pPr>
          </w:p>
        </w:tc>
      </w:tr>
      <w:tr>
        <w:trPr>
          <w:trHeight w:val="23"/>
        </w:trPr>
        <w:tc>
          <w:tcPr>
            <w:tcW w:w="194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940" w:type="dxa"/>
            <w:vAlign w:val="bottom"/>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Total Consolidated and</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1,130</w:t>
            </w:r>
          </w:p>
        </w:tc>
        <w:tc>
          <w:tcPr>
            <w:tcW w:w="90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394</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7,421</w:t>
            </w:r>
          </w:p>
        </w:tc>
        <w:tc>
          <w:tcPr>
            <w:tcW w:w="100" w:type="dxa"/>
            <w:vAlign w:val="bottom"/>
          </w:tcPr>
          <w:p>
            <w:pPr>
              <w:spacing w:after="0"/>
              <w:rPr>
                <w:sz w:val="11"/>
                <w:szCs w:val="11"/>
                <w:color w:val="auto"/>
              </w:rPr>
            </w:pPr>
          </w:p>
        </w:tc>
        <w:tc>
          <w:tcPr>
            <w:tcW w:w="10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1,565</w:t>
            </w:r>
          </w:p>
        </w:tc>
        <w:tc>
          <w:tcPr>
            <w:tcW w:w="8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459</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8,589</w:t>
            </w:r>
          </w:p>
        </w:tc>
        <w:tc>
          <w:tcPr>
            <w:tcW w:w="100" w:type="dxa"/>
            <w:vAlign w:val="bottom"/>
          </w:tcPr>
          <w:p>
            <w:pPr>
              <w:spacing w:after="0"/>
              <w:rPr>
                <w:sz w:val="11"/>
                <w:szCs w:val="11"/>
                <w:color w:val="auto"/>
              </w:rPr>
            </w:pPr>
          </w:p>
        </w:tc>
        <w:tc>
          <w:tcPr>
            <w:tcW w:w="10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1,781</w:t>
            </w:r>
          </w:p>
        </w:tc>
        <w:tc>
          <w:tcPr>
            <w:tcW w:w="8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491</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9,808</w:t>
            </w:r>
          </w:p>
        </w:tc>
        <w:tc>
          <w:tcPr>
            <w:tcW w:w="0" w:type="dxa"/>
            <w:vAlign w:val="bottom"/>
          </w:tcPr>
          <w:p>
            <w:pPr>
              <w:spacing w:after="0"/>
              <w:rPr>
                <w:sz w:val="1"/>
                <w:szCs w:val="1"/>
                <w:color w:val="auto"/>
              </w:rPr>
            </w:pPr>
          </w:p>
        </w:tc>
      </w:tr>
      <w:tr>
        <w:trPr>
          <w:trHeight w:val="195"/>
        </w:trPr>
        <w:tc>
          <w:tcPr>
            <w:tcW w:w="194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Affiliated Companies</w:t>
            </w:r>
          </w:p>
        </w:tc>
        <w:tc>
          <w:tcPr>
            <w:tcW w:w="920" w:type="dxa"/>
            <w:vAlign w:val="bottom"/>
            <w:tcBorders>
              <w:bottom w:val="single" w:sz="8" w:color="0077C0"/>
            </w:tcBorders>
            <w:vMerge w:val="continue"/>
          </w:tcPr>
          <w:p>
            <w:pPr>
              <w:spacing w:after="0"/>
              <w:rPr>
                <w:sz w:val="16"/>
                <w:szCs w:val="16"/>
                <w:color w:val="auto"/>
              </w:rPr>
            </w:pPr>
          </w:p>
        </w:tc>
        <w:tc>
          <w:tcPr>
            <w:tcW w:w="900" w:type="dxa"/>
            <w:vAlign w:val="bottom"/>
            <w:tcBorders>
              <w:bottom w:val="single" w:sz="8" w:color="0077C0"/>
            </w:tcBorders>
            <w:vMerge w:val="continue"/>
          </w:tcPr>
          <w:p>
            <w:pPr>
              <w:spacing w:after="0"/>
              <w:rPr>
                <w:sz w:val="16"/>
                <w:szCs w:val="16"/>
                <w:color w:val="auto"/>
              </w:rPr>
            </w:pPr>
          </w:p>
        </w:tc>
        <w:tc>
          <w:tcPr>
            <w:tcW w:w="600" w:type="dxa"/>
            <w:vAlign w:val="bottom"/>
            <w:tcBorders>
              <w:bottom w:val="single" w:sz="8" w:color="0077C0"/>
            </w:tcBorders>
            <w:vMerge w:val="continue"/>
          </w:tcPr>
          <w:p>
            <w:pPr>
              <w:spacing w:after="0"/>
              <w:rPr>
                <w:sz w:val="16"/>
                <w:szCs w:val="16"/>
                <w:color w:val="auto"/>
              </w:rPr>
            </w:pPr>
          </w:p>
        </w:tc>
        <w:tc>
          <w:tcPr>
            <w:tcW w:w="580" w:type="dxa"/>
            <w:vAlign w:val="bottom"/>
            <w:tcBorders>
              <w:bottom w:val="single" w:sz="8" w:color="0077C0"/>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0077C0"/>
            </w:tcBorders>
            <w:vMerge w:val="continue"/>
          </w:tcPr>
          <w:p>
            <w:pPr>
              <w:spacing w:after="0"/>
              <w:rPr>
                <w:sz w:val="16"/>
                <w:szCs w:val="16"/>
                <w:color w:val="auto"/>
              </w:rPr>
            </w:pPr>
          </w:p>
        </w:tc>
        <w:tc>
          <w:tcPr>
            <w:tcW w:w="880" w:type="dxa"/>
            <w:vAlign w:val="bottom"/>
            <w:tcBorders>
              <w:bottom w:val="single" w:sz="8" w:color="0077C0"/>
            </w:tcBorders>
            <w:vMerge w:val="continue"/>
          </w:tcPr>
          <w:p>
            <w:pPr>
              <w:spacing w:after="0"/>
              <w:rPr>
                <w:sz w:val="16"/>
                <w:szCs w:val="16"/>
                <w:color w:val="auto"/>
              </w:rPr>
            </w:pPr>
          </w:p>
        </w:tc>
        <w:tc>
          <w:tcPr>
            <w:tcW w:w="600" w:type="dxa"/>
            <w:vAlign w:val="bottom"/>
            <w:tcBorders>
              <w:bottom w:val="single" w:sz="8" w:color="0077C0"/>
            </w:tcBorders>
            <w:vMerge w:val="continue"/>
          </w:tcPr>
          <w:p>
            <w:pPr>
              <w:spacing w:after="0"/>
              <w:rPr>
                <w:sz w:val="16"/>
                <w:szCs w:val="16"/>
                <w:color w:val="auto"/>
              </w:rPr>
            </w:pPr>
          </w:p>
        </w:tc>
        <w:tc>
          <w:tcPr>
            <w:tcW w:w="580" w:type="dxa"/>
            <w:vAlign w:val="bottom"/>
            <w:tcBorders>
              <w:bottom w:val="single" w:sz="8" w:color="0077C0"/>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0077C0"/>
            </w:tcBorders>
            <w:vMerge w:val="continue"/>
          </w:tcPr>
          <w:p>
            <w:pPr>
              <w:spacing w:after="0"/>
              <w:rPr>
                <w:sz w:val="16"/>
                <w:szCs w:val="16"/>
                <w:color w:val="auto"/>
              </w:rPr>
            </w:pPr>
          </w:p>
        </w:tc>
        <w:tc>
          <w:tcPr>
            <w:tcW w:w="880" w:type="dxa"/>
            <w:vAlign w:val="bottom"/>
            <w:tcBorders>
              <w:bottom w:val="single" w:sz="8" w:color="0077C0"/>
            </w:tcBorders>
            <w:vMerge w:val="continue"/>
          </w:tcPr>
          <w:p>
            <w:pPr>
              <w:spacing w:after="0"/>
              <w:rPr>
                <w:sz w:val="16"/>
                <w:szCs w:val="16"/>
                <w:color w:val="auto"/>
              </w:rPr>
            </w:pPr>
          </w:p>
        </w:tc>
        <w:tc>
          <w:tcPr>
            <w:tcW w:w="580" w:type="dxa"/>
            <w:vAlign w:val="bottom"/>
            <w:tcBorders>
              <w:bottom w:val="single" w:sz="8" w:color="0077C0"/>
            </w:tcBorders>
            <w:vMerge w:val="continue"/>
          </w:tcPr>
          <w:p>
            <w:pPr>
              <w:spacing w:after="0"/>
              <w:rPr>
                <w:sz w:val="16"/>
                <w:szCs w:val="16"/>
                <w:color w:val="auto"/>
              </w:rPr>
            </w:pPr>
          </w:p>
        </w:tc>
        <w:tc>
          <w:tcPr>
            <w:tcW w:w="580" w:type="dxa"/>
            <w:vAlign w:val="bottom"/>
            <w:tcBorders>
              <w:bottom w:val="single" w:sz="8" w:color="0077C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94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0077C0"/>
              </w:rPr>
              <w:t>Total Proved Reserves</w:t>
            </w:r>
          </w:p>
        </w:tc>
        <w:tc>
          <w:tcPr>
            <w:tcW w:w="9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3,916</w:t>
            </w:r>
          </w:p>
        </w:tc>
        <w:tc>
          <w:tcPr>
            <w:tcW w:w="900" w:type="dxa"/>
            <w:vAlign w:val="bottom"/>
            <w:tcBorders>
              <w:bottom w:val="single" w:sz="8" w:color="0077C0"/>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1,159</w:t>
            </w:r>
          </w:p>
        </w:tc>
        <w:tc>
          <w:tcPr>
            <w:tcW w:w="5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28,375</w:t>
            </w:r>
          </w:p>
        </w:tc>
        <w:tc>
          <w:tcPr>
            <w:tcW w:w="100" w:type="dxa"/>
            <w:vAlign w:val="bottom"/>
          </w:tcPr>
          <w:p>
            <w:pPr>
              <w:spacing w:after="0"/>
              <w:rPr>
                <w:sz w:val="16"/>
                <w:szCs w:val="16"/>
                <w:color w:val="auto"/>
              </w:rPr>
            </w:pPr>
          </w:p>
        </w:tc>
        <w:tc>
          <w:tcPr>
            <w:tcW w:w="100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4,179</w:t>
            </w:r>
          </w:p>
        </w:tc>
        <w:tc>
          <w:tcPr>
            <w:tcW w:w="88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color w:val="auto"/>
              </w:rPr>
              <w:t>598</w:t>
            </w:r>
          </w:p>
        </w:tc>
        <w:tc>
          <w:tcPr>
            <w:tcW w:w="60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color w:val="auto"/>
              </w:rPr>
              <w:t>1,229</w:t>
            </w:r>
          </w:p>
        </w:tc>
        <w:tc>
          <w:tcPr>
            <w:tcW w:w="5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30,381</w:t>
            </w:r>
          </w:p>
        </w:tc>
        <w:tc>
          <w:tcPr>
            <w:tcW w:w="100" w:type="dxa"/>
            <w:vAlign w:val="bottom"/>
          </w:tcPr>
          <w:p>
            <w:pPr>
              <w:spacing w:after="0"/>
              <w:rPr>
                <w:sz w:val="16"/>
                <w:szCs w:val="16"/>
                <w:color w:val="auto"/>
              </w:rPr>
            </w:pPr>
          </w:p>
        </w:tc>
        <w:tc>
          <w:tcPr>
            <w:tcW w:w="100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4,423</w:t>
            </w:r>
          </w:p>
        </w:tc>
        <w:tc>
          <w:tcPr>
            <w:tcW w:w="880" w:type="dxa"/>
            <w:vAlign w:val="bottom"/>
            <w:tcBorders>
              <w:bottom w:val="single" w:sz="8" w:color="0077C0"/>
            </w:tcBorders>
          </w:tcPr>
          <w:p>
            <w:pPr>
              <w:jc w:val="right"/>
              <w:ind w:right="68"/>
              <w:spacing w:after="0"/>
              <w:rPr>
                <w:sz w:val="20"/>
                <w:szCs w:val="20"/>
                <w:color w:val="auto"/>
              </w:rPr>
            </w:pPr>
            <w:r>
              <w:rPr>
                <w:rFonts w:ascii="Times New Roman" w:cs="Times New Roman" w:eastAsia="Times New Roman" w:hAnsi="Times New Roman"/>
                <w:sz w:val="14"/>
                <w:szCs w:val="14"/>
                <w:color w:val="auto"/>
              </w:rPr>
              <w:t>574</w:t>
            </w:r>
          </w:p>
        </w:tc>
        <w:tc>
          <w:tcPr>
            <w:tcW w:w="58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color w:val="auto"/>
              </w:rPr>
              <w:t>1,088</w:t>
            </w:r>
          </w:p>
        </w:tc>
        <w:tc>
          <w:tcPr>
            <w:tcW w:w="5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30,864</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80" w:hanging="172"/>
        <w:spacing w:after="0" w:line="225" w:lineRule="auto"/>
        <w:tabs>
          <w:tab w:leader="none" w:pos="91" w:val="left"/>
        </w:tabs>
        <w:numPr>
          <w:ilvl w:val="0"/>
          <w:numId w:val="6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Reserve quantities include natural gas projected to be consumed in operations of 2,462, 2,655 and 2,737 billions of cubic feet and equivalent synthetic oil projected to be consumed in operations of 0, 27, and 28 millions of barrels as of December 31, 2024, 2023 and 2022, respectively.</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Reserves Governance </w:t>
      </w:r>
      <w:r>
        <w:rPr>
          <w:rFonts w:ascii="Times New Roman" w:cs="Times New Roman" w:eastAsia="Times New Roman" w:hAnsi="Times New Roman"/>
          <w:sz w:val="18"/>
          <w:szCs w:val="18"/>
          <w:color w:val="000000"/>
        </w:rPr>
        <w:t>The company has adopted a comprehensive reserves and resources classification system modeled after a system developed and</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approved by a number of organizations, including the Society of Petroleum Engineers, the World Petroleum Congress and the American Association of Petroleum Geologists. The company classifies discovered recoverable hydrocarbons into six categories based on their status at the time of reporting – three deemed commercial and three potentially recoverable. Within the commercial classification are proved reserves and two categories of unproved reserves: probable and possible. The potentially recoverable categories are also referred to as contingent resources. For reserves estimates to be classified as proved, they must meet all SEC and company standards.</w:t>
      </w:r>
    </w:p>
    <w:p>
      <w:pPr>
        <w:spacing w:after="0" w:line="5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Proved oil and gas reserves are the estimated quantities that geoscience and engineering data demonstrate with reasonable certainty to be economically producible in the future from known reservoirs under existing economic conditions, operating methods and government regulations. Net proved reserves exclude royalties and interests owned by others and reflect contractual arrangements and royalty obligations in effect at the time of the estimate.</w:t>
      </w:r>
    </w:p>
    <w:p>
      <w:pPr>
        <w:spacing w:after="0" w:line="6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Proved reserves are classified as either developed or undeveloped. Proved developed reserves are the quantities expected to be recovered through existing wells with existing equipment and operating methods, or in which the cost of the required equipment is relatively minor compared to the cost of a new well. Proved undeveloped reserves are the quantities expected to be recovered from new wells on undrilled acreage or from existing wells where a relatively major expenditure is required for recompletion.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09" w:name="page110"/>
    <w:bookmarkEnd w:id="109"/>
    <w:p>
      <w:pPr>
        <w:ind w:left="20"/>
        <w:spacing w:after="0"/>
        <w:tabs>
          <w:tab w:leader="none" w:pos="9460" w:val="left"/>
        </w:tabs>
        <w:rPr>
          <w:sz w:val="20"/>
          <w:szCs w:val="20"/>
          <w:color w:val="auto"/>
        </w:rPr>
      </w:pPr>
      <w:r>
        <w:rPr>
          <w:rFonts w:ascii="Arial" w:cs="Arial" w:eastAsia="Arial" w:hAnsi="Arial"/>
          <w:sz w:val="14"/>
          <w:szCs w:val="14"/>
          <w:color w:val="0077C0"/>
        </w:rPr>
        <w:t>Supplemental Information on Oil and Gas Producing Activities - Unaudited</w:t>
      </w:r>
      <w:r>
        <w:rPr>
          <w:sz w:val="20"/>
          <w:szCs w:val="20"/>
          <w:color w:val="auto"/>
        </w:rPr>
        <w:tab/>
      </w:r>
      <w:r>
        <w:rPr>
          <w:rFonts w:ascii="Arial" w:cs="Arial" w:eastAsia="Arial" w:hAnsi="Arial"/>
          <w:sz w:val="14"/>
          <w:szCs w:val="14"/>
          <w:color w:val="0077C0"/>
        </w:rPr>
        <w:t>Financial 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Due to the inherent uncertainties and the limited nature of reservoir data, estimates of reserves are subject to change as additional information becomes available.</w:t>
      </w:r>
    </w:p>
    <w:p>
      <w:pPr>
        <w:spacing w:after="0" w:line="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Proved reserves are estimated by company asset teams composed of earth scientists and engineers. As part of the internal control process related to reserves estimation, the company maintains a Reserves Advisory Committee (RAC) that is chaired by the Manager of Global Reserves, an organization that is separate from the business units that estimate reserves. The Manager of Global Reserves has more than 35 years of experience working in the oil and gas industry and holds both undergraduate and graduate degrees in geoscience. His experience includes various technical and management roles in providing reserve and resource estimates in support of major capital and exploration projects, and more than 10 years of overseeing oil and gas reserves processes. He has been named a Distinguished Lecturer by the American Association of Petroleum Geologists and is an active member of the American Association of Petroleum Geologists, the SEPM Society of Sedimentary Geologists and the Society of Petroleum Engineers.</w:t>
      </w:r>
    </w:p>
    <w:p>
      <w:pPr>
        <w:spacing w:after="0" w:line="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All RAC members are degreed professionals, each with more than 10 years of experience in various aspects of reserves estimation relating to reservoir engineering, petroleum engineering, earth science or finance. The members are knowledgeable in SEC guidelines for proved reserves classification and receive annual training on the preparation of reserves estimates.</w:t>
      </w:r>
    </w:p>
    <w:p>
      <w:pPr>
        <w:spacing w:after="0" w:line="4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RAC has the following primary responsibilities: establish the policies and processes used within the business units to estimate reserves; provide independent reviews and oversight of the business units’ recommended reserves estimates and changes; confirm that proved reserves are recognized in accordance with SEC guidelines; determine that reserve quantities are calculated using consistent and appropriate standards, procedures and technology;</w:t>
      </w:r>
    </w:p>
    <w:p>
      <w:pPr>
        <w:spacing w:after="0" w:line="2"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8"/>
          <w:szCs w:val="18"/>
          <w:color w:val="auto"/>
        </w:rPr>
        <w:t xml:space="preserve">and maintain the </w:t>
      </w:r>
      <w:r>
        <w:rPr>
          <w:rFonts w:ascii="Times New Roman" w:cs="Times New Roman" w:eastAsia="Times New Roman" w:hAnsi="Times New Roman"/>
          <w:sz w:val="18"/>
          <w:szCs w:val="18"/>
          <w:i w:val="1"/>
          <w:iCs w:val="1"/>
          <w:color w:val="auto"/>
        </w:rPr>
        <w:t>Chevron Corporation Reserves Manual</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18"/>
          <w:szCs w:val="18"/>
          <w:color w:val="auto"/>
        </w:rPr>
        <w:t xml:space="preserve"> which provides standardized procedures used corporatewide for classifying and reporting hydrocarbon reserves.</w:t>
      </w:r>
    </w:p>
    <w:p>
      <w:pPr>
        <w:spacing w:after="0" w:line="1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During the year, the RAC is represented in meetings with each of the company’s business units to review and discuss reserve changes recommended by the various asset teams. Major changes are also reviewed with the company’s senior leadership team including the Chief Executive Officer and the Chief Financial Officer. The company’s annual reserves activity is also reviewed with the company’s Audit Committee and Board of Directors. If major changes to reserves were to occur between the annual reviews, those matters would also be discussed with the Board.</w:t>
      </w:r>
    </w:p>
    <w:p>
      <w:pPr>
        <w:spacing w:after="0" w:line="5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 xml:space="preserve">RAC sub-teams also conduct in-depth reviews during the year of many of the fields that have large proved reserves quantities. These reviews include an examination of the proved reserve records and documentation of their compliance with the </w:t>
      </w:r>
      <w:r>
        <w:rPr>
          <w:rFonts w:ascii="Times New Roman" w:cs="Times New Roman" w:eastAsia="Times New Roman" w:hAnsi="Times New Roman"/>
          <w:sz w:val="18"/>
          <w:szCs w:val="18"/>
          <w:i w:val="1"/>
          <w:iCs w:val="1"/>
          <w:color w:val="auto"/>
        </w:rPr>
        <w:t>Chevron Corporation Reserves Manual</w:t>
      </w:r>
      <w:r>
        <w:rPr>
          <w:rFonts w:ascii="Times New Roman" w:cs="Times New Roman" w:eastAsia="Times New Roman" w:hAnsi="Times New Roman"/>
          <w:sz w:val="18"/>
          <w:szCs w:val="18"/>
          <w:color w:val="auto"/>
        </w:rPr>
        <w:t>.</w:t>
      </w:r>
    </w:p>
    <w:p>
      <w:pPr>
        <w:spacing w:after="0" w:line="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Technologies Used in Establishing Proved Reserves Additions </w:t>
      </w:r>
      <w:r>
        <w:rPr>
          <w:rFonts w:ascii="Times New Roman" w:cs="Times New Roman" w:eastAsia="Times New Roman" w:hAnsi="Times New Roman"/>
          <w:sz w:val="18"/>
          <w:szCs w:val="18"/>
          <w:color w:val="000000"/>
        </w:rPr>
        <w:t>In 2024, additions to Chevron’s proved reserves were based on a wide range of geologic</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and engineering technologies. Information generated from wells, such as well logs, wire line sampling, production and pressure testing, fluid analysis, and core analysis, was integrated with seismic data, regional geologic studies, and information from analogous reservoirs to provide “reasonably certain” proved reserves estimates. Both proprietary and commercially available analytic tools, including reservoir simulation, geologic modeling and seismic processing, have been used in the interpretation of the subsurface data. These technologies have been utilized extensively by the company in the past, and the company believes that they provide a high degree of confidence in establishing reliable and consistent reserves estimates.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FF0000"/>
        </w:rPr>
        <w:t>Proved Undeveloped Reserves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Noteworthy changes in proved undeveloped reserves are shown in the table below and discussed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Proved Undeveloped Reserves </w:t>
            </w:r>
            <w:r>
              <w:rPr>
                <w:rFonts w:ascii="Times New Roman" w:cs="Times New Roman" w:eastAsia="Times New Roman" w:hAnsi="Times New Roman"/>
                <w:sz w:val="14"/>
                <w:szCs w:val="14"/>
                <w:i w:val="1"/>
                <w:iCs w:val="1"/>
                <w:color w:val="auto"/>
              </w:rPr>
              <w:t>(Millions of BOE)</w:t>
            </w:r>
          </w:p>
        </w:tc>
        <w:tc>
          <w:tcPr>
            <w:tcW w:w="4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6860" w:type="dxa"/>
            <w:vAlign w:val="bottom"/>
            <w:tcBorders>
              <w:bottom w:val="single" w:sz="8" w:color="0077C0"/>
            </w:tcBorders>
          </w:tcPr>
          <w:p>
            <w:pPr>
              <w:spacing w:after="0"/>
              <w:rPr>
                <w:sz w:val="2"/>
                <w:szCs w:val="2"/>
                <w:color w:val="auto"/>
              </w:rPr>
            </w:pPr>
          </w:p>
        </w:tc>
        <w:tc>
          <w:tcPr>
            <w:tcW w:w="4380" w:type="dxa"/>
            <w:vAlign w:val="bottom"/>
            <w:tcBorders>
              <w:bottom w:val="single" w:sz="8" w:color="0077C0"/>
            </w:tcBorders>
          </w:tcPr>
          <w:p>
            <w:pPr>
              <w:spacing w:after="0"/>
              <w:rPr>
                <w:sz w:val="2"/>
                <w:szCs w:val="2"/>
                <w:color w:val="auto"/>
              </w:rPr>
            </w:pPr>
          </w:p>
        </w:tc>
      </w:tr>
      <w:tr>
        <w:trPr>
          <w:trHeight w:val="186"/>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0077C0"/>
              </w:rPr>
              <w:t>Quantity at January 1</w:t>
            </w:r>
          </w:p>
        </w:tc>
        <w:tc>
          <w:tcPr>
            <w:tcW w:w="4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3,456</w:t>
            </w:r>
          </w:p>
        </w:tc>
      </w:tr>
      <w:tr>
        <w:trPr>
          <w:trHeight w:val="216"/>
        </w:trPr>
        <w:tc>
          <w:tcPr>
            <w:tcW w:w="6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Revisions</w:t>
            </w:r>
          </w:p>
        </w:tc>
        <w:tc>
          <w:tcPr>
            <w:tcW w:w="4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r>
      <w:tr>
        <w:trPr>
          <w:trHeight w:val="216"/>
        </w:trPr>
        <w:tc>
          <w:tcPr>
            <w:tcW w:w="6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Improved recovery</w:t>
            </w:r>
          </w:p>
        </w:tc>
        <w:tc>
          <w:tcPr>
            <w:tcW w:w="4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16"/>
        </w:trPr>
        <w:tc>
          <w:tcPr>
            <w:tcW w:w="6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Extension and discoveries</w:t>
            </w:r>
          </w:p>
        </w:tc>
        <w:tc>
          <w:tcPr>
            <w:tcW w:w="4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r>
      <w:tr>
        <w:trPr>
          <w:trHeight w:val="216"/>
        </w:trPr>
        <w:tc>
          <w:tcPr>
            <w:tcW w:w="6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Purchases</w:t>
            </w:r>
          </w:p>
        </w:tc>
        <w:tc>
          <w:tcPr>
            <w:tcW w:w="4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216"/>
        </w:trPr>
        <w:tc>
          <w:tcPr>
            <w:tcW w:w="6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Sales</w:t>
            </w:r>
          </w:p>
        </w:tc>
        <w:tc>
          <w:tcPr>
            <w:tcW w:w="4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203"/>
        </w:trPr>
        <w:tc>
          <w:tcPr>
            <w:tcW w:w="6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Transfers to proved developed</w:t>
            </w:r>
          </w:p>
        </w:tc>
        <w:tc>
          <w:tcPr>
            <w:tcW w:w="4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w:t>
            </w:r>
          </w:p>
        </w:tc>
      </w:tr>
      <w:tr>
        <w:trPr>
          <w:trHeight w:val="23"/>
        </w:trPr>
        <w:tc>
          <w:tcPr>
            <w:tcW w:w="6860" w:type="dxa"/>
            <w:vAlign w:val="bottom"/>
            <w:tcBorders>
              <w:bottom w:val="single" w:sz="8" w:color="0077C0"/>
            </w:tcBorders>
          </w:tcPr>
          <w:p>
            <w:pPr>
              <w:spacing w:after="0"/>
              <w:rPr>
                <w:sz w:val="2"/>
                <w:szCs w:val="2"/>
                <w:color w:val="auto"/>
              </w:rPr>
            </w:pPr>
          </w:p>
        </w:tc>
        <w:tc>
          <w:tcPr>
            <w:tcW w:w="4380" w:type="dxa"/>
            <w:vAlign w:val="bottom"/>
            <w:tcBorders>
              <w:bottom w:val="single" w:sz="8" w:color="0077C0"/>
            </w:tcBorders>
          </w:tcPr>
          <w:p>
            <w:pPr>
              <w:spacing w:after="0"/>
              <w:rPr>
                <w:sz w:val="2"/>
                <w:szCs w:val="2"/>
                <w:color w:val="auto"/>
              </w:rPr>
            </w:pPr>
          </w:p>
        </w:tc>
      </w:tr>
      <w:tr>
        <w:trPr>
          <w:trHeight w:val="186"/>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0077C0"/>
              </w:rPr>
              <w:t>Quantity at December 31</w:t>
            </w:r>
          </w:p>
        </w:tc>
        <w:tc>
          <w:tcPr>
            <w:tcW w:w="4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2,761</w:t>
            </w:r>
          </w:p>
        </w:tc>
      </w:tr>
      <w:tr>
        <w:trPr>
          <w:trHeight w:val="23"/>
        </w:trPr>
        <w:tc>
          <w:tcPr>
            <w:tcW w:w="6860" w:type="dxa"/>
            <w:vAlign w:val="bottom"/>
            <w:tcBorders>
              <w:bottom w:val="single" w:sz="8" w:color="0077C0"/>
            </w:tcBorders>
          </w:tcPr>
          <w:p>
            <w:pPr>
              <w:spacing w:after="0"/>
              <w:rPr>
                <w:sz w:val="2"/>
                <w:szCs w:val="2"/>
                <w:color w:val="auto"/>
              </w:rPr>
            </w:pPr>
          </w:p>
        </w:tc>
        <w:tc>
          <w:tcPr>
            <w:tcW w:w="4380" w:type="dxa"/>
            <w:vAlign w:val="bottom"/>
            <w:tcBorders>
              <w:bottom w:val="single" w:sz="8" w:color="0077C0"/>
            </w:tcBorders>
          </w:tcPr>
          <w:p>
            <w:pPr>
              <w:spacing w:after="0"/>
              <w:rPr>
                <w:sz w:val="2"/>
                <w:szCs w:val="2"/>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10" w:name="page111"/>
    <w:bookmarkEnd w:id="110"/>
    <w:p>
      <w:pPr>
        <w:ind w:left="20"/>
        <w:spacing w:after="0"/>
        <w:tabs>
          <w:tab w:leader="none" w:pos="9460" w:val="left"/>
        </w:tabs>
        <w:rPr>
          <w:sz w:val="20"/>
          <w:szCs w:val="20"/>
          <w:color w:val="auto"/>
        </w:rPr>
      </w:pPr>
      <w:r>
        <w:rPr>
          <w:rFonts w:ascii="Arial" w:cs="Arial" w:eastAsia="Arial" w:hAnsi="Arial"/>
          <w:sz w:val="14"/>
          <w:szCs w:val="14"/>
          <w:color w:val="0077C0"/>
        </w:rPr>
        <w:t>Supplemental Information on Oil and Gas Producing Activities - Unaudited</w:t>
      </w:r>
      <w:r>
        <w:rPr>
          <w:sz w:val="20"/>
          <w:szCs w:val="20"/>
          <w:color w:val="auto"/>
        </w:rPr>
        <w:tab/>
      </w:r>
      <w:r>
        <w:rPr>
          <w:rFonts w:ascii="Arial" w:cs="Arial" w:eastAsia="Arial" w:hAnsi="Arial"/>
          <w:sz w:val="14"/>
          <w:szCs w:val="14"/>
          <w:color w:val="0077C0"/>
        </w:rPr>
        <w:t>Financial 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In 2024, revisions in the United States were primarily from the Denver-Julesburg (DJ) basin yielding a decrease of 98 million BOE mainly due to reservoir performance and portfolio optimization. A net decrease of 33 million BOE in the Midland and Delaware basins was due to reservoir performance.</w:t>
      </w:r>
    </w:p>
    <w:p>
      <w:pPr>
        <w:spacing w:after="0" w:line="2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2024, extensions and discoveries of 316 million BOE in the United States were primarily due to planned development of new locations in shale and tight assets in the DJ basin of 171 million BOE, the Midland and Delaware basins of 123 million BOE, and deepwater assets in the Gulf of America of 22 million BOE. In Other Americas, 58 million BOE of extensions and discoveries were from shale and tight assets in Argentina.</w:t>
      </w:r>
    </w:p>
    <w:p>
      <w:pPr>
        <w:spacing w:after="0" w:line="6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2024, purchases of 70 million BOE in the United States are primarily from newly identified proved undeveloped well locations associated with the acquisition of PDC.</w:t>
      </w:r>
    </w:p>
    <w:p>
      <w:pPr>
        <w:spacing w:after="0" w:line="5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difference in 2024 extensions and discoveries of 161 million BOE, between the net quantities of proved reserves of 551 million BOE as reflected on pages 112 to 114 and net quantities of proved undeveloped reserves of 390 million BOE, is primarily due to proved extensions and discoveries that were not recognized as proved undeveloped reserves in the prior year and were recognized directly as proved developed reserves in 2024.</w:t>
      </w:r>
    </w:p>
    <w:p>
      <w:pPr>
        <w:spacing w:after="0" w:line="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Transfers to proved developed reserves in 2024 include 464 million BOE in the United States, from 256 million BOE in the Midland and Delaware basins, 126 million BOE in the DJ basin, and 82 million BOE in the Gulf of America. Other significant transfers to proved developed were 329 million BOE in Kazakhstan, primarily at TCO, and 75 million BOE in Angola, primarily at Angola LNG. A combined 81 million BOE of transfers to proved developed were recorded in Argentina, Canada, Australia, Nigeria, China, and other international locations. These transfers are the consequence of development expenditures on completing wells and facilities.</w:t>
      </w:r>
    </w:p>
    <w:p>
      <w:pPr>
        <w:spacing w:after="0" w:line="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2024, the company’s investments totaled approximately $8.2 billion in oil and gas producing activities, and about $0.1 billion in non-oil and gas producing activities, to advance the development of proved undeveloped reserves. The United States accounted for about $5.5 billion primarily related to various development activities in the Midland and Delaware basins, the Gulf of America and the DJ basin. In Africa, about $0.8 billion was expended on various offshore development and natural gas projects in Nigeria and Angola. An additional $0.5 billion was spent on development activities in Australia. Development activities in other international locations were primarily responsible for about $1.4 billion of expenditures. The company’s equity affiliates investments in oil and gas producing activities to advance development of proved undeveloped reserves in 2024 was $1.3 billion primarily related to development projects for TCO in Kazakhstan.</w:t>
      </w:r>
    </w:p>
    <w:p>
      <w:pPr>
        <w:spacing w:after="0" w:line="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Reserves that remain proved undeveloped for five or more years are a result of several factors that affect optimal project development and execution. These factors may include the complex nature of the development project in adverse and remote locations, physical limitations of infrastructure or plant capacities that dictate project timing, compression projects that are pending reservoir pressure declines, and contractual limitations that dictate production levels.</w:t>
      </w:r>
    </w:p>
    <w:p>
      <w:pPr>
        <w:spacing w:after="0" w:line="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year-end 2024, the company held approximately 624 million BOE of proved undeveloped reserves that have remained undeveloped for five years or more. The majority of these reserves are in locations where the company has a proven track record of developing major projects. In Australia, approximately 223 million BOE remain undeveloped for five years or more related to the Gorgon and Wheatstone Projects. Further field development to convert the remaining proved undeveloped reserves is scheduled to occur in line with operating constraints, reservoir depletion and infrastructure optimization. In Africa, approximately 138 million BOE have remained undeveloped for five years or more, due to facility constraints at various fields and infrastructure associated with the Escravos gas projects in Nigeria. Affiliates account for about 237 million BOE of proved undeveloped reserves with about 197 million BOE that have remained undeveloped for five years or more related to TCO. At TCO, further field development to convert the remaining proved undeveloped reserves is scheduled to occur in line with reservoir depletion and facility constraints.</w:t>
      </w:r>
    </w:p>
    <w:p>
      <w:pPr>
        <w:spacing w:after="0" w:line="5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Annually, the company assesses whether any changes have occurred in facts or circumstances, such as changes to development plans, regulations, or government policies, that would warrant a revision to reserve estimates. In 2024, lower natural gas prices in North America were primarily responsible for the negative impact to the economic limits of oil and gas properties, resulting in a proved reserve decrease of approximately 58 million BOE. The year-end reserves quantities have been updated for these circumstances and significant changes are discussed in the appropriate reserves sections herein. Over the past three years, the ratio of proved undeveloped reserves to total proved reserves has ranged between 28 percent and 35 percent.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11" w:name="page112"/>
    <w:bookmarkEnd w:id="111"/>
    <w:p>
      <w:pPr>
        <w:ind w:left="20"/>
        <w:spacing w:after="0"/>
        <w:tabs>
          <w:tab w:leader="none" w:pos="9460" w:val="left"/>
        </w:tabs>
        <w:rPr>
          <w:sz w:val="20"/>
          <w:szCs w:val="20"/>
          <w:color w:val="auto"/>
        </w:rPr>
      </w:pPr>
      <w:r>
        <w:rPr>
          <w:rFonts w:ascii="Arial" w:cs="Arial" w:eastAsia="Arial" w:hAnsi="Arial"/>
          <w:sz w:val="14"/>
          <w:szCs w:val="14"/>
          <w:color w:val="0077C0"/>
        </w:rPr>
        <w:t>Supplemental Information on Oil and Gas Producing Activities - Unaudited</w:t>
      </w:r>
      <w:r>
        <w:rPr>
          <w:sz w:val="20"/>
          <w:szCs w:val="20"/>
          <w:color w:val="auto"/>
        </w:rPr>
        <w:tab/>
      </w:r>
      <w:r>
        <w:rPr>
          <w:rFonts w:ascii="Arial" w:cs="Arial" w:eastAsia="Arial" w:hAnsi="Arial"/>
          <w:sz w:val="14"/>
          <w:szCs w:val="14"/>
          <w:color w:val="0077C0"/>
        </w:rPr>
        <w:t>Financial 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Proved Reserve Quantities </w:t>
      </w:r>
      <w:r>
        <w:rPr>
          <w:rFonts w:ascii="Times New Roman" w:cs="Times New Roman" w:eastAsia="Times New Roman" w:hAnsi="Times New Roman"/>
          <w:sz w:val="18"/>
          <w:szCs w:val="18"/>
          <w:color w:val="000000"/>
        </w:rPr>
        <w:t>For the three-year period ended December 31, 2024, the pattern of net reserve changes shown in the following tables is not</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necessarily indicative of future trends. Apart from acquisitions, the company’s ability to add proved reserves can be affected by events and circumstances that are outside the company’s control, such as delays in government permitting, partner approvals of development plans, changes in oil and gas prices, OPEC constraints, geopolitical uncertainties, civil unrest, events of war or military conflicts.</w:t>
      </w:r>
    </w:p>
    <w:p>
      <w:pPr>
        <w:spacing w:after="0" w:line="4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At December 31, 2024, proved reserves for the company were 9.8 billion BOE. The company’s estimated net proved reserves of liquids, including crude oil, condensate and synthetic oil for the years 2022, 2023 and 2024, are shown in the table on page 112. The company’s estimated net proved reserves of natural gas liquids (NGLs) are shown on page 113, and the company’s estimated net proved reserves of natural gas are shown on page 114.</w:t>
      </w:r>
    </w:p>
    <w:p>
      <w:pPr>
        <w:spacing w:after="0" w:line="4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Noteworthy changes in crude oil, condensate and synthetic oil proved reserves for 2022 through 2024 are discussed below and shown in the table on the following page:</w:t>
      </w:r>
    </w:p>
    <w:p>
      <w:pPr>
        <w:spacing w:after="0" w:line="24"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Revisions </w:t>
      </w:r>
      <w:r>
        <w:rPr>
          <w:rFonts w:ascii="Times New Roman" w:cs="Times New Roman" w:eastAsia="Times New Roman" w:hAnsi="Times New Roman"/>
          <w:sz w:val="18"/>
          <w:szCs w:val="18"/>
          <w:color w:val="000000"/>
        </w:rPr>
        <w:t>In 2022, entitlement effects primarily contributed to a decrease of 49 million barrels of synthetic oil at the Athabasca Oil Sands project in</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Canada. In TCO, entitlement effects and changes in operating assumptions were primarily responsible for the 35 million barrels decrease in Kazakhstan.</w:t>
      </w:r>
    </w:p>
    <w:p>
      <w:pPr>
        <w:spacing w:after="0" w:line="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2023, the 257 million barrels decrease in United States was primarily in the Midland and Delaware basins and California. Reservoir performance led to the decrease of 101 million barrels, and portfolio optimization led to a decrease of 59 million barrels in the Midland and Delaware basins. A reduction in planned development activities led to a decrease of 58 million barrels in California. In Other Americas, entitlement effects primarily contributed to an increase of 42 million barrels of synthetic oil at the Athabasca Oil Sands project in Canada. In Asia, reservoir performance, mainly in the Partitioned Zone between Saudi Arabia and Kuwait (the Partitioned Zone), was responsible for the 48 million barrels increase. Reservoir performance in Nigeria was mainly responsible for the 37 million barrels increase in Africa.</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2024, the 37 million barrels increase in Asia was due to reservoir performance, primarily in the Partitioned Zone.</w:t>
      </w:r>
    </w:p>
    <w:p>
      <w:pPr>
        <w:spacing w:after="0" w:line="113"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Extensions and Discoveries </w:t>
      </w:r>
      <w:r>
        <w:rPr>
          <w:rFonts w:ascii="Times New Roman" w:cs="Times New Roman" w:eastAsia="Times New Roman" w:hAnsi="Times New Roman"/>
          <w:sz w:val="18"/>
          <w:szCs w:val="18"/>
          <w:color w:val="000000"/>
        </w:rPr>
        <w:t>In 2022, extensions and discoveries in the Midland, Delaware and DJ basins, and approval of the Ballymore Project in the</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Gulf of America, were primarily responsible for the 264 million barrels increase in the United States. In Other Americas, the 32 million barrels of extensions and discoveries were from Argentina and Canada.</w:t>
      </w:r>
    </w:p>
    <w:p>
      <w:pPr>
        <w:spacing w:after="0" w:line="4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 2023, extensions and discoveries of 124 million barrels in the Midland and Delaware basins were primarily responsible for the 170 million barrels increase in the United States. In Other Americas, the 55 million barrels of extensions and discoveries increase was mainly from shale and tight assets in Argentina.</w:t>
      </w:r>
    </w:p>
    <w:p>
      <w:pPr>
        <w:spacing w:after="0" w:line="4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In 2024, extensions and discoveries of 119 million barrels in the Midland and Delaware basins, and 45 million barrels in the DJ basin, were primarily responsible for the 185 million barrels increase in the United States. In Other Americas, the 52 million barrels of extensions and discoveries increase was mainly from shale and tight assets in Argentina.</w:t>
      </w:r>
    </w:p>
    <w:p>
      <w:pPr>
        <w:spacing w:after="0" w:line="38" w:lineRule="exact"/>
        <w:rPr>
          <w:sz w:val="20"/>
          <w:szCs w:val="20"/>
          <w:color w:val="auto"/>
        </w:rPr>
      </w:pPr>
    </w:p>
    <w:p>
      <w:pPr>
        <w:ind w:right="380"/>
        <w:spacing w:after="0" w:line="302"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Purchases </w:t>
      </w:r>
      <w:r>
        <w:rPr>
          <w:rFonts w:ascii="Times New Roman" w:cs="Times New Roman" w:eastAsia="Times New Roman" w:hAnsi="Times New Roman"/>
          <w:sz w:val="18"/>
          <w:szCs w:val="18"/>
          <w:color w:val="000000"/>
        </w:rPr>
        <w:t>In 2022, the company exercised its option to acquire additional land acreage in the Athabasca Oil Sands project in Canada contributing 168</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million barrels in synthetic oil. The extension of deepwater licenses in Nigeria and the Republic of Congo contributed 36 million barrels in Africa.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2023, the acquisition of PDC in the DJ and Delaware basins was primarily responsible for the 207 million barrels increase in the United States.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2024, the renewal of the Agbami field deepwater license in Nigeria increased reserves by 51 million barrels.</w:t>
      </w:r>
    </w:p>
    <w:p>
      <w:pPr>
        <w:spacing w:after="0" w:line="11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Sales </w:t>
      </w:r>
      <w:r>
        <w:rPr>
          <w:rFonts w:ascii="Times New Roman" w:cs="Times New Roman" w:eastAsia="Times New Roman" w:hAnsi="Times New Roman"/>
          <w:sz w:val="18"/>
          <w:szCs w:val="18"/>
          <w:color w:val="000000"/>
        </w:rPr>
        <w:t>In 2024, sales of 593 million barrels in synthetic oil were from the Athabasca oil sand assets in Canada and the 46 million barrels in Other Americas</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were from the divestment of shale and tight assets in Canada.</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12" w:name="page113"/>
    <w:bookmarkEnd w:id="112"/>
    <w:p>
      <w:pPr>
        <w:ind w:left="20"/>
        <w:spacing w:after="0"/>
        <w:tabs>
          <w:tab w:leader="none" w:pos="9460" w:val="left"/>
        </w:tabs>
        <w:rPr>
          <w:sz w:val="20"/>
          <w:szCs w:val="20"/>
          <w:color w:val="auto"/>
        </w:rPr>
      </w:pPr>
      <w:r>
        <w:rPr>
          <w:rFonts w:ascii="Arial" w:cs="Arial" w:eastAsia="Arial" w:hAnsi="Arial"/>
          <w:sz w:val="14"/>
          <w:szCs w:val="14"/>
          <w:color w:val="0077C0"/>
        </w:rPr>
        <w:t>Supplemental Information on Oil and Gas Producing Activities - Unaudited</w:t>
      </w:r>
      <w:r>
        <w:rPr>
          <w:sz w:val="20"/>
          <w:szCs w:val="20"/>
          <w:color w:val="auto"/>
        </w:rPr>
        <w:tab/>
      </w:r>
      <w:r>
        <w:rPr>
          <w:rFonts w:ascii="Arial" w:cs="Arial" w:eastAsia="Arial" w:hAnsi="Arial"/>
          <w:sz w:val="14"/>
          <w:szCs w:val="14"/>
          <w:color w:val="0077C0"/>
        </w:rPr>
        <w:t>Financial 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color w:val="0077C0"/>
        </w:rPr>
        <w:t>Net Proved Reserves of Crude Oil, Condensate and Synthetic Oil</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Consolidated Companies</w:t>
            </w:r>
          </w:p>
        </w:tc>
        <w:tc>
          <w:tcPr>
            <w:tcW w:w="680" w:type="dxa"/>
            <w:vAlign w:val="bottom"/>
          </w:tcPr>
          <w:p>
            <w:pPr>
              <w:spacing w:after="0"/>
              <w:rPr>
                <w:sz w:val="12"/>
                <w:szCs w:val="12"/>
                <w:color w:val="auto"/>
              </w:rPr>
            </w:pPr>
          </w:p>
        </w:tc>
        <w:tc>
          <w:tcPr>
            <w:tcW w:w="13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Affiliated Companies</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Total</w:t>
            </w:r>
          </w:p>
        </w:tc>
        <w:tc>
          <w:tcPr>
            <w:tcW w:w="0" w:type="dxa"/>
            <w:vAlign w:val="bottom"/>
          </w:tcPr>
          <w:p>
            <w:pPr>
              <w:spacing w:after="0"/>
              <w:rPr>
                <w:sz w:val="1"/>
                <w:szCs w:val="1"/>
                <w:color w:val="auto"/>
              </w:rPr>
            </w:pPr>
          </w:p>
        </w:tc>
      </w:tr>
      <w:tr>
        <w:trPr>
          <w:trHeight w:val="182"/>
        </w:trPr>
        <w:tc>
          <w:tcPr>
            <w:tcW w:w="2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68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Consolidated</w:t>
            </w:r>
          </w:p>
        </w:tc>
        <w:tc>
          <w:tcPr>
            <w:tcW w:w="0" w:type="dxa"/>
            <w:vAlign w:val="bottom"/>
          </w:tcPr>
          <w:p>
            <w:pPr>
              <w:spacing w:after="0"/>
              <w:rPr>
                <w:sz w:val="1"/>
                <w:szCs w:val="1"/>
                <w:color w:val="auto"/>
              </w:rPr>
            </w:pPr>
          </w:p>
        </w:tc>
      </w:tr>
      <w:tr>
        <w:trPr>
          <w:trHeight w:val="175"/>
        </w:trPr>
        <w:tc>
          <w:tcPr>
            <w:tcW w:w="2600" w:type="dxa"/>
            <w:vAlign w:val="bottom"/>
          </w:tcPr>
          <w:p>
            <w:pPr>
              <w:spacing w:after="0"/>
              <w:rPr>
                <w:sz w:val="15"/>
                <w:szCs w:val="15"/>
                <w:color w:val="auto"/>
              </w:rPr>
            </w:pPr>
          </w:p>
        </w:tc>
        <w:tc>
          <w:tcPr>
            <w:tcW w:w="680" w:type="dxa"/>
            <w:vAlign w:val="bottom"/>
            <w:tcBorders>
              <w:top w:val="single" w:sz="8" w:color="0077C0"/>
            </w:tcBorders>
          </w:tcPr>
          <w:p>
            <w:pPr>
              <w:spacing w:after="0"/>
              <w:rPr>
                <w:sz w:val="15"/>
                <w:szCs w:val="15"/>
                <w:color w:val="auto"/>
              </w:rPr>
            </w:pPr>
          </w:p>
        </w:tc>
        <w:tc>
          <w:tcPr>
            <w:tcW w:w="840" w:type="dxa"/>
            <w:vAlign w:val="bottom"/>
            <w:tcBorders>
              <w:top w:val="single" w:sz="8" w:color="0077C0"/>
            </w:tcBorders>
          </w:tcPr>
          <w:p>
            <w:pPr>
              <w:jc w:val="right"/>
              <w:ind w:right="48"/>
              <w:spacing w:after="0"/>
              <w:rPr>
                <w:sz w:val="20"/>
                <w:szCs w:val="20"/>
                <w:color w:val="auto"/>
              </w:rPr>
            </w:pPr>
            <w:r>
              <w:rPr>
                <w:rFonts w:ascii="Times New Roman" w:cs="Times New Roman" w:eastAsia="Times New Roman" w:hAnsi="Times New Roman"/>
                <w:sz w:val="13"/>
                <w:szCs w:val="13"/>
                <w:color w:val="auto"/>
              </w:rPr>
              <w:t>Other</w:t>
            </w:r>
          </w:p>
        </w:tc>
        <w:tc>
          <w:tcPr>
            <w:tcW w:w="600" w:type="dxa"/>
            <w:vAlign w:val="bottom"/>
            <w:tcBorders>
              <w:top w:val="single" w:sz="8" w:color="0077C0"/>
            </w:tcBorders>
          </w:tcPr>
          <w:p>
            <w:pPr>
              <w:spacing w:after="0"/>
              <w:rPr>
                <w:sz w:val="15"/>
                <w:szCs w:val="15"/>
                <w:color w:val="auto"/>
              </w:rPr>
            </w:pPr>
          </w:p>
        </w:tc>
        <w:tc>
          <w:tcPr>
            <w:tcW w:w="540" w:type="dxa"/>
            <w:vAlign w:val="bottom"/>
            <w:tcBorders>
              <w:top w:val="single" w:sz="8" w:color="0077C0"/>
            </w:tcBorders>
          </w:tcPr>
          <w:p>
            <w:pPr>
              <w:spacing w:after="0"/>
              <w:rPr>
                <w:sz w:val="15"/>
                <w:szCs w:val="15"/>
                <w:color w:val="auto"/>
              </w:rPr>
            </w:pPr>
          </w:p>
        </w:tc>
        <w:tc>
          <w:tcPr>
            <w:tcW w:w="780" w:type="dxa"/>
            <w:vAlign w:val="bottom"/>
            <w:tcBorders>
              <w:top w:val="single" w:sz="8" w:color="0077C0"/>
            </w:tcBorders>
          </w:tcPr>
          <w:p>
            <w:pPr>
              <w:spacing w:after="0"/>
              <w:rPr>
                <w:sz w:val="15"/>
                <w:szCs w:val="15"/>
                <w:color w:val="auto"/>
              </w:rPr>
            </w:pPr>
          </w:p>
        </w:tc>
        <w:tc>
          <w:tcPr>
            <w:tcW w:w="560" w:type="dxa"/>
            <w:vAlign w:val="bottom"/>
            <w:tcBorders>
              <w:top w:val="single" w:sz="8" w:color="0077C0"/>
            </w:tcBorders>
          </w:tcPr>
          <w:p>
            <w:pPr>
              <w:spacing w:after="0"/>
              <w:rPr>
                <w:sz w:val="15"/>
                <w:szCs w:val="15"/>
                <w:color w:val="auto"/>
              </w:rPr>
            </w:pPr>
          </w:p>
        </w:tc>
        <w:tc>
          <w:tcPr>
            <w:tcW w:w="880" w:type="dxa"/>
            <w:vAlign w:val="bottom"/>
            <w:tcBorders>
              <w:top w:val="single" w:sz="8" w:color="0077C0"/>
            </w:tcBorders>
          </w:tcPr>
          <w:p>
            <w:pPr>
              <w:jc w:val="right"/>
              <w:ind w:right="49"/>
              <w:spacing w:after="0"/>
              <w:rPr>
                <w:sz w:val="20"/>
                <w:szCs w:val="20"/>
                <w:color w:val="auto"/>
              </w:rPr>
            </w:pPr>
            <w:r>
              <w:rPr>
                <w:rFonts w:ascii="Times New Roman" w:cs="Times New Roman" w:eastAsia="Times New Roman" w:hAnsi="Times New Roman"/>
                <w:sz w:val="13"/>
                <w:szCs w:val="13"/>
                <w:color w:val="auto"/>
              </w:rPr>
              <w:t>Synthetic</w:t>
            </w:r>
          </w:p>
        </w:tc>
        <w:tc>
          <w:tcPr>
            <w:tcW w:w="520" w:type="dxa"/>
            <w:vAlign w:val="bottom"/>
            <w:tcBorders>
              <w:top w:val="single" w:sz="8" w:color="0077C0"/>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77C0"/>
            </w:tcBorders>
          </w:tcPr>
          <w:p>
            <w:pPr>
              <w:spacing w:after="0"/>
              <w:rPr>
                <w:sz w:val="15"/>
                <w:szCs w:val="15"/>
                <w:color w:val="auto"/>
              </w:rPr>
            </w:pPr>
          </w:p>
        </w:tc>
        <w:tc>
          <w:tcPr>
            <w:tcW w:w="780" w:type="dxa"/>
            <w:vAlign w:val="bottom"/>
            <w:tcBorders>
              <w:top w:val="single" w:sz="8" w:color="0077C0"/>
            </w:tcBorders>
          </w:tcPr>
          <w:p>
            <w:pPr>
              <w:ind w:left="160"/>
              <w:spacing w:after="0"/>
              <w:rPr>
                <w:sz w:val="20"/>
                <w:szCs w:val="20"/>
                <w:color w:val="auto"/>
              </w:rPr>
            </w:pPr>
            <w:r>
              <w:rPr>
                <w:rFonts w:ascii="Times New Roman" w:cs="Times New Roman" w:eastAsia="Times New Roman" w:hAnsi="Times New Roman"/>
                <w:sz w:val="13"/>
                <w:szCs w:val="13"/>
                <w:color w:val="auto"/>
              </w:rPr>
              <w:t>Synthetic</w:t>
            </w:r>
          </w:p>
        </w:tc>
        <w:tc>
          <w:tcPr>
            <w:tcW w:w="500" w:type="dxa"/>
            <w:vAlign w:val="bottom"/>
            <w:tcBorders>
              <w:top w:val="single" w:sz="8" w:color="0077C0"/>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and Affiliated</w:t>
            </w:r>
          </w:p>
        </w:tc>
        <w:tc>
          <w:tcPr>
            <w:tcW w:w="0" w:type="dxa"/>
            <w:vAlign w:val="bottom"/>
          </w:tcPr>
          <w:p>
            <w:pPr>
              <w:spacing w:after="0"/>
              <w:rPr>
                <w:sz w:val="1"/>
                <w:szCs w:val="1"/>
                <w:color w:val="auto"/>
              </w:rPr>
            </w:pPr>
          </w:p>
        </w:tc>
      </w:tr>
      <w:tr>
        <w:trPr>
          <w:trHeight w:val="203"/>
        </w:trPr>
        <w:tc>
          <w:tcPr>
            <w:tcW w:w="260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barrels</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3"/>
                <w:szCs w:val="13"/>
                <w:color w:val="auto"/>
              </w:rPr>
              <w:t>U.S.</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3"/>
                <w:szCs w:val="13"/>
                <w:color w:val="auto"/>
              </w:rPr>
              <w:t>Americas</w:t>
            </w:r>
            <w:r>
              <w:rPr>
                <w:rFonts w:ascii="Times New Roman" w:cs="Times New Roman" w:eastAsia="Times New Roman" w:hAnsi="Times New Roman"/>
                <w:sz w:val="17"/>
                <w:szCs w:val="17"/>
                <w:color w:val="auto"/>
                <w:vertAlign w:val="superscript"/>
              </w:rPr>
              <w:t>1</w:t>
            </w: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3"/>
                <w:szCs w:val="13"/>
                <w:color w:val="auto"/>
              </w:rPr>
              <w:t>Africa</w:t>
            </w:r>
          </w:p>
        </w:tc>
        <w:tc>
          <w:tcPr>
            <w:tcW w:w="5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Asia</w:t>
            </w: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3"/>
                <w:szCs w:val="13"/>
                <w:color w:val="auto"/>
              </w:rPr>
              <w:t>Australia</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Europe</w:t>
            </w: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3"/>
                <w:szCs w:val="13"/>
                <w:color w:val="auto"/>
              </w:rPr>
              <w:t xml:space="preserve">Oil </w:t>
            </w:r>
            <w:r>
              <w:rPr>
                <w:rFonts w:ascii="Times New Roman" w:cs="Times New Roman" w:eastAsia="Times New Roman" w:hAnsi="Times New Roman"/>
                <w:sz w:val="17"/>
                <w:szCs w:val="17"/>
                <w:color w:val="auto"/>
                <w:vertAlign w:val="superscript"/>
              </w:rPr>
              <w:t>2,5</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Total</w:t>
            </w: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3"/>
                <w:szCs w:val="13"/>
                <w:color w:val="auto"/>
              </w:rPr>
              <w:t>TCO</w:t>
            </w:r>
          </w:p>
        </w:tc>
        <w:tc>
          <w:tcPr>
            <w:tcW w:w="78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Oil</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Other</w:t>
            </w:r>
            <w:r>
              <w:rPr>
                <w:rFonts w:ascii="Times New Roman" w:cs="Times New Roman" w:eastAsia="Times New Roman" w:hAnsi="Times New Roman"/>
                <w:sz w:val="17"/>
                <w:szCs w:val="17"/>
                <w:color w:val="auto"/>
                <w:vertAlign w:val="superscript"/>
              </w:rPr>
              <w:t>3</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Companies</w:t>
            </w:r>
          </w:p>
        </w:tc>
        <w:tc>
          <w:tcPr>
            <w:tcW w:w="0" w:type="dxa"/>
            <w:vAlign w:val="bottom"/>
          </w:tcPr>
          <w:p>
            <w:pPr>
              <w:spacing w:after="0"/>
              <w:rPr>
                <w:sz w:val="1"/>
                <w:szCs w:val="1"/>
                <w:color w:val="auto"/>
              </w:rPr>
            </w:pPr>
          </w:p>
        </w:tc>
      </w:tr>
      <w:tr>
        <w:trPr>
          <w:trHeight w:val="184"/>
        </w:trPr>
        <w:tc>
          <w:tcPr>
            <w:tcW w:w="2600" w:type="dxa"/>
            <w:vAlign w:val="bottom"/>
            <w:tcBorders>
              <w:top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0077C0"/>
              </w:rPr>
              <w:t>Reserves at January 1, 2022</w:t>
            </w:r>
          </w:p>
        </w:tc>
        <w:tc>
          <w:tcPr>
            <w:tcW w:w="680" w:type="dxa"/>
            <w:vAlign w:val="bottom"/>
            <w:tcBorders>
              <w:top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color w:val="auto"/>
              </w:rPr>
              <w:t>2,064</w:t>
            </w:r>
          </w:p>
        </w:tc>
        <w:tc>
          <w:tcPr>
            <w:tcW w:w="840" w:type="dxa"/>
            <w:vAlign w:val="bottom"/>
            <w:tcBorders>
              <w:top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color w:val="auto"/>
              </w:rPr>
              <w:t>288</w:t>
            </w:r>
          </w:p>
        </w:tc>
        <w:tc>
          <w:tcPr>
            <w:tcW w:w="600" w:type="dxa"/>
            <w:vAlign w:val="bottom"/>
            <w:tcBorders>
              <w:top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color w:val="auto"/>
              </w:rPr>
              <w:t>480</w:t>
            </w:r>
          </w:p>
        </w:tc>
        <w:tc>
          <w:tcPr>
            <w:tcW w:w="540" w:type="dxa"/>
            <w:vAlign w:val="bottom"/>
            <w:tcBorders>
              <w:top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color w:val="auto"/>
              </w:rPr>
              <w:t>322</w:t>
            </w:r>
          </w:p>
        </w:tc>
        <w:tc>
          <w:tcPr>
            <w:tcW w:w="780" w:type="dxa"/>
            <w:vAlign w:val="bottom"/>
            <w:tcBorders>
              <w:top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color w:val="auto"/>
              </w:rPr>
              <w:t>134</w:t>
            </w:r>
          </w:p>
        </w:tc>
        <w:tc>
          <w:tcPr>
            <w:tcW w:w="560" w:type="dxa"/>
            <w:vAlign w:val="bottom"/>
            <w:tcBorders>
              <w:top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62</w:t>
            </w:r>
          </w:p>
        </w:tc>
        <w:tc>
          <w:tcPr>
            <w:tcW w:w="880" w:type="dxa"/>
            <w:vAlign w:val="bottom"/>
            <w:tcBorders>
              <w:top w:val="single" w:sz="8" w:color="0077C0"/>
            </w:tcBorders>
          </w:tcPr>
          <w:p>
            <w:pPr>
              <w:jc w:val="right"/>
              <w:ind w:right="89"/>
              <w:spacing w:after="0"/>
              <w:rPr>
                <w:sz w:val="20"/>
                <w:szCs w:val="20"/>
                <w:color w:val="auto"/>
              </w:rPr>
            </w:pPr>
            <w:r>
              <w:rPr>
                <w:rFonts w:ascii="Times New Roman" w:cs="Times New Roman" w:eastAsia="Times New Roman" w:hAnsi="Times New Roman"/>
                <w:sz w:val="14"/>
                <w:szCs w:val="14"/>
                <w:color w:val="auto"/>
              </w:rPr>
              <w:t>471</w:t>
            </w:r>
          </w:p>
        </w:tc>
        <w:tc>
          <w:tcPr>
            <w:tcW w:w="520" w:type="dxa"/>
            <w:vAlign w:val="bottom"/>
            <w:tcBorders>
              <w:top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3,821</w:t>
            </w:r>
          </w:p>
        </w:tc>
        <w:tc>
          <w:tcPr>
            <w:tcW w:w="100" w:type="dxa"/>
            <w:vAlign w:val="bottom"/>
          </w:tcPr>
          <w:p>
            <w:pPr>
              <w:spacing w:after="0"/>
              <w:rPr>
                <w:sz w:val="15"/>
                <w:szCs w:val="15"/>
                <w:color w:val="auto"/>
              </w:rPr>
            </w:pPr>
          </w:p>
        </w:tc>
        <w:tc>
          <w:tcPr>
            <w:tcW w:w="680" w:type="dxa"/>
            <w:vAlign w:val="bottom"/>
            <w:tcBorders>
              <w:top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color w:val="auto"/>
              </w:rPr>
              <w:t>1,250</w:t>
            </w:r>
          </w:p>
        </w:tc>
        <w:tc>
          <w:tcPr>
            <w:tcW w:w="780" w:type="dxa"/>
            <w:vAlign w:val="bottom"/>
            <w:tcBorders>
              <w:top w:val="single" w:sz="8" w:color="0077C0"/>
            </w:tcBorders>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1080" w:type="dxa"/>
            <w:vAlign w:val="bottom"/>
            <w:tcBorders>
              <w:top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5,075</w:t>
            </w:r>
          </w:p>
        </w:tc>
        <w:tc>
          <w:tcPr>
            <w:tcW w:w="0" w:type="dxa"/>
            <w:vAlign w:val="bottom"/>
          </w:tcPr>
          <w:p>
            <w:pPr>
              <w:spacing w:after="0"/>
              <w:rPr>
                <w:sz w:val="1"/>
                <w:szCs w:val="1"/>
                <w:color w:val="auto"/>
              </w:rPr>
            </w:pPr>
          </w:p>
        </w:tc>
      </w:tr>
      <w:tr>
        <w:trPr>
          <w:trHeight w:val="191"/>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attributable to:</w:t>
            </w: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Revisions</w:t>
            </w:r>
          </w:p>
        </w:tc>
        <w:tc>
          <w:tcPr>
            <w:tcW w:w="6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(26)</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6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w:t>
            </w:r>
          </w:p>
        </w:tc>
        <w:tc>
          <w:tcPr>
            <w:tcW w:w="5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8</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(49)</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w:t>
            </w:r>
          </w:p>
        </w:tc>
        <w:tc>
          <w:tcPr>
            <w:tcW w:w="7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203"/>
        </w:trPr>
        <w:tc>
          <w:tcPr>
            <w:tcW w:w="2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Improved recovery</w:t>
            </w: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15</w:t>
            </w:r>
          </w:p>
        </w:tc>
        <w:tc>
          <w:tcPr>
            <w:tcW w:w="6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w:t>
            </w:r>
          </w:p>
        </w:tc>
        <w:tc>
          <w:tcPr>
            <w:tcW w:w="5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7"/>
                <w:szCs w:val="17"/>
                <w:color w:val="auto"/>
              </w:rPr>
            </w:pPr>
          </w:p>
        </w:tc>
        <w:tc>
          <w:tcPr>
            <w:tcW w:w="6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03"/>
        </w:trPr>
        <w:tc>
          <w:tcPr>
            <w:tcW w:w="2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Extensions and discoveries</w:t>
            </w: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264</w:t>
            </w: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32</w:t>
            </w:r>
          </w:p>
        </w:tc>
        <w:tc>
          <w:tcPr>
            <w:tcW w:w="6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w:t>
            </w:r>
          </w:p>
        </w:tc>
        <w:tc>
          <w:tcPr>
            <w:tcW w:w="5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tcPr>
          <w:p>
            <w:pPr>
              <w:spacing w:after="0"/>
              <w:rPr>
                <w:sz w:val="17"/>
                <w:szCs w:val="17"/>
                <w:color w:val="auto"/>
              </w:rPr>
            </w:pPr>
          </w:p>
        </w:tc>
        <w:tc>
          <w:tcPr>
            <w:tcW w:w="6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w:t>
            </w:r>
          </w:p>
        </w:tc>
        <w:tc>
          <w:tcPr>
            <w:tcW w:w="7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0" w:type="dxa"/>
            <w:vAlign w:val="bottom"/>
          </w:tcPr>
          <w:p>
            <w:pPr>
              <w:spacing w:after="0"/>
              <w:rPr>
                <w:sz w:val="1"/>
                <w:szCs w:val="1"/>
                <w:color w:val="auto"/>
              </w:rPr>
            </w:pPr>
          </w:p>
        </w:tc>
      </w:tr>
      <w:tr>
        <w:trPr>
          <w:trHeight w:val="203"/>
        </w:trPr>
        <w:tc>
          <w:tcPr>
            <w:tcW w:w="2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w:t>
            </w: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22</w:t>
            </w: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w:t>
            </w:r>
          </w:p>
        </w:tc>
        <w:tc>
          <w:tcPr>
            <w:tcW w:w="6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36</w:t>
            </w:r>
          </w:p>
        </w:tc>
        <w:tc>
          <w:tcPr>
            <w:tcW w:w="5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168</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Pr>
          <w:p>
            <w:pPr>
              <w:spacing w:after="0"/>
              <w:rPr>
                <w:sz w:val="17"/>
                <w:szCs w:val="17"/>
                <w:color w:val="auto"/>
              </w:rPr>
            </w:pPr>
          </w:p>
        </w:tc>
        <w:tc>
          <w:tcPr>
            <w:tcW w:w="6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0" w:type="dxa"/>
            <w:vAlign w:val="bottom"/>
          </w:tcPr>
          <w:p>
            <w:pPr>
              <w:spacing w:after="0"/>
              <w:rPr>
                <w:sz w:val="1"/>
                <w:szCs w:val="1"/>
                <w:color w:val="auto"/>
              </w:rPr>
            </w:pPr>
          </w:p>
        </w:tc>
      </w:tr>
      <w:tr>
        <w:trPr>
          <w:trHeight w:val="203"/>
        </w:trPr>
        <w:tc>
          <w:tcPr>
            <w:tcW w:w="2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Sales</w:t>
            </w:r>
          </w:p>
        </w:tc>
        <w:tc>
          <w:tcPr>
            <w:tcW w:w="6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(16)</w:t>
            </w: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w:t>
            </w:r>
          </w:p>
        </w:tc>
        <w:tc>
          <w:tcPr>
            <w:tcW w:w="5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7"/>
                <w:szCs w:val="17"/>
                <w:color w:val="auto"/>
              </w:rPr>
            </w:pPr>
          </w:p>
        </w:tc>
        <w:tc>
          <w:tcPr>
            <w:tcW w:w="6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03"/>
        </w:trPr>
        <w:tc>
          <w:tcPr>
            <w:tcW w:w="2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Production</w:t>
            </w:r>
          </w:p>
        </w:tc>
        <w:tc>
          <w:tcPr>
            <w:tcW w:w="6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(237)</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w:t>
            </w:r>
          </w:p>
        </w:tc>
        <w:tc>
          <w:tcPr>
            <w:tcW w:w="6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(73)</w:t>
            </w:r>
          </w:p>
        </w:tc>
        <w:tc>
          <w:tcPr>
            <w:tcW w:w="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(42)</w:t>
            </w: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(16)</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(99)</w:t>
            </w:r>
          </w:p>
        </w:tc>
        <w:tc>
          <w:tcPr>
            <w:tcW w:w="7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0" w:type="dxa"/>
            <w:vAlign w:val="bottom"/>
          </w:tcPr>
          <w:p>
            <w:pPr>
              <w:spacing w:after="0"/>
              <w:rPr>
                <w:sz w:val="1"/>
                <w:szCs w:val="1"/>
                <w:color w:val="auto"/>
              </w:rPr>
            </w:pPr>
          </w:p>
        </w:tc>
      </w:tr>
      <w:tr>
        <w:trPr>
          <w:trHeight w:val="23"/>
        </w:trPr>
        <w:tc>
          <w:tcPr>
            <w:tcW w:w="260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84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780" w:type="dxa"/>
            <w:vAlign w:val="bottom"/>
            <w:tcBorders>
              <w:bottom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10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780" w:type="dxa"/>
            <w:vAlign w:val="bottom"/>
            <w:tcBorders>
              <w:bottom w:val="single" w:sz="8" w:color="0077C0"/>
            </w:tcBorders>
          </w:tcPr>
          <w:p>
            <w:pPr>
              <w:spacing w:after="0"/>
              <w:rPr>
                <w:sz w:val="2"/>
                <w:szCs w:val="2"/>
                <w:color w:val="auto"/>
              </w:rPr>
            </w:pPr>
          </w:p>
        </w:tc>
        <w:tc>
          <w:tcPr>
            <w:tcW w:w="500" w:type="dxa"/>
            <w:vAlign w:val="bottom"/>
            <w:tcBorders>
              <w:bottom w:val="single" w:sz="8" w:color="0077C0"/>
            </w:tcBorders>
          </w:tcPr>
          <w:p>
            <w:pPr>
              <w:spacing w:after="0"/>
              <w:rPr>
                <w:sz w:val="2"/>
                <w:szCs w:val="2"/>
                <w:color w:val="auto"/>
              </w:rPr>
            </w:pPr>
          </w:p>
        </w:tc>
        <w:tc>
          <w:tcPr>
            <w:tcW w:w="100" w:type="dxa"/>
            <w:vAlign w:val="bottom"/>
            <w:tcBorders>
              <w:bottom w:val="single" w:sz="8" w:color="0077C0"/>
            </w:tcBorders>
          </w:tcPr>
          <w:p>
            <w:pPr>
              <w:spacing w:after="0"/>
              <w:rPr>
                <w:sz w:val="2"/>
                <w:szCs w:val="2"/>
                <w:color w:val="auto"/>
              </w:rPr>
            </w:pPr>
          </w:p>
        </w:tc>
        <w:tc>
          <w:tcPr>
            <w:tcW w:w="108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600" w:type="dxa"/>
            <w:vAlign w:val="bottom"/>
          </w:tcPr>
          <w:p>
            <w:pPr>
              <w:ind w:left="20"/>
              <w:spacing w:after="0" w:line="187" w:lineRule="exact"/>
              <w:rPr>
                <w:sz w:val="20"/>
                <w:szCs w:val="20"/>
                <w:color w:val="auto"/>
              </w:rPr>
            </w:pPr>
            <w:r>
              <w:rPr>
                <w:rFonts w:ascii="Times New Roman" w:cs="Times New Roman" w:eastAsia="Times New Roman" w:hAnsi="Times New Roman"/>
                <w:sz w:val="14"/>
                <w:szCs w:val="14"/>
                <w:b w:val="1"/>
                <w:bCs w:val="1"/>
                <w:color w:val="0077C0"/>
              </w:rPr>
              <w:t xml:space="preserve">Reserves at December 31, 2022 </w:t>
            </w:r>
            <w:r>
              <w:rPr>
                <w:rFonts w:ascii="Times New Roman" w:cs="Times New Roman" w:eastAsia="Times New Roman" w:hAnsi="Times New Roman"/>
                <w:sz w:val="18"/>
                <w:szCs w:val="18"/>
                <w:b w:val="1"/>
                <w:bCs w:val="1"/>
                <w:color w:val="0077C0"/>
                <w:vertAlign w:val="superscript"/>
              </w:rPr>
              <w:t>4, 5</w:t>
            </w: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2,073</w:t>
            </w: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295</w:t>
            </w:r>
          </w:p>
        </w:tc>
        <w:tc>
          <w:tcPr>
            <w:tcW w:w="6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454</w:t>
            </w:r>
          </w:p>
        </w:tc>
        <w:tc>
          <w:tcPr>
            <w:tcW w:w="5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293</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121</w:t>
            </w: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w:t>
            </w:r>
          </w:p>
        </w:tc>
        <w:tc>
          <w:tcPr>
            <w:tcW w:w="8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574</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3,868</w:t>
            </w:r>
          </w:p>
        </w:tc>
        <w:tc>
          <w:tcPr>
            <w:tcW w:w="100" w:type="dxa"/>
            <w:vAlign w:val="bottom"/>
          </w:tcPr>
          <w:p>
            <w:pPr>
              <w:spacing w:after="0"/>
              <w:rPr>
                <w:sz w:val="16"/>
                <w:szCs w:val="16"/>
                <w:color w:val="auto"/>
              </w:rPr>
            </w:pPr>
          </w:p>
        </w:tc>
        <w:tc>
          <w:tcPr>
            <w:tcW w:w="6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1,126</w:t>
            </w:r>
          </w:p>
        </w:tc>
        <w:tc>
          <w:tcPr>
            <w:tcW w:w="7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4,997</w:t>
            </w:r>
          </w:p>
        </w:tc>
        <w:tc>
          <w:tcPr>
            <w:tcW w:w="0" w:type="dxa"/>
            <w:vAlign w:val="bottom"/>
          </w:tcPr>
          <w:p>
            <w:pPr>
              <w:spacing w:after="0"/>
              <w:rPr>
                <w:sz w:val="1"/>
                <w:szCs w:val="1"/>
                <w:color w:val="auto"/>
              </w:rPr>
            </w:pPr>
          </w:p>
        </w:tc>
      </w:tr>
      <w:tr>
        <w:trPr>
          <w:trHeight w:val="188"/>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attributable to:</w:t>
            </w: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Revisions</w:t>
            </w:r>
          </w:p>
        </w:tc>
        <w:tc>
          <w:tcPr>
            <w:tcW w:w="6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(257)</w:t>
            </w: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w:t>
            </w:r>
          </w:p>
        </w:tc>
        <w:tc>
          <w:tcPr>
            <w:tcW w:w="6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37</w:t>
            </w:r>
          </w:p>
        </w:tc>
        <w:tc>
          <w:tcPr>
            <w:tcW w:w="5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48</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42</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w:t>
            </w:r>
          </w:p>
        </w:tc>
        <w:tc>
          <w:tcPr>
            <w:tcW w:w="7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203"/>
        </w:trPr>
        <w:tc>
          <w:tcPr>
            <w:tcW w:w="2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Improved recovery</w:t>
            </w: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w:t>
            </w: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5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7"/>
                <w:szCs w:val="17"/>
                <w:color w:val="auto"/>
              </w:rPr>
            </w:pPr>
          </w:p>
        </w:tc>
        <w:tc>
          <w:tcPr>
            <w:tcW w:w="6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3"/>
        </w:trPr>
        <w:tc>
          <w:tcPr>
            <w:tcW w:w="2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Extensions and discoveries</w:t>
            </w: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170</w:t>
            </w: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55</w:t>
            </w:r>
          </w:p>
        </w:tc>
        <w:tc>
          <w:tcPr>
            <w:tcW w:w="6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tcPr>
          <w:p>
            <w:pPr>
              <w:spacing w:after="0"/>
              <w:rPr>
                <w:sz w:val="17"/>
                <w:szCs w:val="17"/>
                <w:color w:val="auto"/>
              </w:rPr>
            </w:pPr>
          </w:p>
        </w:tc>
        <w:tc>
          <w:tcPr>
            <w:tcW w:w="6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203"/>
        </w:trPr>
        <w:tc>
          <w:tcPr>
            <w:tcW w:w="2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w:t>
            </w: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207</w:t>
            </w: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w:t>
            </w:r>
          </w:p>
        </w:tc>
        <w:tc>
          <w:tcPr>
            <w:tcW w:w="5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Pr>
          <w:p>
            <w:pPr>
              <w:spacing w:after="0"/>
              <w:rPr>
                <w:sz w:val="17"/>
                <w:szCs w:val="17"/>
                <w:color w:val="auto"/>
              </w:rPr>
            </w:pPr>
          </w:p>
        </w:tc>
        <w:tc>
          <w:tcPr>
            <w:tcW w:w="6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0" w:type="dxa"/>
            <w:vAlign w:val="bottom"/>
          </w:tcPr>
          <w:p>
            <w:pPr>
              <w:spacing w:after="0"/>
              <w:rPr>
                <w:sz w:val="1"/>
                <w:szCs w:val="1"/>
                <w:color w:val="auto"/>
              </w:rPr>
            </w:pPr>
          </w:p>
        </w:tc>
      </w:tr>
      <w:tr>
        <w:trPr>
          <w:trHeight w:val="203"/>
        </w:trPr>
        <w:tc>
          <w:tcPr>
            <w:tcW w:w="2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Sales</w:t>
            </w:r>
          </w:p>
        </w:tc>
        <w:tc>
          <w:tcPr>
            <w:tcW w:w="6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w:t>
            </w: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6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3"/>
        </w:trPr>
        <w:tc>
          <w:tcPr>
            <w:tcW w:w="2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Production</w:t>
            </w:r>
          </w:p>
        </w:tc>
        <w:tc>
          <w:tcPr>
            <w:tcW w:w="6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(259)</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w:t>
            </w:r>
          </w:p>
        </w:tc>
        <w:tc>
          <w:tcPr>
            <w:tcW w:w="6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(72)</w:t>
            </w:r>
          </w:p>
        </w:tc>
        <w:tc>
          <w:tcPr>
            <w:tcW w:w="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(40)</w:t>
            </w: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(18)</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10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(102)</w:t>
            </w:r>
          </w:p>
        </w:tc>
        <w:tc>
          <w:tcPr>
            <w:tcW w:w="7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0" w:type="dxa"/>
            <w:vAlign w:val="bottom"/>
          </w:tcPr>
          <w:p>
            <w:pPr>
              <w:spacing w:after="0"/>
              <w:rPr>
                <w:sz w:val="1"/>
                <w:szCs w:val="1"/>
                <w:color w:val="auto"/>
              </w:rPr>
            </w:pPr>
          </w:p>
        </w:tc>
      </w:tr>
      <w:tr>
        <w:trPr>
          <w:trHeight w:val="23"/>
        </w:trPr>
        <w:tc>
          <w:tcPr>
            <w:tcW w:w="260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84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780" w:type="dxa"/>
            <w:vAlign w:val="bottom"/>
            <w:tcBorders>
              <w:bottom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10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780" w:type="dxa"/>
            <w:vAlign w:val="bottom"/>
            <w:tcBorders>
              <w:bottom w:val="single" w:sz="8" w:color="0077C0"/>
            </w:tcBorders>
          </w:tcPr>
          <w:p>
            <w:pPr>
              <w:spacing w:after="0"/>
              <w:rPr>
                <w:sz w:val="2"/>
                <w:szCs w:val="2"/>
                <w:color w:val="auto"/>
              </w:rPr>
            </w:pPr>
          </w:p>
        </w:tc>
        <w:tc>
          <w:tcPr>
            <w:tcW w:w="500" w:type="dxa"/>
            <w:vAlign w:val="bottom"/>
            <w:tcBorders>
              <w:bottom w:val="single" w:sz="8" w:color="0077C0"/>
            </w:tcBorders>
          </w:tcPr>
          <w:p>
            <w:pPr>
              <w:spacing w:after="0"/>
              <w:rPr>
                <w:sz w:val="2"/>
                <w:szCs w:val="2"/>
                <w:color w:val="auto"/>
              </w:rPr>
            </w:pPr>
          </w:p>
        </w:tc>
        <w:tc>
          <w:tcPr>
            <w:tcW w:w="100" w:type="dxa"/>
            <w:vAlign w:val="bottom"/>
            <w:tcBorders>
              <w:bottom w:val="single" w:sz="8" w:color="0077C0"/>
            </w:tcBorders>
          </w:tcPr>
          <w:p>
            <w:pPr>
              <w:spacing w:after="0"/>
              <w:rPr>
                <w:sz w:val="2"/>
                <w:szCs w:val="2"/>
                <w:color w:val="auto"/>
              </w:rPr>
            </w:pPr>
          </w:p>
        </w:tc>
        <w:tc>
          <w:tcPr>
            <w:tcW w:w="108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600" w:type="dxa"/>
            <w:vAlign w:val="bottom"/>
          </w:tcPr>
          <w:p>
            <w:pPr>
              <w:ind w:left="20"/>
              <w:spacing w:after="0" w:line="187" w:lineRule="exact"/>
              <w:rPr>
                <w:sz w:val="20"/>
                <w:szCs w:val="20"/>
                <w:color w:val="auto"/>
              </w:rPr>
            </w:pPr>
            <w:r>
              <w:rPr>
                <w:rFonts w:ascii="Times New Roman" w:cs="Times New Roman" w:eastAsia="Times New Roman" w:hAnsi="Times New Roman"/>
                <w:sz w:val="14"/>
                <w:szCs w:val="14"/>
                <w:b w:val="1"/>
                <w:bCs w:val="1"/>
                <w:color w:val="0077C0"/>
              </w:rPr>
              <w:t xml:space="preserve">Reserves at December 31, 2023 </w:t>
            </w:r>
            <w:r>
              <w:rPr>
                <w:rFonts w:ascii="Times New Roman" w:cs="Times New Roman" w:eastAsia="Times New Roman" w:hAnsi="Times New Roman"/>
                <w:sz w:val="18"/>
                <w:szCs w:val="18"/>
                <w:b w:val="1"/>
                <w:bCs w:val="1"/>
                <w:color w:val="0077C0"/>
                <w:vertAlign w:val="superscript"/>
              </w:rPr>
              <w:t>4, 5</w:t>
            </w: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1,942</w:t>
            </w: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324</w:t>
            </w:r>
          </w:p>
        </w:tc>
        <w:tc>
          <w:tcPr>
            <w:tcW w:w="6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445</w:t>
            </w:r>
          </w:p>
        </w:tc>
        <w:tc>
          <w:tcPr>
            <w:tcW w:w="5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301</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107</w:t>
            </w: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w:t>
            </w:r>
          </w:p>
        </w:tc>
        <w:tc>
          <w:tcPr>
            <w:tcW w:w="8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598</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3,770</w:t>
            </w:r>
          </w:p>
        </w:tc>
        <w:tc>
          <w:tcPr>
            <w:tcW w:w="100" w:type="dxa"/>
            <w:vAlign w:val="bottom"/>
          </w:tcPr>
          <w:p>
            <w:pPr>
              <w:spacing w:after="0"/>
              <w:rPr>
                <w:sz w:val="16"/>
                <w:szCs w:val="16"/>
                <w:color w:val="auto"/>
              </w:rPr>
            </w:pPr>
          </w:p>
        </w:tc>
        <w:tc>
          <w:tcPr>
            <w:tcW w:w="6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1,004</w:t>
            </w:r>
          </w:p>
        </w:tc>
        <w:tc>
          <w:tcPr>
            <w:tcW w:w="7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4,777</w:t>
            </w:r>
          </w:p>
        </w:tc>
        <w:tc>
          <w:tcPr>
            <w:tcW w:w="0" w:type="dxa"/>
            <w:vAlign w:val="bottom"/>
          </w:tcPr>
          <w:p>
            <w:pPr>
              <w:spacing w:after="0"/>
              <w:rPr>
                <w:sz w:val="1"/>
                <w:szCs w:val="1"/>
                <w:color w:val="auto"/>
              </w:rPr>
            </w:pPr>
          </w:p>
        </w:tc>
      </w:tr>
      <w:tr>
        <w:trPr>
          <w:trHeight w:val="188"/>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attributable to:</w:t>
            </w: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Revisions</w:t>
            </w: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(7)</w:t>
            </w:r>
          </w:p>
        </w:tc>
        <w:tc>
          <w:tcPr>
            <w:tcW w:w="6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21</w:t>
            </w:r>
          </w:p>
        </w:tc>
        <w:tc>
          <w:tcPr>
            <w:tcW w:w="5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37</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(4)</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49</w:t>
            </w:r>
          </w:p>
        </w:tc>
        <w:tc>
          <w:tcPr>
            <w:tcW w:w="10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(13)</w:t>
            </w:r>
          </w:p>
        </w:tc>
        <w:tc>
          <w:tcPr>
            <w:tcW w:w="7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w:t>
            </w:r>
          </w:p>
        </w:tc>
        <w:tc>
          <w:tcPr>
            <w:tcW w:w="0" w:type="dxa"/>
            <w:vAlign w:val="bottom"/>
          </w:tcPr>
          <w:p>
            <w:pPr>
              <w:spacing w:after="0"/>
              <w:rPr>
                <w:sz w:val="1"/>
                <w:szCs w:val="1"/>
                <w:color w:val="auto"/>
              </w:rPr>
            </w:pPr>
          </w:p>
        </w:tc>
      </w:tr>
      <w:tr>
        <w:trPr>
          <w:trHeight w:val="203"/>
        </w:trPr>
        <w:tc>
          <w:tcPr>
            <w:tcW w:w="2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Improved recovery</w:t>
            </w: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9</w:t>
            </w: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w:t>
            </w:r>
          </w:p>
        </w:tc>
        <w:tc>
          <w:tcPr>
            <w:tcW w:w="6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w:t>
            </w:r>
          </w:p>
        </w:tc>
        <w:tc>
          <w:tcPr>
            <w:tcW w:w="5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w:t>
            </w:r>
          </w:p>
        </w:tc>
        <w:tc>
          <w:tcPr>
            <w:tcW w:w="100" w:type="dxa"/>
            <w:vAlign w:val="bottom"/>
          </w:tcPr>
          <w:p>
            <w:pPr>
              <w:spacing w:after="0"/>
              <w:rPr>
                <w:sz w:val="17"/>
                <w:szCs w:val="17"/>
                <w:color w:val="auto"/>
              </w:rPr>
            </w:pPr>
          </w:p>
        </w:tc>
        <w:tc>
          <w:tcPr>
            <w:tcW w:w="6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w:t>
            </w:r>
          </w:p>
        </w:tc>
        <w:tc>
          <w:tcPr>
            <w:tcW w:w="0" w:type="dxa"/>
            <w:vAlign w:val="bottom"/>
          </w:tcPr>
          <w:p>
            <w:pPr>
              <w:spacing w:after="0"/>
              <w:rPr>
                <w:sz w:val="1"/>
                <w:szCs w:val="1"/>
                <w:color w:val="auto"/>
              </w:rPr>
            </w:pPr>
          </w:p>
        </w:tc>
      </w:tr>
      <w:tr>
        <w:trPr>
          <w:trHeight w:val="203"/>
        </w:trPr>
        <w:tc>
          <w:tcPr>
            <w:tcW w:w="2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Extensions and discoveries</w:t>
            </w: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185</w:t>
            </w: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52</w:t>
            </w:r>
          </w:p>
        </w:tc>
        <w:tc>
          <w:tcPr>
            <w:tcW w:w="6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4</w:t>
            </w:r>
          </w:p>
        </w:tc>
        <w:tc>
          <w:tcPr>
            <w:tcW w:w="5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241</w:t>
            </w:r>
          </w:p>
        </w:tc>
        <w:tc>
          <w:tcPr>
            <w:tcW w:w="100" w:type="dxa"/>
            <w:vAlign w:val="bottom"/>
          </w:tcPr>
          <w:p>
            <w:pPr>
              <w:spacing w:after="0"/>
              <w:rPr>
                <w:sz w:val="17"/>
                <w:szCs w:val="17"/>
                <w:color w:val="auto"/>
              </w:rPr>
            </w:pPr>
          </w:p>
        </w:tc>
        <w:tc>
          <w:tcPr>
            <w:tcW w:w="6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241</w:t>
            </w:r>
          </w:p>
        </w:tc>
        <w:tc>
          <w:tcPr>
            <w:tcW w:w="0" w:type="dxa"/>
            <w:vAlign w:val="bottom"/>
          </w:tcPr>
          <w:p>
            <w:pPr>
              <w:spacing w:after="0"/>
              <w:rPr>
                <w:sz w:val="1"/>
                <w:szCs w:val="1"/>
                <w:color w:val="auto"/>
              </w:rPr>
            </w:pPr>
          </w:p>
        </w:tc>
      </w:tr>
      <w:tr>
        <w:trPr>
          <w:trHeight w:val="203"/>
        </w:trPr>
        <w:tc>
          <w:tcPr>
            <w:tcW w:w="2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w:t>
            </w: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21</w:t>
            </w: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51</w:t>
            </w:r>
          </w:p>
        </w:tc>
        <w:tc>
          <w:tcPr>
            <w:tcW w:w="5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16</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88</w:t>
            </w:r>
          </w:p>
        </w:tc>
        <w:tc>
          <w:tcPr>
            <w:tcW w:w="100" w:type="dxa"/>
            <w:vAlign w:val="bottom"/>
          </w:tcPr>
          <w:p>
            <w:pPr>
              <w:spacing w:after="0"/>
              <w:rPr>
                <w:sz w:val="17"/>
                <w:szCs w:val="17"/>
                <w:color w:val="auto"/>
              </w:rPr>
            </w:pPr>
          </w:p>
        </w:tc>
        <w:tc>
          <w:tcPr>
            <w:tcW w:w="6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88</w:t>
            </w:r>
          </w:p>
        </w:tc>
        <w:tc>
          <w:tcPr>
            <w:tcW w:w="0" w:type="dxa"/>
            <w:vAlign w:val="bottom"/>
          </w:tcPr>
          <w:p>
            <w:pPr>
              <w:spacing w:after="0"/>
              <w:rPr>
                <w:sz w:val="1"/>
                <w:szCs w:val="1"/>
                <w:color w:val="auto"/>
              </w:rPr>
            </w:pPr>
          </w:p>
        </w:tc>
      </w:tr>
      <w:tr>
        <w:trPr>
          <w:trHeight w:val="203"/>
        </w:trPr>
        <w:tc>
          <w:tcPr>
            <w:tcW w:w="2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Sales</w:t>
            </w:r>
          </w:p>
        </w:tc>
        <w:tc>
          <w:tcPr>
            <w:tcW w:w="6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(27)</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(46)</w:t>
            </w:r>
          </w:p>
        </w:tc>
        <w:tc>
          <w:tcPr>
            <w:tcW w:w="6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(593)</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(666)</w:t>
            </w:r>
          </w:p>
        </w:tc>
        <w:tc>
          <w:tcPr>
            <w:tcW w:w="100" w:type="dxa"/>
            <w:vAlign w:val="bottom"/>
          </w:tcPr>
          <w:p>
            <w:pPr>
              <w:spacing w:after="0"/>
              <w:rPr>
                <w:sz w:val="17"/>
                <w:szCs w:val="17"/>
                <w:color w:val="auto"/>
              </w:rPr>
            </w:pPr>
          </w:p>
        </w:tc>
        <w:tc>
          <w:tcPr>
            <w:tcW w:w="6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(666)</w:t>
            </w:r>
          </w:p>
        </w:tc>
        <w:tc>
          <w:tcPr>
            <w:tcW w:w="0" w:type="dxa"/>
            <w:vAlign w:val="bottom"/>
          </w:tcPr>
          <w:p>
            <w:pPr>
              <w:spacing w:after="0"/>
              <w:rPr>
                <w:sz w:val="1"/>
                <w:szCs w:val="1"/>
                <w:color w:val="auto"/>
              </w:rPr>
            </w:pPr>
          </w:p>
        </w:tc>
      </w:tr>
      <w:tr>
        <w:trPr>
          <w:trHeight w:val="203"/>
        </w:trPr>
        <w:tc>
          <w:tcPr>
            <w:tcW w:w="2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Production</w:t>
            </w:r>
          </w:p>
        </w:tc>
        <w:tc>
          <w:tcPr>
            <w:tcW w:w="6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(286)</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(37)</w:t>
            </w:r>
          </w:p>
        </w:tc>
        <w:tc>
          <w:tcPr>
            <w:tcW w:w="6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(67)</w:t>
            </w:r>
          </w:p>
        </w:tc>
        <w:tc>
          <w:tcPr>
            <w:tcW w:w="5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(40)</w:t>
            </w: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(15)</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(17)</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(466)</w:t>
            </w:r>
          </w:p>
        </w:tc>
        <w:tc>
          <w:tcPr>
            <w:tcW w:w="10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(104)</w:t>
            </w:r>
          </w:p>
        </w:tc>
        <w:tc>
          <w:tcPr>
            <w:tcW w:w="7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(571)</w:t>
            </w:r>
          </w:p>
        </w:tc>
        <w:tc>
          <w:tcPr>
            <w:tcW w:w="0" w:type="dxa"/>
            <w:vAlign w:val="bottom"/>
          </w:tcPr>
          <w:p>
            <w:pPr>
              <w:spacing w:after="0"/>
              <w:rPr>
                <w:sz w:val="1"/>
                <w:szCs w:val="1"/>
                <w:color w:val="auto"/>
              </w:rPr>
            </w:pPr>
          </w:p>
        </w:tc>
      </w:tr>
      <w:tr>
        <w:trPr>
          <w:trHeight w:val="23"/>
        </w:trPr>
        <w:tc>
          <w:tcPr>
            <w:tcW w:w="260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84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780" w:type="dxa"/>
            <w:vAlign w:val="bottom"/>
            <w:tcBorders>
              <w:bottom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c>
          <w:tcPr>
            <w:tcW w:w="520" w:type="dxa"/>
            <w:vAlign w:val="bottom"/>
            <w:tcBorders>
              <w:bottom w:val="single" w:sz="8" w:color="0077C0"/>
            </w:tcBorders>
          </w:tcPr>
          <w:p>
            <w:pPr>
              <w:spacing w:after="0"/>
              <w:rPr>
                <w:sz w:val="2"/>
                <w:szCs w:val="2"/>
                <w:color w:val="auto"/>
              </w:rPr>
            </w:pPr>
          </w:p>
        </w:tc>
        <w:tc>
          <w:tcPr>
            <w:tcW w:w="10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780" w:type="dxa"/>
            <w:vAlign w:val="bottom"/>
            <w:tcBorders>
              <w:bottom w:val="single" w:sz="8" w:color="0077C0"/>
            </w:tcBorders>
          </w:tcPr>
          <w:p>
            <w:pPr>
              <w:spacing w:after="0"/>
              <w:rPr>
                <w:sz w:val="2"/>
                <w:szCs w:val="2"/>
                <w:color w:val="auto"/>
              </w:rPr>
            </w:pPr>
          </w:p>
        </w:tc>
        <w:tc>
          <w:tcPr>
            <w:tcW w:w="500" w:type="dxa"/>
            <w:vAlign w:val="bottom"/>
            <w:tcBorders>
              <w:bottom w:val="single" w:sz="8" w:color="0077C0"/>
            </w:tcBorders>
          </w:tcPr>
          <w:p>
            <w:pPr>
              <w:spacing w:after="0"/>
              <w:rPr>
                <w:sz w:val="2"/>
                <w:szCs w:val="2"/>
                <w:color w:val="auto"/>
              </w:rPr>
            </w:pPr>
          </w:p>
        </w:tc>
        <w:tc>
          <w:tcPr>
            <w:tcW w:w="100" w:type="dxa"/>
            <w:vAlign w:val="bottom"/>
            <w:tcBorders>
              <w:bottom w:val="single" w:sz="8" w:color="0077C0"/>
            </w:tcBorders>
          </w:tcPr>
          <w:p>
            <w:pPr>
              <w:spacing w:after="0"/>
              <w:rPr>
                <w:sz w:val="2"/>
                <w:szCs w:val="2"/>
                <w:color w:val="auto"/>
              </w:rPr>
            </w:pPr>
          </w:p>
        </w:tc>
        <w:tc>
          <w:tcPr>
            <w:tcW w:w="108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600" w:type="dxa"/>
            <w:vAlign w:val="bottom"/>
            <w:tcBorders>
              <w:bottom w:val="single" w:sz="8" w:color="0077C0"/>
            </w:tcBorders>
          </w:tcPr>
          <w:p>
            <w:pPr>
              <w:ind w:left="20"/>
              <w:spacing w:after="0" w:line="196" w:lineRule="exact"/>
              <w:rPr>
                <w:sz w:val="20"/>
                <w:szCs w:val="20"/>
                <w:color w:val="auto"/>
              </w:rPr>
            </w:pPr>
            <w:r>
              <w:rPr>
                <w:rFonts w:ascii="Times New Roman" w:cs="Times New Roman" w:eastAsia="Times New Roman" w:hAnsi="Times New Roman"/>
                <w:sz w:val="14"/>
                <w:szCs w:val="14"/>
                <w:b w:val="1"/>
                <w:bCs w:val="1"/>
                <w:color w:val="0077C0"/>
              </w:rPr>
              <w:t xml:space="preserve">Reserves at December 31, 2024 </w:t>
            </w:r>
            <w:r>
              <w:rPr>
                <w:rFonts w:ascii="Times New Roman" w:cs="Times New Roman" w:eastAsia="Times New Roman" w:hAnsi="Times New Roman"/>
                <w:sz w:val="18"/>
                <w:szCs w:val="18"/>
                <w:b w:val="1"/>
                <w:bCs w:val="1"/>
                <w:color w:val="0077C0"/>
                <w:vertAlign w:val="superscript"/>
              </w:rPr>
              <w:t>4, 5</w:t>
            </w:r>
          </w:p>
        </w:tc>
        <w:tc>
          <w:tcPr>
            <w:tcW w:w="68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1,846</w:t>
            </w:r>
          </w:p>
        </w:tc>
        <w:tc>
          <w:tcPr>
            <w:tcW w:w="840" w:type="dxa"/>
            <w:vAlign w:val="bottom"/>
            <w:tcBorders>
              <w:bottom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287</w:t>
            </w:r>
          </w:p>
        </w:tc>
        <w:tc>
          <w:tcPr>
            <w:tcW w:w="60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455</w:t>
            </w:r>
          </w:p>
        </w:tc>
        <w:tc>
          <w:tcPr>
            <w:tcW w:w="540" w:type="dxa"/>
            <w:vAlign w:val="bottom"/>
            <w:tcBorders>
              <w:bottom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298</w:t>
            </w:r>
          </w:p>
        </w:tc>
        <w:tc>
          <w:tcPr>
            <w:tcW w:w="78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92</w:t>
            </w:r>
          </w:p>
        </w:tc>
        <w:tc>
          <w:tcPr>
            <w:tcW w:w="56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49</w:t>
            </w:r>
          </w:p>
        </w:tc>
        <w:tc>
          <w:tcPr>
            <w:tcW w:w="880" w:type="dxa"/>
            <w:vAlign w:val="bottom"/>
            <w:tcBorders>
              <w:bottom w:val="single" w:sz="8" w:color="0077C0"/>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3,027</w:t>
            </w:r>
          </w:p>
        </w:tc>
        <w:tc>
          <w:tcPr>
            <w:tcW w:w="100" w:type="dxa"/>
            <w:vAlign w:val="bottom"/>
            <w:tcBorders>
              <w:bottom w:val="single" w:sz="8" w:color="0077C0"/>
            </w:tcBorders>
          </w:tcPr>
          <w:p>
            <w:pPr>
              <w:spacing w:after="0"/>
              <w:rPr>
                <w:sz w:val="17"/>
                <w:szCs w:val="17"/>
                <w:color w:val="auto"/>
              </w:rPr>
            </w:pPr>
          </w:p>
        </w:tc>
        <w:tc>
          <w:tcPr>
            <w:tcW w:w="680" w:type="dxa"/>
            <w:vAlign w:val="bottom"/>
            <w:tcBorders>
              <w:bottom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887</w:t>
            </w:r>
          </w:p>
        </w:tc>
        <w:tc>
          <w:tcPr>
            <w:tcW w:w="780" w:type="dxa"/>
            <w:vAlign w:val="bottom"/>
            <w:tcBorders>
              <w:bottom w:val="single" w:sz="8" w:color="0077C0"/>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bottom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Borders>
              <w:bottom w:val="single" w:sz="8" w:color="0077C0"/>
            </w:tcBorders>
          </w:tcPr>
          <w:p>
            <w:pPr>
              <w:spacing w:after="0"/>
              <w:rPr>
                <w:sz w:val="17"/>
                <w:szCs w:val="17"/>
                <w:color w:val="auto"/>
              </w:rPr>
            </w:pPr>
          </w:p>
        </w:tc>
        <w:tc>
          <w:tcPr>
            <w:tcW w:w="10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3,916</w:t>
            </w: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 w:hanging="52"/>
        <w:spacing w:after="0"/>
        <w:tabs>
          <w:tab w:leader="none" w:pos="60" w:val="left"/>
        </w:tabs>
        <w:numPr>
          <w:ilvl w:val="0"/>
          <w:numId w:val="6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Ending reserve balances in North America were 132, 188 and 185 and in South America were 155, 136 and 110 in 2024, 2023 and 2022, respectively.</w:t>
      </w:r>
    </w:p>
    <w:p>
      <w:pPr>
        <w:spacing w:after="0" w:line="181" w:lineRule="auto"/>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4"/>
          <w:szCs w:val="14"/>
          <w:color w:val="auto"/>
          <w:vertAlign w:val="superscript"/>
        </w:rPr>
        <w:t>2</w:t>
      </w:r>
      <w:r>
        <w:rPr>
          <w:rFonts w:ascii="Times New Roman" w:cs="Times New Roman" w:eastAsia="Times New Roman" w:hAnsi="Times New Roman"/>
          <w:sz w:val="11"/>
          <w:szCs w:val="11"/>
          <w:color w:val="auto"/>
        </w:rPr>
        <w:t xml:space="preserve"> Reserves associated with Canada.</w:t>
      </w:r>
    </w:p>
    <w:p>
      <w:pPr>
        <w:spacing w:after="0" w:line="187" w:lineRule="auto"/>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5"/>
          <w:szCs w:val="15"/>
          <w:color w:val="auto"/>
          <w:vertAlign w:val="superscript"/>
        </w:rPr>
        <w:t>3</w:t>
      </w:r>
      <w:r>
        <w:rPr>
          <w:rFonts w:ascii="Times New Roman" w:cs="Times New Roman" w:eastAsia="Times New Roman" w:hAnsi="Times New Roman"/>
          <w:sz w:val="12"/>
          <w:szCs w:val="12"/>
          <w:color w:val="auto"/>
        </w:rPr>
        <w:t xml:space="preserve"> Reserves associated with Africa.</w:t>
      </w:r>
    </w:p>
    <w:p>
      <w:pPr>
        <w:ind w:right="20"/>
        <w:spacing w:after="0" w:line="187" w:lineRule="auto"/>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5"/>
          <w:szCs w:val="15"/>
          <w:color w:val="auto"/>
          <w:vertAlign w:val="superscript"/>
        </w:rPr>
        <w:t>4</w:t>
      </w:r>
      <w:r>
        <w:rPr>
          <w:rFonts w:ascii="Times New Roman" w:cs="Times New Roman" w:eastAsia="Times New Roman" w:hAnsi="Times New Roman"/>
          <w:sz w:val="12"/>
          <w:szCs w:val="12"/>
          <w:color w:val="auto"/>
        </w:rPr>
        <w:t xml:space="preserve"> Included are year-end reserve quantities related to production-sharing contracts (PSC) (refer to page E-8 for the definition of a PSC). PSC-related reserve quantities are 8 percent, 6 percent and 6 percent for consolidated companies for 2024, 2023 and 2022, respectively.</w:t>
      </w:r>
    </w:p>
    <w:p>
      <w:pPr>
        <w:spacing w:after="0" w:line="1" w:lineRule="exact"/>
        <w:rPr>
          <w:rFonts w:ascii="Times New Roman" w:cs="Times New Roman" w:eastAsia="Times New Roman" w:hAnsi="Times New Roman"/>
          <w:sz w:val="15"/>
          <w:szCs w:val="15"/>
          <w:color w:val="auto"/>
          <w:vertAlign w:val="superscript"/>
        </w:rPr>
      </w:pPr>
    </w:p>
    <w:p>
      <w:pPr>
        <w:spacing w:after="0"/>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6"/>
          <w:szCs w:val="16"/>
          <w:color w:val="auto"/>
          <w:vertAlign w:val="superscript"/>
        </w:rPr>
        <w:t>5</w:t>
      </w:r>
      <w:r>
        <w:rPr>
          <w:rFonts w:ascii="Times New Roman" w:cs="Times New Roman" w:eastAsia="Times New Roman" w:hAnsi="Times New Roman"/>
          <w:sz w:val="13"/>
          <w:szCs w:val="13"/>
          <w:color w:val="auto"/>
        </w:rPr>
        <w:t xml:space="preserve"> Reserve quantities include synthetic oil projected to be consumed in operations of 0, 27, and 28 millions of barrels as of December 31, 2024, 2023 and 2022, respectively.</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Noteworthy changes in NGLs proved reserves for 2022 through 2024 are discussed below and shown in the table on the following page:</w:t>
      </w:r>
    </w:p>
    <w:p>
      <w:pPr>
        <w:spacing w:after="0" w:line="100"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Revisions </w:t>
      </w:r>
      <w:r>
        <w:rPr>
          <w:rFonts w:ascii="Times New Roman" w:cs="Times New Roman" w:eastAsia="Times New Roman" w:hAnsi="Times New Roman"/>
          <w:sz w:val="18"/>
          <w:szCs w:val="18"/>
          <w:color w:val="000000"/>
        </w:rPr>
        <w:t>In 2023, the 110 million barrels decrease in the United States was primarily in the Midland and Delaware basins with a decrease of 49 million</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barrels due to portfolio optimization and a decrease of 29 million barrels due to reservoir performance.</w:t>
      </w:r>
    </w:p>
    <w:p>
      <w:pPr>
        <w:spacing w:after="0" w:line="23"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auto"/>
        </w:rPr>
        <w:t>In 2024, the 41 million barrels decrease in the United States was primarily from a decrease of 65 million barrels in the DJ basin, which was partially offset by an increase of 31 million barrels from the Gulf of America.</w:t>
      </w:r>
    </w:p>
    <w:p>
      <w:pPr>
        <w:spacing w:after="0" w:line="24" w:lineRule="exact"/>
        <w:rPr>
          <w:sz w:val="20"/>
          <w:szCs w:val="20"/>
          <w:color w:val="auto"/>
        </w:rPr>
      </w:pPr>
    </w:p>
    <w:p>
      <w:pPr>
        <w:ind w:right="20"/>
        <w:spacing w:after="0" w:line="302"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Extensions and Discoveries </w:t>
      </w:r>
      <w:r>
        <w:rPr>
          <w:rFonts w:ascii="Times New Roman" w:cs="Times New Roman" w:eastAsia="Times New Roman" w:hAnsi="Times New Roman"/>
          <w:sz w:val="18"/>
          <w:szCs w:val="18"/>
          <w:color w:val="000000"/>
        </w:rPr>
        <w:t>In 2022, extensions and discoveries in the Midland and Delaware basins were primarily responsible for the 163 million barrels</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increase in the United States.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2023, extensions and discoveries in the Midland and Delaware basins were primarily responsible for the 92 million barrels increase in the United States.</w:t>
      </w:r>
    </w:p>
    <w:p>
      <w:pPr>
        <w:spacing w:after="0" w:line="104"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In 2024, extensions and discoveries in the Midland and Delaware basins of 72 million barrels, and in the DJ basin of 52 million barrels, were responsible for the 124 million barrels increase in the United States.</w:t>
      </w:r>
    </w:p>
    <w:p>
      <w:pPr>
        <w:spacing w:after="0" w:line="24" w:lineRule="exact"/>
        <w:rPr>
          <w:sz w:val="20"/>
          <w:szCs w:val="20"/>
          <w:color w:val="auto"/>
        </w:rPr>
      </w:pPr>
    </w:p>
    <w:p>
      <w:pPr>
        <w:ind w:right="20"/>
        <w:spacing w:after="0" w:line="302"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Purchases </w:t>
      </w:r>
      <w:r>
        <w:rPr>
          <w:rFonts w:ascii="Times New Roman" w:cs="Times New Roman" w:eastAsia="Times New Roman" w:hAnsi="Times New Roman"/>
          <w:sz w:val="18"/>
          <w:szCs w:val="18"/>
          <w:color w:val="000000"/>
        </w:rPr>
        <w:t>In 2023, the acquisition of PDC in the DJ and Delaware basins was primarily responsible for the 262 million barrels increase in the United</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States.</w:t>
      </w:r>
    </w:p>
    <w:p>
      <w:pPr>
        <w:spacing w:after="0" w:line="19"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Sales </w:t>
      </w:r>
      <w:r>
        <w:rPr>
          <w:rFonts w:ascii="Times New Roman" w:cs="Times New Roman" w:eastAsia="Times New Roman" w:hAnsi="Times New Roman"/>
          <w:sz w:val="18"/>
          <w:szCs w:val="18"/>
          <w:color w:val="000000"/>
        </w:rPr>
        <w:t>In 2022, sales of 35 million barrels in the United States were primarily from the divestment of the Eagle Ford shale assets and some properties in the</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Midland and Delaware basins.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13" w:name="page114"/>
    <w:bookmarkEnd w:id="113"/>
    <w:p>
      <w:pPr>
        <w:ind w:left="20"/>
        <w:spacing w:after="0"/>
        <w:tabs>
          <w:tab w:leader="none" w:pos="9460" w:val="left"/>
        </w:tabs>
        <w:rPr>
          <w:sz w:val="20"/>
          <w:szCs w:val="20"/>
          <w:color w:val="auto"/>
        </w:rPr>
      </w:pPr>
      <w:r>
        <w:rPr>
          <w:rFonts w:ascii="Arial" w:cs="Arial" w:eastAsia="Arial" w:hAnsi="Arial"/>
          <w:sz w:val="14"/>
          <w:szCs w:val="14"/>
          <w:color w:val="0077C0"/>
        </w:rPr>
        <w:t>Supplemental Information on Oil and Gas Producing Activities - Unaudited</w:t>
      </w:r>
      <w:r>
        <w:rPr>
          <w:sz w:val="20"/>
          <w:szCs w:val="20"/>
          <w:color w:val="auto"/>
        </w:rPr>
        <w:tab/>
      </w:r>
      <w:r>
        <w:rPr>
          <w:rFonts w:ascii="Arial" w:cs="Arial" w:eastAsia="Arial" w:hAnsi="Arial"/>
          <w:sz w:val="14"/>
          <w:szCs w:val="14"/>
          <w:color w:val="0077C0"/>
        </w:rPr>
        <w:t>Financial 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0077C0"/>
        </w:rPr>
        <w:t>Net Proved Reserves of Natural Gas Liquids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7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Consolidated Companies</w:t>
            </w:r>
          </w:p>
        </w:tc>
        <w:tc>
          <w:tcPr>
            <w:tcW w:w="1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Affiliated Companies</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2"/>
        </w:trPr>
        <w:tc>
          <w:tcPr>
            <w:tcW w:w="2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700" w:type="dxa"/>
            <w:vAlign w:val="bottom"/>
            <w:gridSpan w:val="3"/>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188"/>
        </w:trPr>
        <w:tc>
          <w:tcPr>
            <w:tcW w:w="2620" w:type="dxa"/>
            <w:vAlign w:val="bottom"/>
          </w:tcPr>
          <w:p>
            <w:pPr>
              <w:spacing w:after="0"/>
              <w:rPr>
                <w:sz w:val="16"/>
                <w:szCs w:val="16"/>
                <w:color w:val="auto"/>
              </w:rPr>
            </w:pPr>
          </w:p>
        </w:tc>
        <w:tc>
          <w:tcPr>
            <w:tcW w:w="880" w:type="dxa"/>
            <w:vAlign w:val="bottom"/>
            <w:tcBorders>
              <w:top w:val="single" w:sz="8" w:color="0077C0"/>
            </w:tcBorders>
          </w:tcPr>
          <w:p>
            <w:pPr>
              <w:spacing w:after="0"/>
              <w:rPr>
                <w:sz w:val="16"/>
                <w:szCs w:val="16"/>
                <w:color w:val="auto"/>
              </w:rPr>
            </w:pPr>
          </w:p>
        </w:tc>
        <w:tc>
          <w:tcPr>
            <w:tcW w:w="960" w:type="dxa"/>
            <w:vAlign w:val="bottom"/>
            <w:tcBorders>
              <w:top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color w:val="auto"/>
              </w:rPr>
              <w:t>Other</w:t>
            </w:r>
          </w:p>
        </w:tc>
        <w:tc>
          <w:tcPr>
            <w:tcW w:w="780" w:type="dxa"/>
            <w:vAlign w:val="bottom"/>
            <w:tcBorders>
              <w:top w:val="single" w:sz="8" w:color="0077C0"/>
            </w:tcBorders>
          </w:tcPr>
          <w:p>
            <w:pPr>
              <w:spacing w:after="0"/>
              <w:rPr>
                <w:sz w:val="16"/>
                <w:szCs w:val="16"/>
                <w:color w:val="auto"/>
              </w:rPr>
            </w:pPr>
          </w:p>
        </w:tc>
        <w:tc>
          <w:tcPr>
            <w:tcW w:w="660" w:type="dxa"/>
            <w:vAlign w:val="bottom"/>
            <w:tcBorders>
              <w:top w:val="single" w:sz="8" w:color="0077C0"/>
            </w:tcBorders>
          </w:tcPr>
          <w:p>
            <w:pPr>
              <w:spacing w:after="0"/>
              <w:rPr>
                <w:sz w:val="16"/>
                <w:szCs w:val="16"/>
                <w:color w:val="auto"/>
              </w:rPr>
            </w:pPr>
          </w:p>
        </w:tc>
        <w:tc>
          <w:tcPr>
            <w:tcW w:w="720" w:type="dxa"/>
            <w:vAlign w:val="bottom"/>
            <w:tcBorders>
              <w:top w:val="single" w:sz="8" w:color="0077C0"/>
            </w:tcBorders>
          </w:tcPr>
          <w:p>
            <w:pPr>
              <w:spacing w:after="0"/>
              <w:rPr>
                <w:sz w:val="16"/>
                <w:szCs w:val="16"/>
                <w:color w:val="auto"/>
              </w:rPr>
            </w:pPr>
          </w:p>
        </w:tc>
        <w:tc>
          <w:tcPr>
            <w:tcW w:w="900" w:type="dxa"/>
            <w:vAlign w:val="bottom"/>
            <w:tcBorders>
              <w:top w:val="single" w:sz="8" w:color="0077C0"/>
            </w:tcBorders>
          </w:tcPr>
          <w:p>
            <w:pPr>
              <w:spacing w:after="0"/>
              <w:rPr>
                <w:sz w:val="16"/>
                <w:szCs w:val="16"/>
                <w:color w:val="auto"/>
              </w:rPr>
            </w:pPr>
          </w:p>
        </w:tc>
        <w:tc>
          <w:tcPr>
            <w:tcW w:w="580" w:type="dxa"/>
            <w:vAlign w:val="bottom"/>
            <w:tcBorders>
              <w:top w:val="single" w:sz="8" w:color="0077C0"/>
            </w:tcBorders>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Borders>
              <w:top w:val="single" w:sz="8" w:color="0077C0"/>
            </w:tcBorders>
          </w:tcPr>
          <w:p>
            <w:pPr>
              <w:spacing w:after="0"/>
              <w:rPr>
                <w:sz w:val="16"/>
                <w:szCs w:val="16"/>
                <w:color w:val="auto"/>
              </w:rPr>
            </w:pPr>
          </w:p>
        </w:tc>
        <w:tc>
          <w:tcPr>
            <w:tcW w:w="580" w:type="dxa"/>
            <w:vAlign w:val="bottom"/>
            <w:tcBorders>
              <w:top w:val="single" w:sz="8" w:color="0077C0"/>
            </w:tcBorders>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and Affiliated</w:t>
            </w:r>
          </w:p>
        </w:tc>
        <w:tc>
          <w:tcPr>
            <w:tcW w:w="0" w:type="dxa"/>
            <w:vAlign w:val="bottom"/>
          </w:tcPr>
          <w:p>
            <w:pPr>
              <w:spacing w:after="0"/>
              <w:rPr>
                <w:sz w:val="1"/>
                <w:szCs w:val="1"/>
                <w:color w:val="auto"/>
              </w:rPr>
            </w:pPr>
          </w:p>
        </w:tc>
      </w:tr>
      <w:tr>
        <w:trPr>
          <w:trHeight w:val="210"/>
        </w:trPr>
        <w:tc>
          <w:tcPr>
            <w:tcW w:w="262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Millions of barrels</w:t>
            </w: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U.S.</w:t>
            </w: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Americas</w:t>
            </w:r>
            <w:r>
              <w:rPr>
                <w:rFonts w:ascii="Times New Roman" w:cs="Times New Roman" w:eastAsia="Times New Roman" w:hAnsi="Times New Roman"/>
                <w:sz w:val="9"/>
                <w:szCs w:val="9"/>
                <w:color w:val="auto"/>
              </w:rPr>
              <w:t>1</w:t>
            </w:r>
          </w:p>
        </w:tc>
        <w:tc>
          <w:tcPr>
            <w:tcW w:w="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Africa</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Asia</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Australia</w:t>
            </w:r>
          </w:p>
        </w:tc>
        <w:tc>
          <w:tcPr>
            <w:tcW w:w="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Europe</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Total</w:t>
            </w: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TCO</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9"/>
                <w:szCs w:val="9"/>
                <w:color w:val="auto"/>
              </w:rPr>
              <w:t>2</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Companies</w:t>
            </w:r>
          </w:p>
        </w:tc>
        <w:tc>
          <w:tcPr>
            <w:tcW w:w="0" w:type="dxa"/>
            <w:vAlign w:val="bottom"/>
          </w:tcPr>
          <w:p>
            <w:pPr>
              <w:spacing w:after="0"/>
              <w:rPr>
                <w:sz w:val="1"/>
                <w:szCs w:val="1"/>
                <w:color w:val="auto"/>
              </w:rPr>
            </w:pPr>
          </w:p>
        </w:tc>
      </w:tr>
      <w:tr>
        <w:trPr>
          <w:trHeight w:val="190"/>
        </w:trPr>
        <w:tc>
          <w:tcPr>
            <w:tcW w:w="2620" w:type="dxa"/>
            <w:vAlign w:val="bottom"/>
            <w:tcBorders>
              <w:top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0077C0"/>
              </w:rPr>
              <w:t>Reserves at January 1, 2022</w:t>
            </w:r>
          </w:p>
        </w:tc>
        <w:tc>
          <w:tcPr>
            <w:tcW w:w="880" w:type="dxa"/>
            <w:vAlign w:val="bottom"/>
            <w:tcBorders>
              <w:top w:val="single" w:sz="8" w:color="0077C0"/>
            </w:tcBorders>
          </w:tcPr>
          <w:p>
            <w:pPr>
              <w:jc w:val="right"/>
              <w:ind w:right="148"/>
              <w:spacing w:after="0"/>
              <w:rPr>
                <w:sz w:val="20"/>
                <w:szCs w:val="20"/>
                <w:color w:val="auto"/>
              </w:rPr>
            </w:pPr>
            <w:r>
              <w:rPr>
                <w:rFonts w:ascii="Times New Roman" w:cs="Times New Roman" w:eastAsia="Times New Roman" w:hAnsi="Times New Roman"/>
                <w:sz w:val="14"/>
                <w:szCs w:val="14"/>
                <w:color w:val="auto"/>
              </w:rPr>
              <w:t>812</w:t>
            </w:r>
          </w:p>
        </w:tc>
        <w:tc>
          <w:tcPr>
            <w:tcW w:w="960" w:type="dxa"/>
            <w:vAlign w:val="bottom"/>
            <w:tcBorders>
              <w:top w:val="single" w:sz="8" w:color="0077C0"/>
            </w:tcBorders>
          </w:tcPr>
          <w:p>
            <w:pPr>
              <w:jc w:val="right"/>
              <w:ind w:right="168"/>
              <w:spacing w:after="0"/>
              <w:rPr>
                <w:sz w:val="20"/>
                <w:szCs w:val="20"/>
                <w:color w:val="auto"/>
              </w:rPr>
            </w:pPr>
            <w:r>
              <w:rPr>
                <w:rFonts w:ascii="Times New Roman" w:cs="Times New Roman" w:eastAsia="Times New Roman" w:hAnsi="Times New Roman"/>
                <w:sz w:val="14"/>
                <w:szCs w:val="14"/>
                <w:color w:val="auto"/>
              </w:rPr>
              <w:t>15</w:t>
            </w:r>
          </w:p>
        </w:tc>
        <w:tc>
          <w:tcPr>
            <w:tcW w:w="780" w:type="dxa"/>
            <w:vAlign w:val="bottom"/>
            <w:tcBorders>
              <w:top w:val="single" w:sz="8" w:color="0077C0"/>
            </w:tcBorders>
          </w:tcPr>
          <w:p>
            <w:pPr>
              <w:jc w:val="right"/>
              <w:ind w:right="208"/>
              <w:spacing w:after="0"/>
              <w:rPr>
                <w:sz w:val="20"/>
                <w:szCs w:val="20"/>
                <w:color w:val="auto"/>
              </w:rPr>
            </w:pPr>
            <w:r>
              <w:rPr>
                <w:rFonts w:ascii="Times New Roman" w:cs="Times New Roman" w:eastAsia="Times New Roman" w:hAnsi="Times New Roman"/>
                <w:sz w:val="14"/>
                <w:szCs w:val="14"/>
                <w:color w:val="auto"/>
              </w:rPr>
              <w:t>106</w:t>
            </w:r>
          </w:p>
        </w:tc>
        <w:tc>
          <w:tcPr>
            <w:tcW w:w="660" w:type="dxa"/>
            <w:vAlign w:val="bottom"/>
            <w:tcBorders>
              <w:top w:val="single" w:sz="8" w:color="0077C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Borders>
              <w:top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900" w:type="dxa"/>
            <w:vAlign w:val="bottom"/>
            <w:tcBorders>
              <w:top w:val="single" w:sz="8" w:color="0077C0"/>
            </w:tcBorders>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220" w:type="dxa"/>
            <w:vAlign w:val="bottom"/>
          </w:tcPr>
          <w:p>
            <w:pPr>
              <w:spacing w:after="0"/>
              <w:rPr>
                <w:sz w:val="16"/>
                <w:szCs w:val="16"/>
                <w:color w:val="auto"/>
              </w:rPr>
            </w:pPr>
          </w:p>
        </w:tc>
        <w:tc>
          <w:tcPr>
            <w:tcW w:w="940" w:type="dxa"/>
            <w:vAlign w:val="bottom"/>
            <w:tcBorders>
              <w:top w:val="single" w:sz="8" w:color="0077C0"/>
            </w:tcBorders>
          </w:tcPr>
          <w:p>
            <w:pPr>
              <w:jc w:val="right"/>
              <w:ind w:right="168"/>
              <w:spacing w:after="0"/>
              <w:rPr>
                <w:sz w:val="20"/>
                <w:szCs w:val="20"/>
                <w:color w:val="auto"/>
              </w:rPr>
            </w:pPr>
            <w:r>
              <w:rPr>
                <w:rFonts w:ascii="Times New Roman" w:cs="Times New Roman" w:eastAsia="Times New Roman" w:hAnsi="Times New Roman"/>
                <w:sz w:val="14"/>
                <w:szCs w:val="14"/>
                <w:color w:val="auto"/>
              </w:rPr>
              <w:t>84</w:t>
            </w:r>
          </w:p>
        </w:tc>
        <w:tc>
          <w:tcPr>
            <w:tcW w:w="580" w:type="dxa"/>
            <w:vAlign w:val="bottom"/>
            <w:tcBorders>
              <w:top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400" w:type="dxa"/>
            <w:vAlign w:val="bottom"/>
            <w:tcBorders>
              <w:top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1,038</w:t>
            </w:r>
          </w:p>
        </w:tc>
        <w:tc>
          <w:tcPr>
            <w:tcW w:w="0" w:type="dxa"/>
            <w:vAlign w:val="bottom"/>
          </w:tcPr>
          <w:p>
            <w:pPr>
              <w:spacing w:after="0"/>
              <w:rPr>
                <w:sz w:val="1"/>
                <w:szCs w:val="1"/>
                <w:color w:val="auto"/>
              </w:rPr>
            </w:pPr>
          </w:p>
        </w:tc>
      </w:tr>
      <w:tr>
        <w:trPr>
          <w:trHeight w:val="191"/>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attributable to:</w:t>
            </w:r>
          </w:p>
        </w:tc>
        <w:tc>
          <w:tcPr>
            <w:tcW w:w="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Revisions</w:t>
            </w:r>
          </w:p>
        </w:tc>
        <w:tc>
          <w:tcPr>
            <w:tcW w:w="8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18</w:t>
            </w:r>
          </w:p>
        </w:tc>
        <w:tc>
          <w:tcPr>
            <w:tcW w:w="9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(3)</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20" w:type="dxa"/>
            <w:vAlign w:val="bottom"/>
          </w:tcPr>
          <w:p>
            <w:pPr>
              <w:spacing w:after="0"/>
              <w:rPr>
                <w:sz w:val="17"/>
                <w:szCs w:val="17"/>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3"/>
        </w:trPr>
        <w:tc>
          <w:tcPr>
            <w:tcW w:w="2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Improved recovery</w:t>
            </w:r>
          </w:p>
        </w:tc>
        <w:tc>
          <w:tcPr>
            <w:tcW w:w="8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Extensions and discoveries</w:t>
            </w:r>
          </w:p>
        </w:tc>
        <w:tc>
          <w:tcPr>
            <w:tcW w:w="8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163</w:t>
            </w:r>
          </w:p>
        </w:tc>
        <w:tc>
          <w:tcPr>
            <w:tcW w:w="9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w:t>
            </w:r>
          </w:p>
        </w:tc>
        <w:tc>
          <w:tcPr>
            <w:tcW w:w="7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220" w:type="dxa"/>
            <w:vAlign w:val="bottom"/>
          </w:tcPr>
          <w:p>
            <w:pPr>
              <w:spacing w:after="0"/>
              <w:rPr>
                <w:sz w:val="17"/>
                <w:szCs w:val="17"/>
                <w:color w:val="auto"/>
              </w:rPr>
            </w:pP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203"/>
        </w:trPr>
        <w:tc>
          <w:tcPr>
            <w:tcW w:w="2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w:t>
            </w:r>
          </w:p>
        </w:tc>
        <w:tc>
          <w:tcPr>
            <w:tcW w:w="8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14</w:t>
            </w:r>
          </w:p>
        </w:tc>
        <w:tc>
          <w:tcPr>
            <w:tcW w:w="9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w:t>
            </w:r>
          </w:p>
        </w:tc>
        <w:tc>
          <w:tcPr>
            <w:tcW w:w="7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20" w:type="dxa"/>
            <w:vAlign w:val="bottom"/>
          </w:tcPr>
          <w:p>
            <w:pPr>
              <w:spacing w:after="0"/>
              <w:rPr>
                <w:sz w:val="17"/>
                <w:szCs w:val="17"/>
                <w:color w:val="auto"/>
              </w:rPr>
            </w:pP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03"/>
        </w:trPr>
        <w:tc>
          <w:tcPr>
            <w:tcW w:w="2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Sales</w:t>
            </w: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(35)</w:t>
            </w:r>
          </w:p>
        </w:tc>
        <w:tc>
          <w:tcPr>
            <w:tcW w:w="9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20" w:type="dxa"/>
            <w:vAlign w:val="bottom"/>
          </w:tcPr>
          <w:p>
            <w:pPr>
              <w:spacing w:after="0"/>
              <w:rPr>
                <w:sz w:val="17"/>
                <w:szCs w:val="17"/>
                <w:color w:val="auto"/>
              </w:rPr>
            </w:pP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03"/>
        </w:trPr>
        <w:tc>
          <w:tcPr>
            <w:tcW w:w="2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Production</w:t>
            </w: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(87)</w:t>
            </w: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w:t>
            </w:r>
          </w:p>
        </w:tc>
        <w:tc>
          <w:tcPr>
            <w:tcW w:w="7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(7)</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220" w:type="dxa"/>
            <w:vAlign w:val="bottom"/>
          </w:tcPr>
          <w:p>
            <w:pPr>
              <w:spacing w:after="0"/>
              <w:rPr>
                <w:sz w:val="17"/>
                <w:szCs w:val="17"/>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23"/>
        </w:trPr>
        <w:tc>
          <w:tcPr>
            <w:tcW w:w="262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c>
          <w:tcPr>
            <w:tcW w:w="960" w:type="dxa"/>
            <w:vAlign w:val="bottom"/>
            <w:tcBorders>
              <w:bottom w:val="single" w:sz="8" w:color="0077C0"/>
            </w:tcBorders>
          </w:tcPr>
          <w:p>
            <w:pPr>
              <w:spacing w:after="0"/>
              <w:rPr>
                <w:sz w:val="2"/>
                <w:szCs w:val="2"/>
                <w:color w:val="auto"/>
              </w:rPr>
            </w:pPr>
          </w:p>
        </w:tc>
        <w:tc>
          <w:tcPr>
            <w:tcW w:w="78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720" w:type="dxa"/>
            <w:vAlign w:val="bottom"/>
            <w:tcBorders>
              <w:bottom w:val="single" w:sz="8" w:color="0077C0"/>
            </w:tcBorders>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94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140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0077C0"/>
              </w:rPr>
              <w:t>Reserves at December 31, 2022</w:t>
            </w:r>
            <w:r>
              <w:rPr>
                <w:rFonts w:ascii="Times New Roman" w:cs="Times New Roman" w:eastAsia="Times New Roman" w:hAnsi="Times New Roman"/>
                <w:sz w:val="9"/>
                <w:szCs w:val="9"/>
                <w:b w:val="1"/>
                <w:bCs w:val="1"/>
                <w:color w:val="0077C0"/>
              </w:rPr>
              <w:t>3</w:t>
            </w:r>
          </w:p>
        </w:tc>
        <w:tc>
          <w:tcPr>
            <w:tcW w:w="8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885</w:t>
            </w:r>
          </w:p>
        </w:tc>
        <w:tc>
          <w:tcPr>
            <w:tcW w:w="9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17</w:t>
            </w:r>
          </w:p>
        </w:tc>
        <w:tc>
          <w:tcPr>
            <w:tcW w:w="7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97</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9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1,002</w:t>
            </w:r>
          </w:p>
        </w:tc>
        <w:tc>
          <w:tcPr>
            <w:tcW w:w="220" w:type="dxa"/>
            <w:vAlign w:val="bottom"/>
          </w:tcPr>
          <w:p>
            <w:pPr>
              <w:spacing w:after="0"/>
              <w:rPr>
                <w:sz w:val="15"/>
                <w:szCs w:val="15"/>
                <w:color w:val="auto"/>
              </w:rPr>
            </w:pP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73</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1,088</w:t>
            </w:r>
          </w:p>
        </w:tc>
        <w:tc>
          <w:tcPr>
            <w:tcW w:w="0" w:type="dxa"/>
            <w:vAlign w:val="bottom"/>
          </w:tcPr>
          <w:p>
            <w:pPr>
              <w:spacing w:after="0"/>
              <w:rPr>
                <w:sz w:val="1"/>
                <w:szCs w:val="1"/>
                <w:color w:val="auto"/>
              </w:rPr>
            </w:pPr>
          </w:p>
        </w:tc>
      </w:tr>
      <w:tr>
        <w:trPr>
          <w:trHeight w:val="191"/>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attributable to:</w:t>
            </w:r>
          </w:p>
        </w:tc>
        <w:tc>
          <w:tcPr>
            <w:tcW w:w="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Revisions</w:t>
            </w: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(110)</w:t>
            </w:r>
          </w:p>
        </w:tc>
        <w:tc>
          <w:tcPr>
            <w:tcW w:w="9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(6)</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220" w:type="dxa"/>
            <w:vAlign w:val="bottom"/>
          </w:tcPr>
          <w:p>
            <w:pPr>
              <w:spacing w:after="0"/>
              <w:rPr>
                <w:sz w:val="17"/>
                <w:szCs w:val="17"/>
                <w:color w:val="auto"/>
              </w:rPr>
            </w:pP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12</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203"/>
        </w:trPr>
        <w:tc>
          <w:tcPr>
            <w:tcW w:w="2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Improved recovery</w:t>
            </w:r>
          </w:p>
        </w:tc>
        <w:tc>
          <w:tcPr>
            <w:tcW w:w="8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Extensions and discoveries</w:t>
            </w:r>
          </w:p>
        </w:tc>
        <w:tc>
          <w:tcPr>
            <w:tcW w:w="8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92</w:t>
            </w:r>
          </w:p>
        </w:tc>
        <w:tc>
          <w:tcPr>
            <w:tcW w:w="9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220" w:type="dxa"/>
            <w:vAlign w:val="bottom"/>
          </w:tcPr>
          <w:p>
            <w:pPr>
              <w:spacing w:after="0"/>
              <w:rPr>
                <w:sz w:val="17"/>
                <w:szCs w:val="17"/>
                <w:color w:val="auto"/>
              </w:rPr>
            </w:pP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203"/>
        </w:trPr>
        <w:tc>
          <w:tcPr>
            <w:tcW w:w="2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w:t>
            </w:r>
          </w:p>
        </w:tc>
        <w:tc>
          <w:tcPr>
            <w:tcW w:w="8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262</w:t>
            </w:r>
          </w:p>
        </w:tc>
        <w:tc>
          <w:tcPr>
            <w:tcW w:w="9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11</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220" w:type="dxa"/>
            <w:vAlign w:val="bottom"/>
          </w:tcPr>
          <w:p>
            <w:pPr>
              <w:spacing w:after="0"/>
              <w:rPr>
                <w:sz w:val="17"/>
                <w:szCs w:val="17"/>
                <w:color w:val="auto"/>
              </w:rPr>
            </w:pP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0" w:type="dxa"/>
            <w:vAlign w:val="bottom"/>
          </w:tcPr>
          <w:p>
            <w:pPr>
              <w:spacing w:after="0"/>
              <w:rPr>
                <w:sz w:val="1"/>
                <w:szCs w:val="1"/>
                <w:color w:val="auto"/>
              </w:rPr>
            </w:pPr>
          </w:p>
        </w:tc>
      </w:tr>
      <w:tr>
        <w:trPr>
          <w:trHeight w:val="203"/>
        </w:trPr>
        <w:tc>
          <w:tcPr>
            <w:tcW w:w="2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Sales</w:t>
            </w:r>
          </w:p>
        </w:tc>
        <w:tc>
          <w:tcPr>
            <w:tcW w:w="8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Production</w:t>
            </w: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(105)</w:t>
            </w: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w:t>
            </w:r>
          </w:p>
        </w:tc>
        <w:tc>
          <w:tcPr>
            <w:tcW w:w="7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(5)</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9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220" w:type="dxa"/>
            <w:vAlign w:val="bottom"/>
          </w:tcPr>
          <w:p>
            <w:pPr>
              <w:spacing w:after="0"/>
              <w:rPr>
                <w:sz w:val="17"/>
                <w:szCs w:val="17"/>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23"/>
        </w:trPr>
        <w:tc>
          <w:tcPr>
            <w:tcW w:w="262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c>
          <w:tcPr>
            <w:tcW w:w="960" w:type="dxa"/>
            <w:vAlign w:val="bottom"/>
            <w:tcBorders>
              <w:bottom w:val="single" w:sz="8" w:color="0077C0"/>
            </w:tcBorders>
          </w:tcPr>
          <w:p>
            <w:pPr>
              <w:spacing w:after="0"/>
              <w:rPr>
                <w:sz w:val="2"/>
                <w:szCs w:val="2"/>
                <w:color w:val="auto"/>
              </w:rPr>
            </w:pPr>
          </w:p>
        </w:tc>
        <w:tc>
          <w:tcPr>
            <w:tcW w:w="78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720" w:type="dxa"/>
            <w:vAlign w:val="bottom"/>
            <w:tcBorders>
              <w:bottom w:val="single" w:sz="8" w:color="0077C0"/>
            </w:tcBorders>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94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140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0077C0"/>
              </w:rPr>
              <w:t>Reserves at December 31, 2023</w:t>
            </w:r>
            <w:r>
              <w:rPr>
                <w:rFonts w:ascii="Times New Roman" w:cs="Times New Roman" w:eastAsia="Times New Roman" w:hAnsi="Times New Roman"/>
                <w:sz w:val="9"/>
                <w:szCs w:val="9"/>
                <w:b w:val="1"/>
                <w:bCs w:val="1"/>
                <w:color w:val="0077C0"/>
              </w:rPr>
              <w:t>3</w:t>
            </w:r>
          </w:p>
        </w:tc>
        <w:tc>
          <w:tcPr>
            <w:tcW w:w="8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1,024</w:t>
            </w:r>
          </w:p>
        </w:tc>
        <w:tc>
          <w:tcPr>
            <w:tcW w:w="9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15</w:t>
            </w:r>
          </w:p>
        </w:tc>
        <w:tc>
          <w:tcPr>
            <w:tcW w:w="7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97</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9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1,138</w:t>
            </w:r>
          </w:p>
        </w:tc>
        <w:tc>
          <w:tcPr>
            <w:tcW w:w="220" w:type="dxa"/>
            <w:vAlign w:val="bottom"/>
          </w:tcPr>
          <w:p>
            <w:pPr>
              <w:spacing w:after="0"/>
              <w:rPr>
                <w:sz w:val="15"/>
                <w:szCs w:val="15"/>
                <w:color w:val="auto"/>
              </w:rPr>
            </w:pP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78</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1,229</w:t>
            </w:r>
          </w:p>
        </w:tc>
        <w:tc>
          <w:tcPr>
            <w:tcW w:w="0" w:type="dxa"/>
            <w:vAlign w:val="bottom"/>
          </w:tcPr>
          <w:p>
            <w:pPr>
              <w:spacing w:after="0"/>
              <w:rPr>
                <w:sz w:val="1"/>
                <w:szCs w:val="1"/>
                <w:color w:val="auto"/>
              </w:rPr>
            </w:pPr>
          </w:p>
        </w:tc>
      </w:tr>
      <w:tr>
        <w:trPr>
          <w:trHeight w:val="191"/>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attributable to:</w:t>
            </w:r>
          </w:p>
        </w:tc>
        <w:tc>
          <w:tcPr>
            <w:tcW w:w="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Revisions</w:t>
            </w: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(41)</w:t>
            </w:r>
          </w:p>
        </w:tc>
        <w:tc>
          <w:tcPr>
            <w:tcW w:w="9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(7)</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(48)</w:t>
            </w:r>
          </w:p>
        </w:tc>
        <w:tc>
          <w:tcPr>
            <w:tcW w:w="220" w:type="dxa"/>
            <w:vAlign w:val="bottom"/>
          </w:tcPr>
          <w:p>
            <w:pPr>
              <w:spacing w:after="0"/>
              <w:rPr>
                <w:sz w:val="17"/>
                <w:szCs w:val="17"/>
                <w:color w:val="auto"/>
              </w:rPr>
            </w:pP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1</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w:t>
            </w:r>
          </w:p>
        </w:tc>
        <w:tc>
          <w:tcPr>
            <w:tcW w:w="0" w:type="dxa"/>
            <w:vAlign w:val="bottom"/>
          </w:tcPr>
          <w:p>
            <w:pPr>
              <w:spacing w:after="0"/>
              <w:rPr>
                <w:sz w:val="1"/>
                <w:szCs w:val="1"/>
                <w:color w:val="auto"/>
              </w:rPr>
            </w:pPr>
          </w:p>
        </w:tc>
      </w:tr>
      <w:tr>
        <w:trPr>
          <w:trHeight w:val="203"/>
        </w:trPr>
        <w:tc>
          <w:tcPr>
            <w:tcW w:w="2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Improved recovery</w:t>
            </w:r>
          </w:p>
        </w:tc>
        <w:tc>
          <w:tcPr>
            <w:tcW w:w="8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3"/>
        </w:trPr>
        <w:tc>
          <w:tcPr>
            <w:tcW w:w="2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Extensions and discoveries</w:t>
            </w:r>
          </w:p>
        </w:tc>
        <w:tc>
          <w:tcPr>
            <w:tcW w:w="8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124</w:t>
            </w:r>
          </w:p>
        </w:tc>
        <w:tc>
          <w:tcPr>
            <w:tcW w:w="9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124</w:t>
            </w:r>
          </w:p>
        </w:tc>
        <w:tc>
          <w:tcPr>
            <w:tcW w:w="220" w:type="dxa"/>
            <w:vAlign w:val="bottom"/>
          </w:tcPr>
          <w:p>
            <w:pPr>
              <w:spacing w:after="0"/>
              <w:rPr>
                <w:sz w:val="17"/>
                <w:szCs w:val="17"/>
                <w:color w:val="auto"/>
              </w:rPr>
            </w:pP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124</w:t>
            </w:r>
          </w:p>
        </w:tc>
        <w:tc>
          <w:tcPr>
            <w:tcW w:w="0" w:type="dxa"/>
            <w:vAlign w:val="bottom"/>
          </w:tcPr>
          <w:p>
            <w:pPr>
              <w:spacing w:after="0"/>
              <w:rPr>
                <w:sz w:val="1"/>
                <w:szCs w:val="1"/>
                <w:color w:val="auto"/>
              </w:rPr>
            </w:pPr>
          </w:p>
        </w:tc>
      </w:tr>
      <w:tr>
        <w:trPr>
          <w:trHeight w:val="203"/>
        </w:trPr>
        <w:tc>
          <w:tcPr>
            <w:tcW w:w="2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w:t>
            </w:r>
          </w:p>
        </w:tc>
        <w:tc>
          <w:tcPr>
            <w:tcW w:w="8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w:t>
            </w:r>
          </w:p>
        </w:tc>
        <w:tc>
          <w:tcPr>
            <w:tcW w:w="9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w:t>
            </w:r>
          </w:p>
        </w:tc>
        <w:tc>
          <w:tcPr>
            <w:tcW w:w="220" w:type="dxa"/>
            <w:vAlign w:val="bottom"/>
          </w:tcPr>
          <w:p>
            <w:pPr>
              <w:spacing w:after="0"/>
              <w:rPr>
                <w:sz w:val="17"/>
                <w:szCs w:val="17"/>
                <w:color w:val="auto"/>
              </w:rPr>
            </w:pP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w:t>
            </w:r>
          </w:p>
        </w:tc>
        <w:tc>
          <w:tcPr>
            <w:tcW w:w="0" w:type="dxa"/>
            <w:vAlign w:val="bottom"/>
          </w:tcPr>
          <w:p>
            <w:pPr>
              <w:spacing w:after="0"/>
              <w:rPr>
                <w:sz w:val="1"/>
                <w:szCs w:val="1"/>
                <w:color w:val="auto"/>
              </w:rPr>
            </w:pPr>
          </w:p>
        </w:tc>
      </w:tr>
      <w:tr>
        <w:trPr>
          <w:trHeight w:val="203"/>
        </w:trPr>
        <w:tc>
          <w:tcPr>
            <w:tcW w:w="2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Sales</w:t>
            </w: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(3)</w:t>
            </w: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(13)</w:t>
            </w:r>
          </w:p>
        </w:tc>
        <w:tc>
          <w:tcPr>
            <w:tcW w:w="7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w:t>
            </w:r>
          </w:p>
        </w:tc>
        <w:tc>
          <w:tcPr>
            <w:tcW w:w="220" w:type="dxa"/>
            <w:vAlign w:val="bottom"/>
          </w:tcPr>
          <w:p>
            <w:pPr>
              <w:spacing w:after="0"/>
              <w:rPr>
                <w:sz w:val="17"/>
                <w:szCs w:val="17"/>
                <w:color w:val="auto"/>
              </w:rPr>
            </w:pP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w:t>
            </w:r>
          </w:p>
        </w:tc>
        <w:tc>
          <w:tcPr>
            <w:tcW w:w="0" w:type="dxa"/>
            <w:vAlign w:val="bottom"/>
          </w:tcPr>
          <w:p>
            <w:pPr>
              <w:spacing w:after="0"/>
              <w:rPr>
                <w:sz w:val="1"/>
                <w:szCs w:val="1"/>
                <w:color w:val="auto"/>
              </w:rPr>
            </w:pPr>
          </w:p>
        </w:tc>
      </w:tr>
      <w:tr>
        <w:trPr>
          <w:trHeight w:val="203"/>
        </w:trPr>
        <w:tc>
          <w:tcPr>
            <w:tcW w:w="2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Production</w:t>
            </w: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(136)</w:t>
            </w: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w:t>
            </w:r>
          </w:p>
        </w:tc>
        <w:tc>
          <w:tcPr>
            <w:tcW w:w="78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(4)</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90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(143)</w:t>
            </w:r>
          </w:p>
        </w:tc>
        <w:tc>
          <w:tcPr>
            <w:tcW w:w="220" w:type="dxa"/>
            <w:vAlign w:val="bottom"/>
          </w:tcPr>
          <w:p>
            <w:pPr>
              <w:spacing w:after="0"/>
              <w:rPr>
                <w:sz w:val="17"/>
                <w:szCs w:val="17"/>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(7)</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(152)</w:t>
            </w:r>
          </w:p>
        </w:tc>
        <w:tc>
          <w:tcPr>
            <w:tcW w:w="0" w:type="dxa"/>
            <w:vAlign w:val="bottom"/>
          </w:tcPr>
          <w:p>
            <w:pPr>
              <w:spacing w:after="0"/>
              <w:rPr>
                <w:sz w:val="1"/>
                <w:szCs w:val="1"/>
                <w:color w:val="auto"/>
              </w:rPr>
            </w:pPr>
          </w:p>
        </w:tc>
      </w:tr>
      <w:tr>
        <w:trPr>
          <w:trHeight w:val="23"/>
        </w:trPr>
        <w:tc>
          <w:tcPr>
            <w:tcW w:w="2620" w:type="dxa"/>
            <w:vAlign w:val="bottom"/>
            <w:tcBorders>
              <w:bottom w:val="single" w:sz="8" w:color="0077C0"/>
            </w:tcBorders>
          </w:tcPr>
          <w:p>
            <w:pPr>
              <w:spacing w:after="0"/>
              <w:rPr>
                <w:sz w:val="2"/>
                <w:szCs w:val="2"/>
                <w:color w:val="auto"/>
              </w:rPr>
            </w:pPr>
          </w:p>
        </w:tc>
        <w:tc>
          <w:tcPr>
            <w:tcW w:w="880" w:type="dxa"/>
            <w:vAlign w:val="bottom"/>
            <w:tcBorders>
              <w:bottom w:val="single" w:sz="8" w:color="0077C0"/>
            </w:tcBorders>
          </w:tcPr>
          <w:p>
            <w:pPr>
              <w:spacing w:after="0"/>
              <w:rPr>
                <w:sz w:val="2"/>
                <w:szCs w:val="2"/>
                <w:color w:val="auto"/>
              </w:rPr>
            </w:pPr>
          </w:p>
        </w:tc>
        <w:tc>
          <w:tcPr>
            <w:tcW w:w="960" w:type="dxa"/>
            <w:vAlign w:val="bottom"/>
            <w:tcBorders>
              <w:bottom w:val="single" w:sz="8" w:color="0077C0"/>
            </w:tcBorders>
          </w:tcPr>
          <w:p>
            <w:pPr>
              <w:spacing w:after="0"/>
              <w:rPr>
                <w:sz w:val="2"/>
                <w:szCs w:val="2"/>
                <w:color w:val="auto"/>
              </w:rPr>
            </w:pPr>
          </w:p>
        </w:tc>
        <w:tc>
          <w:tcPr>
            <w:tcW w:w="78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720" w:type="dxa"/>
            <w:vAlign w:val="bottom"/>
            <w:tcBorders>
              <w:bottom w:val="single" w:sz="8" w:color="0077C0"/>
            </w:tcBorders>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940" w:type="dxa"/>
            <w:vAlign w:val="bottom"/>
            <w:tcBorders>
              <w:bottom w:val="single" w:sz="8" w:color="0077C0"/>
            </w:tcBorders>
          </w:tcPr>
          <w:p>
            <w:pPr>
              <w:spacing w:after="0"/>
              <w:rPr>
                <w:sz w:val="2"/>
                <w:szCs w:val="2"/>
                <w:color w:val="auto"/>
              </w:rPr>
            </w:pPr>
          </w:p>
        </w:tc>
        <w:tc>
          <w:tcPr>
            <w:tcW w:w="580" w:type="dxa"/>
            <w:vAlign w:val="bottom"/>
            <w:tcBorders>
              <w:bottom w:val="single" w:sz="8" w:color="0077C0"/>
            </w:tcBorders>
          </w:tcPr>
          <w:p>
            <w:pPr>
              <w:spacing w:after="0"/>
              <w:rPr>
                <w:sz w:val="2"/>
                <w:szCs w:val="2"/>
                <w:color w:val="auto"/>
              </w:rPr>
            </w:pPr>
          </w:p>
        </w:tc>
        <w:tc>
          <w:tcPr>
            <w:tcW w:w="140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62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0077C0"/>
              </w:rPr>
              <w:t>Reserves at December 31, 2024</w:t>
            </w:r>
            <w:r>
              <w:rPr>
                <w:rFonts w:ascii="Times New Roman" w:cs="Times New Roman" w:eastAsia="Times New Roman" w:hAnsi="Times New Roman"/>
                <w:sz w:val="9"/>
                <w:szCs w:val="9"/>
                <w:b w:val="1"/>
                <w:bCs w:val="1"/>
                <w:color w:val="0077C0"/>
              </w:rPr>
              <w:t>3</w:t>
            </w:r>
          </w:p>
        </w:tc>
        <w:tc>
          <w:tcPr>
            <w:tcW w:w="880" w:type="dxa"/>
            <w:vAlign w:val="bottom"/>
            <w:tcBorders>
              <w:bottom w:val="single" w:sz="8" w:color="0077C0"/>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988</w:t>
            </w:r>
          </w:p>
        </w:tc>
        <w:tc>
          <w:tcPr>
            <w:tcW w:w="960" w:type="dxa"/>
            <w:vAlign w:val="bottom"/>
            <w:tcBorders>
              <w:bottom w:val="single" w:sz="8" w:color="0077C0"/>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0077C0"/>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86</w:t>
            </w:r>
          </w:p>
        </w:tc>
        <w:tc>
          <w:tcPr>
            <w:tcW w:w="660" w:type="dxa"/>
            <w:vAlign w:val="bottom"/>
            <w:tcBorders>
              <w:bottom w:val="single" w:sz="8" w:color="0077C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900" w:type="dxa"/>
            <w:vAlign w:val="bottom"/>
            <w:tcBorders>
              <w:bottom w:val="single" w:sz="8" w:color="0077C0"/>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1,075</w:t>
            </w:r>
          </w:p>
        </w:tc>
        <w:tc>
          <w:tcPr>
            <w:tcW w:w="220" w:type="dxa"/>
            <w:vAlign w:val="bottom"/>
            <w:tcBorders>
              <w:bottom w:val="single" w:sz="8" w:color="0077C0"/>
            </w:tcBorders>
          </w:tcPr>
          <w:p>
            <w:pPr>
              <w:spacing w:after="0"/>
              <w:rPr>
                <w:sz w:val="16"/>
                <w:szCs w:val="16"/>
                <w:color w:val="auto"/>
              </w:rPr>
            </w:pPr>
          </w:p>
        </w:tc>
        <w:tc>
          <w:tcPr>
            <w:tcW w:w="940" w:type="dxa"/>
            <w:vAlign w:val="bottom"/>
            <w:tcBorders>
              <w:bottom w:val="single" w:sz="8" w:color="0077C0"/>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72</w:t>
            </w:r>
          </w:p>
        </w:tc>
        <w:tc>
          <w:tcPr>
            <w:tcW w:w="58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14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1,159</w:t>
            </w: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 w:hanging="52"/>
        <w:spacing w:after="0"/>
        <w:tabs>
          <w:tab w:leader="none" w:pos="60" w:val="left"/>
        </w:tabs>
        <w:numPr>
          <w:ilvl w:val="0"/>
          <w:numId w:val="6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Reserves associated with North America.</w:t>
      </w:r>
    </w:p>
    <w:p>
      <w:pPr>
        <w:spacing w:after="0" w:line="187" w:lineRule="auto"/>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5"/>
          <w:szCs w:val="15"/>
          <w:color w:val="auto"/>
          <w:vertAlign w:val="superscript"/>
        </w:rPr>
        <w:t>2</w:t>
      </w:r>
      <w:r>
        <w:rPr>
          <w:rFonts w:ascii="Times New Roman" w:cs="Times New Roman" w:eastAsia="Times New Roman" w:hAnsi="Times New Roman"/>
          <w:sz w:val="12"/>
          <w:szCs w:val="12"/>
          <w:color w:val="auto"/>
        </w:rPr>
        <w:t xml:space="preserve"> Reserves associated with Africa.</w:t>
      </w:r>
    </w:p>
    <w:p>
      <w:pPr>
        <w:spacing w:after="0"/>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6"/>
          <w:szCs w:val="16"/>
          <w:color w:val="auto"/>
          <w:vertAlign w:val="superscript"/>
        </w:rPr>
        <w:t>3</w:t>
      </w:r>
      <w:r>
        <w:rPr>
          <w:rFonts w:ascii="Times New Roman" w:cs="Times New Roman" w:eastAsia="Times New Roman" w:hAnsi="Times New Roman"/>
          <w:sz w:val="13"/>
          <w:szCs w:val="13"/>
          <w:color w:val="auto"/>
        </w:rPr>
        <w:t xml:space="preserve"> Year-end reserve quantities related to PSC are not material for 2024, 2023 and 2022, respectively.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Noteworthy changes in natural gas proved reserves for 2022 through 2024 are discussed below and shown in the table on the following page:</w:t>
      </w:r>
    </w:p>
    <w:p>
      <w:pPr>
        <w:spacing w:after="0" w:line="1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Revisions </w:t>
      </w:r>
      <w:r>
        <w:rPr>
          <w:rFonts w:ascii="Times New Roman" w:cs="Times New Roman" w:eastAsia="Times New Roman" w:hAnsi="Times New Roman"/>
          <w:sz w:val="18"/>
          <w:szCs w:val="18"/>
          <w:color w:val="000000"/>
        </w:rPr>
        <w:t>In 2022, the performance of the Leviathan and Tamar fields in Israel and the Bibiyana and Jalalabad fields in Bangladesh were mainly</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responsible for the 1.8 TCF increase in Asia. In Australia, the 377 BCF decrease was mainly due to updated reservoir characterization of the Wheatstone field. In TCO, entitlement effects and changes in operating assumptions were primarily responsible for the 285 BCF decrease.</w:t>
      </w:r>
    </w:p>
    <w:p>
      <w:pPr>
        <w:spacing w:after="0" w:line="3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 2023, portfolio optimization decrease of 276 BCF and a reservoir performance decrease of 186 BCF in the Midland and Delaware basins along with a reduction in planned development activities leading to a decrease of 485 BCF in the Haynesville shale formation of east Texas, were mainly responsible for the 1.2 TCF decrease in the United States. In Asia, final investment decision on a new gas pipeline project in Israel and reservoir performance in Bangladesh were mainly responsible for the 481 BCF increase.</w:t>
      </w:r>
    </w:p>
    <w:p>
      <w:pPr>
        <w:spacing w:after="0" w:line="51"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In 2024, a decrease of 425 BCF in the DJ basin, primarily related to reservoir performance, was mainly responsible for the 572 BCF decrease in the United States. The 504 BCF increase in Australia was mainly due to reservoir performance of the Jansz Io field.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FF0000"/>
        </w:rPr>
        <w:t xml:space="preserve">Extensions and Discoveries </w:t>
      </w:r>
      <w:r>
        <w:rPr>
          <w:rFonts w:ascii="Times New Roman" w:cs="Times New Roman" w:eastAsia="Times New Roman" w:hAnsi="Times New Roman"/>
          <w:sz w:val="18"/>
          <w:szCs w:val="18"/>
          <w:color w:val="000000"/>
        </w:rPr>
        <w:t>In 2022, extensions and discoveries of 1.6 TCF in the United States were primarily in the Midland and Delaware basins.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2023, extensions and discoveries of 660 BCF in the United States were primarily in the Midland and Delaware basins.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2024, extensions and discoveries of 912 BCF in the United States were primarily in the DJ basin with 476 BCF, and the Midland and Delaware basins with 432 BCF.</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14" w:name="page115"/>
    <w:bookmarkEnd w:id="114"/>
    <w:p>
      <w:pPr>
        <w:ind w:left="20"/>
        <w:spacing w:after="0"/>
        <w:tabs>
          <w:tab w:leader="none" w:pos="9460" w:val="left"/>
        </w:tabs>
        <w:rPr>
          <w:sz w:val="20"/>
          <w:szCs w:val="20"/>
          <w:color w:val="auto"/>
        </w:rPr>
      </w:pPr>
      <w:r>
        <w:rPr>
          <w:rFonts w:ascii="Arial" w:cs="Arial" w:eastAsia="Arial" w:hAnsi="Arial"/>
          <w:sz w:val="14"/>
          <w:szCs w:val="14"/>
          <w:color w:val="0077C0"/>
        </w:rPr>
        <w:t>Supplemental Information on Oil and Gas Producing Activities - Unaudited</w:t>
      </w:r>
      <w:r>
        <w:rPr>
          <w:sz w:val="20"/>
          <w:szCs w:val="20"/>
          <w:color w:val="auto"/>
        </w:rPr>
        <w:tab/>
      </w:r>
      <w:r>
        <w:rPr>
          <w:rFonts w:ascii="Arial" w:cs="Arial" w:eastAsia="Arial" w:hAnsi="Arial"/>
          <w:sz w:val="14"/>
          <w:szCs w:val="14"/>
          <w:color w:val="0077C0"/>
        </w:rPr>
        <w:t>Financial 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FF0000"/>
        </w:rPr>
        <w:t xml:space="preserve">Purchases </w:t>
      </w:r>
      <w:r>
        <w:rPr>
          <w:rFonts w:ascii="Times New Roman" w:cs="Times New Roman" w:eastAsia="Times New Roman" w:hAnsi="Times New Roman"/>
          <w:sz w:val="18"/>
          <w:szCs w:val="18"/>
          <w:color w:val="000000"/>
        </w:rPr>
        <w:t>In 2023, the acquisition of PDC in the DJ basin was primarily responsible for the 2.2 TCF in the United States.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2024, the 177 BCF in the United States was primarily associated with the acquisition of PDC in the DJ basin.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FF0000"/>
        </w:rPr>
        <w:t xml:space="preserve">Sales </w:t>
      </w:r>
      <w:r>
        <w:rPr>
          <w:rFonts w:ascii="Times New Roman" w:cs="Times New Roman" w:eastAsia="Times New Roman" w:hAnsi="Times New Roman"/>
          <w:sz w:val="18"/>
          <w:szCs w:val="18"/>
          <w:color w:val="000000"/>
        </w:rPr>
        <w:t>In 2022, sales of 243 BCF in the United States were primarily in the Eagle Ford shale and Midland and Delaware basins.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2024, sales of 260 BCF in Other Americas were from the divestment of shale and tight assets in Canada.</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0077C0"/>
        </w:rPr>
        <w:t>Net Proved Reserves of Natural Gas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72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Consolidated Companies</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Affiliated Companies</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2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20" w:type="dxa"/>
            <w:vAlign w:val="bottom"/>
            <w:gridSpan w:val="3"/>
            <w:vMerge w:val="continue"/>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188"/>
        </w:trPr>
        <w:tc>
          <w:tcPr>
            <w:tcW w:w="2680" w:type="dxa"/>
            <w:vAlign w:val="bottom"/>
          </w:tcPr>
          <w:p>
            <w:pPr>
              <w:spacing w:after="0"/>
              <w:rPr>
                <w:sz w:val="16"/>
                <w:szCs w:val="16"/>
                <w:color w:val="auto"/>
              </w:rPr>
            </w:pPr>
          </w:p>
        </w:tc>
        <w:tc>
          <w:tcPr>
            <w:tcW w:w="840" w:type="dxa"/>
            <w:vAlign w:val="bottom"/>
            <w:tcBorders>
              <w:top w:val="single" w:sz="8" w:color="0077C0"/>
            </w:tcBorders>
          </w:tcPr>
          <w:p>
            <w:pPr>
              <w:spacing w:after="0"/>
              <w:rPr>
                <w:sz w:val="16"/>
                <w:szCs w:val="16"/>
                <w:color w:val="auto"/>
              </w:rPr>
            </w:pPr>
          </w:p>
        </w:tc>
        <w:tc>
          <w:tcPr>
            <w:tcW w:w="920" w:type="dxa"/>
            <w:vAlign w:val="bottom"/>
            <w:tcBorders>
              <w:top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color w:val="auto"/>
              </w:rPr>
              <w:t>Other</w:t>
            </w:r>
          </w:p>
        </w:tc>
        <w:tc>
          <w:tcPr>
            <w:tcW w:w="700" w:type="dxa"/>
            <w:vAlign w:val="bottom"/>
            <w:tcBorders>
              <w:top w:val="single" w:sz="8" w:color="0077C0"/>
            </w:tcBorders>
          </w:tcPr>
          <w:p>
            <w:pPr>
              <w:spacing w:after="0"/>
              <w:rPr>
                <w:sz w:val="16"/>
                <w:szCs w:val="16"/>
                <w:color w:val="auto"/>
              </w:rPr>
            </w:pPr>
          </w:p>
        </w:tc>
        <w:tc>
          <w:tcPr>
            <w:tcW w:w="720" w:type="dxa"/>
            <w:vAlign w:val="bottom"/>
            <w:tcBorders>
              <w:top w:val="single" w:sz="8" w:color="0077C0"/>
            </w:tcBorders>
          </w:tcPr>
          <w:p>
            <w:pPr>
              <w:spacing w:after="0"/>
              <w:rPr>
                <w:sz w:val="16"/>
                <w:szCs w:val="16"/>
                <w:color w:val="auto"/>
              </w:rPr>
            </w:pPr>
          </w:p>
        </w:tc>
        <w:tc>
          <w:tcPr>
            <w:tcW w:w="720" w:type="dxa"/>
            <w:vAlign w:val="bottom"/>
            <w:tcBorders>
              <w:top w:val="single" w:sz="8" w:color="0077C0"/>
            </w:tcBorders>
          </w:tcPr>
          <w:p>
            <w:pPr>
              <w:spacing w:after="0"/>
              <w:rPr>
                <w:sz w:val="16"/>
                <w:szCs w:val="16"/>
                <w:color w:val="auto"/>
              </w:rPr>
            </w:pPr>
          </w:p>
        </w:tc>
        <w:tc>
          <w:tcPr>
            <w:tcW w:w="860" w:type="dxa"/>
            <w:vAlign w:val="bottom"/>
            <w:tcBorders>
              <w:top w:val="single" w:sz="8" w:color="0077C0"/>
            </w:tcBorders>
          </w:tcPr>
          <w:p>
            <w:pPr>
              <w:spacing w:after="0"/>
              <w:rPr>
                <w:sz w:val="16"/>
                <w:szCs w:val="16"/>
                <w:color w:val="auto"/>
              </w:rPr>
            </w:pPr>
          </w:p>
        </w:tc>
        <w:tc>
          <w:tcPr>
            <w:tcW w:w="620" w:type="dxa"/>
            <w:vAlign w:val="bottom"/>
            <w:tcBorders>
              <w:top w:val="single" w:sz="8" w:color="0077C0"/>
            </w:tcBorders>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Borders>
              <w:top w:val="single" w:sz="8" w:color="0077C0"/>
            </w:tcBorders>
          </w:tcPr>
          <w:p>
            <w:pPr>
              <w:spacing w:after="0"/>
              <w:rPr>
                <w:sz w:val="16"/>
                <w:szCs w:val="16"/>
                <w:color w:val="auto"/>
              </w:rPr>
            </w:pPr>
          </w:p>
        </w:tc>
        <w:tc>
          <w:tcPr>
            <w:tcW w:w="600" w:type="dxa"/>
            <w:vAlign w:val="bottom"/>
            <w:tcBorders>
              <w:top w:val="single" w:sz="8" w:color="0077C0"/>
            </w:tcBorders>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and Affiliated</w:t>
            </w:r>
          </w:p>
        </w:tc>
        <w:tc>
          <w:tcPr>
            <w:tcW w:w="0" w:type="dxa"/>
            <w:vAlign w:val="bottom"/>
          </w:tcPr>
          <w:p>
            <w:pPr>
              <w:spacing w:after="0"/>
              <w:rPr>
                <w:sz w:val="1"/>
                <w:szCs w:val="1"/>
                <w:color w:val="auto"/>
              </w:rPr>
            </w:pPr>
          </w:p>
        </w:tc>
      </w:tr>
      <w:tr>
        <w:trPr>
          <w:trHeight w:val="217"/>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Billions of cubic feet (BCF)</w:t>
            </w: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U.S.</w:t>
            </w: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Americas</w:t>
            </w:r>
            <w:r>
              <w:rPr>
                <w:rFonts w:ascii="Times New Roman" w:cs="Times New Roman" w:eastAsia="Times New Roman" w:hAnsi="Times New Roman"/>
                <w:sz w:val="18"/>
                <w:szCs w:val="18"/>
                <w:color w:val="auto"/>
                <w:vertAlign w:val="superscript"/>
              </w:rPr>
              <w:t>1</w:t>
            </w:r>
          </w:p>
        </w:tc>
        <w:tc>
          <w:tcPr>
            <w:tcW w:w="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Africa</w:t>
            </w:r>
          </w:p>
        </w:tc>
        <w:tc>
          <w:tcPr>
            <w:tcW w:w="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Asia</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Australia</w:t>
            </w: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Europe</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Total</w:t>
            </w: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TCO</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color w:val="auto"/>
                <w:vertAlign w:val="superscript"/>
              </w:rPr>
              <w:t>2</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Companies</w:t>
            </w:r>
          </w:p>
        </w:tc>
        <w:tc>
          <w:tcPr>
            <w:tcW w:w="0" w:type="dxa"/>
            <w:vAlign w:val="bottom"/>
          </w:tcPr>
          <w:p>
            <w:pPr>
              <w:spacing w:after="0"/>
              <w:rPr>
                <w:sz w:val="1"/>
                <w:szCs w:val="1"/>
                <w:color w:val="auto"/>
              </w:rPr>
            </w:pPr>
          </w:p>
        </w:tc>
      </w:tr>
      <w:tr>
        <w:trPr>
          <w:trHeight w:val="184"/>
        </w:trPr>
        <w:tc>
          <w:tcPr>
            <w:tcW w:w="2680" w:type="dxa"/>
            <w:vAlign w:val="bottom"/>
            <w:tcBorders>
              <w:top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0077C0"/>
              </w:rPr>
              <w:t>Reserves at January 1, 2022</w:t>
            </w:r>
          </w:p>
        </w:tc>
        <w:tc>
          <w:tcPr>
            <w:tcW w:w="840" w:type="dxa"/>
            <w:vAlign w:val="bottom"/>
            <w:tcBorders>
              <w:top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color w:val="auto"/>
              </w:rPr>
              <w:t>5,885</w:t>
            </w:r>
          </w:p>
        </w:tc>
        <w:tc>
          <w:tcPr>
            <w:tcW w:w="920" w:type="dxa"/>
            <w:vAlign w:val="bottom"/>
            <w:tcBorders>
              <w:top w:val="single" w:sz="8" w:color="0077C0"/>
            </w:tcBorders>
          </w:tcPr>
          <w:p>
            <w:pPr>
              <w:jc w:val="right"/>
              <w:ind w:right="148"/>
              <w:spacing w:after="0"/>
              <w:rPr>
                <w:sz w:val="20"/>
                <w:szCs w:val="20"/>
                <w:color w:val="auto"/>
              </w:rPr>
            </w:pPr>
            <w:r>
              <w:rPr>
                <w:rFonts w:ascii="Times New Roman" w:cs="Times New Roman" w:eastAsia="Times New Roman" w:hAnsi="Times New Roman"/>
                <w:sz w:val="14"/>
                <w:szCs w:val="14"/>
                <w:color w:val="auto"/>
              </w:rPr>
              <w:t>455</w:t>
            </w:r>
          </w:p>
        </w:tc>
        <w:tc>
          <w:tcPr>
            <w:tcW w:w="700" w:type="dxa"/>
            <w:vAlign w:val="bottom"/>
            <w:tcBorders>
              <w:top w:val="single" w:sz="8" w:color="0077C0"/>
            </w:tcBorders>
          </w:tcPr>
          <w:p>
            <w:pPr>
              <w:jc w:val="right"/>
              <w:ind w:right="148"/>
              <w:spacing w:after="0"/>
              <w:rPr>
                <w:sz w:val="20"/>
                <w:szCs w:val="20"/>
                <w:color w:val="auto"/>
              </w:rPr>
            </w:pPr>
            <w:r>
              <w:rPr>
                <w:rFonts w:ascii="Times New Roman" w:cs="Times New Roman" w:eastAsia="Times New Roman" w:hAnsi="Times New Roman"/>
                <w:sz w:val="14"/>
                <w:szCs w:val="14"/>
                <w:color w:val="auto"/>
              </w:rPr>
              <w:t>2,796</w:t>
            </w:r>
          </w:p>
        </w:tc>
        <w:tc>
          <w:tcPr>
            <w:tcW w:w="720" w:type="dxa"/>
            <w:vAlign w:val="bottom"/>
            <w:tcBorders>
              <w:top w:val="single" w:sz="8" w:color="0077C0"/>
            </w:tcBorders>
          </w:tcPr>
          <w:p>
            <w:pPr>
              <w:jc w:val="right"/>
              <w:ind w:right="168"/>
              <w:spacing w:after="0"/>
              <w:rPr>
                <w:sz w:val="20"/>
                <w:szCs w:val="20"/>
                <w:color w:val="auto"/>
              </w:rPr>
            </w:pPr>
            <w:r>
              <w:rPr>
                <w:rFonts w:ascii="Times New Roman" w:cs="Times New Roman" w:eastAsia="Times New Roman" w:hAnsi="Times New Roman"/>
                <w:sz w:val="14"/>
                <w:szCs w:val="14"/>
                <w:color w:val="auto"/>
              </w:rPr>
              <w:t>7,473</w:t>
            </w:r>
          </w:p>
        </w:tc>
        <w:tc>
          <w:tcPr>
            <w:tcW w:w="720" w:type="dxa"/>
            <w:vAlign w:val="bottom"/>
            <w:tcBorders>
              <w:top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11,684</w:t>
            </w:r>
          </w:p>
        </w:tc>
        <w:tc>
          <w:tcPr>
            <w:tcW w:w="860" w:type="dxa"/>
            <w:vAlign w:val="bottom"/>
            <w:tcBorders>
              <w:top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color w:val="auto"/>
              </w:rPr>
              <w:t>21</w:t>
            </w:r>
          </w:p>
        </w:tc>
        <w:tc>
          <w:tcPr>
            <w:tcW w:w="620" w:type="dxa"/>
            <w:vAlign w:val="bottom"/>
            <w:tcBorders>
              <w:top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28,314</w:t>
            </w:r>
          </w:p>
        </w:tc>
        <w:tc>
          <w:tcPr>
            <w:tcW w:w="240" w:type="dxa"/>
            <w:vAlign w:val="bottom"/>
          </w:tcPr>
          <w:p>
            <w:pPr>
              <w:spacing w:after="0"/>
              <w:rPr>
                <w:sz w:val="15"/>
                <w:szCs w:val="15"/>
                <w:color w:val="auto"/>
              </w:rPr>
            </w:pPr>
          </w:p>
        </w:tc>
        <w:tc>
          <w:tcPr>
            <w:tcW w:w="940" w:type="dxa"/>
            <w:vAlign w:val="bottom"/>
            <w:tcBorders>
              <w:top w:val="single" w:sz="8" w:color="0077C0"/>
            </w:tcBorders>
          </w:tcPr>
          <w:p>
            <w:pPr>
              <w:jc w:val="right"/>
              <w:ind w:right="168"/>
              <w:spacing w:after="0"/>
              <w:rPr>
                <w:sz w:val="20"/>
                <w:szCs w:val="20"/>
                <w:color w:val="auto"/>
              </w:rPr>
            </w:pPr>
            <w:r>
              <w:rPr>
                <w:rFonts w:ascii="Times New Roman" w:cs="Times New Roman" w:eastAsia="Times New Roman" w:hAnsi="Times New Roman"/>
                <w:sz w:val="14"/>
                <w:szCs w:val="14"/>
                <w:color w:val="auto"/>
              </w:rPr>
              <w:t>1,701</w:t>
            </w:r>
          </w:p>
        </w:tc>
        <w:tc>
          <w:tcPr>
            <w:tcW w:w="600" w:type="dxa"/>
            <w:vAlign w:val="bottom"/>
            <w:tcBorders>
              <w:top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1400" w:type="dxa"/>
            <w:vAlign w:val="bottom"/>
            <w:tcBorders>
              <w:top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30,908</w:t>
            </w:r>
          </w:p>
        </w:tc>
        <w:tc>
          <w:tcPr>
            <w:tcW w:w="0" w:type="dxa"/>
            <w:vAlign w:val="bottom"/>
          </w:tcPr>
          <w:p>
            <w:pPr>
              <w:spacing w:after="0"/>
              <w:rPr>
                <w:sz w:val="1"/>
                <w:szCs w:val="1"/>
                <w:color w:val="auto"/>
              </w:rPr>
            </w:pPr>
          </w:p>
        </w:tc>
      </w:tr>
      <w:tr>
        <w:trPr>
          <w:trHeight w:val="191"/>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attributable to:</w:t>
            </w: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Revisions</w:t>
            </w: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171</w:t>
            </w:r>
          </w:p>
        </w:tc>
        <w:tc>
          <w:tcPr>
            <w:tcW w:w="9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62</w:t>
            </w: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(118)</w:t>
            </w: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1,765</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8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1,505</w:t>
            </w:r>
          </w:p>
        </w:tc>
        <w:tc>
          <w:tcPr>
            <w:tcW w:w="240" w:type="dxa"/>
            <w:vAlign w:val="bottom"/>
          </w:tcPr>
          <w:p>
            <w:pPr>
              <w:spacing w:after="0"/>
              <w:rPr>
                <w:sz w:val="17"/>
                <w:szCs w:val="17"/>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(285)</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1,223</w:t>
            </w:r>
          </w:p>
        </w:tc>
        <w:tc>
          <w:tcPr>
            <w:tcW w:w="0" w:type="dxa"/>
            <w:vAlign w:val="bottom"/>
          </w:tcPr>
          <w:p>
            <w:pPr>
              <w:spacing w:after="0"/>
              <w:rPr>
                <w:sz w:val="1"/>
                <w:szCs w:val="1"/>
                <w:color w:val="auto"/>
              </w:rPr>
            </w:pPr>
          </w:p>
        </w:tc>
      </w:tr>
      <w:tr>
        <w:trPr>
          <w:trHeight w:val="203"/>
        </w:trPr>
        <w:tc>
          <w:tcPr>
            <w:tcW w:w="2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Improved recovery</w:t>
            </w: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w:t>
            </w:r>
          </w:p>
        </w:tc>
        <w:tc>
          <w:tcPr>
            <w:tcW w:w="9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7"/>
                <w:szCs w:val="17"/>
                <w:color w:val="auto"/>
              </w:rPr>
            </w:pP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3"/>
        </w:trPr>
        <w:tc>
          <w:tcPr>
            <w:tcW w:w="2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Extensions and discoveries</w:t>
            </w: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1,573</w:t>
            </w:r>
          </w:p>
        </w:tc>
        <w:tc>
          <w:tcPr>
            <w:tcW w:w="9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64</w:t>
            </w:r>
          </w:p>
        </w:tc>
        <w:tc>
          <w:tcPr>
            <w:tcW w:w="7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1,637</w:t>
            </w:r>
          </w:p>
        </w:tc>
        <w:tc>
          <w:tcPr>
            <w:tcW w:w="240" w:type="dxa"/>
            <w:vAlign w:val="bottom"/>
          </w:tcPr>
          <w:p>
            <w:pPr>
              <w:spacing w:after="0"/>
              <w:rPr>
                <w:sz w:val="17"/>
                <w:szCs w:val="17"/>
                <w:color w:val="auto"/>
              </w:rPr>
            </w:pP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1,654</w:t>
            </w:r>
          </w:p>
        </w:tc>
        <w:tc>
          <w:tcPr>
            <w:tcW w:w="0" w:type="dxa"/>
            <w:vAlign w:val="bottom"/>
          </w:tcPr>
          <w:p>
            <w:pPr>
              <w:spacing w:after="0"/>
              <w:rPr>
                <w:sz w:val="1"/>
                <w:szCs w:val="1"/>
                <w:color w:val="auto"/>
              </w:rPr>
            </w:pPr>
          </w:p>
        </w:tc>
      </w:tr>
      <w:tr>
        <w:trPr>
          <w:trHeight w:val="203"/>
        </w:trPr>
        <w:tc>
          <w:tcPr>
            <w:tcW w:w="2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w:t>
            </w: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85</w:t>
            </w:r>
          </w:p>
        </w:tc>
        <w:tc>
          <w:tcPr>
            <w:tcW w:w="9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25</w:t>
            </w:r>
          </w:p>
        </w:tc>
        <w:tc>
          <w:tcPr>
            <w:tcW w:w="7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30</w:t>
            </w: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240" w:type="dxa"/>
            <w:vAlign w:val="bottom"/>
          </w:tcPr>
          <w:p>
            <w:pPr>
              <w:spacing w:after="0"/>
              <w:rPr>
                <w:sz w:val="17"/>
                <w:szCs w:val="17"/>
                <w:color w:val="auto"/>
              </w:rPr>
            </w:pP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203"/>
        </w:trPr>
        <w:tc>
          <w:tcPr>
            <w:tcW w:w="2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Sales</w:t>
            </w: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(243)</w:t>
            </w:r>
          </w:p>
        </w:tc>
        <w:tc>
          <w:tcPr>
            <w:tcW w:w="9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w:t>
            </w: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240" w:type="dxa"/>
            <w:vAlign w:val="bottom"/>
          </w:tcPr>
          <w:p>
            <w:pPr>
              <w:spacing w:after="0"/>
              <w:rPr>
                <w:sz w:val="17"/>
                <w:szCs w:val="17"/>
                <w:color w:val="auto"/>
              </w:rPr>
            </w:pP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0" w:type="dxa"/>
            <w:vAlign w:val="bottom"/>
          </w:tcPr>
          <w:p>
            <w:pPr>
              <w:spacing w:after="0"/>
              <w:rPr>
                <w:sz w:val="1"/>
                <w:szCs w:val="1"/>
                <w:color w:val="auto"/>
              </w:rPr>
            </w:pPr>
          </w:p>
        </w:tc>
      </w:tr>
      <w:tr>
        <w:trPr>
          <w:trHeight w:val="226"/>
        </w:trPr>
        <w:tc>
          <w:tcPr>
            <w:tcW w:w="2680" w:type="dxa"/>
            <w:vAlign w:val="bottom"/>
            <w:tcBorders>
              <w:bottom w:val="single" w:sz="8" w:color="0077C0"/>
            </w:tcBorders>
          </w:tcPr>
          <w:p>
            <w:pPr>
              <w:ind w:left="140"/>
              <w:spacing w:after="0"/>
              <w:rPr>
                <w:sz w:val="20"/>
                <w:szCs w:val="20"/>
                <w:color w:val="auto"/>
              </w:rPr>
            </w:pPr>
            <w:r>
              <w:rPr>
                <w:rFonts w:ascii="Times New Roman" w:cs="Times New Roman" w:eastAsia="Times New Roman" w:hAnsi="Times New Roman"/>
                <w:sz w:val="14"/>
                <w:szCs w:val="14"/>
                <w:color w:val="auto"/>
              </w:rPr>
              <w:t>Production</w:t>
            </w:r>
            <w:r>
              <w:rPr>
                <w:rFonts w:ascii="Times New Roman" w:cs="Times New Roman" w:eastAsia="Times New Roman" w:hAnsi="Times New Roman"/>
                <w:sz w:val="18"/>
                <w:szCs w:val="18"/>
                <w:color w:val="auto"/>
                <w:vertAlign w:val="superscript"/>
              </w:rPr>
              <w:t>3</w:t>
            </w:r>
          </w:p>
        </w:tc>
        <w:tc>
          <w:tcPr>
            <w:tcW w:w="840" w:type="dxa"/>
            <w:vAlign w:val="bottom"/>
            <w:tcBorders>
              <w:bottom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color w:val="auto"/>
              </w:rPr>
              <w:t>(641)</w:t>
            </w:r>
          </w:p>
        </w:tc>
        <w:tc>
          <w:tcPr>
            <w:tcW w:w="92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color w:val="auto"/>
              </w:rPr>
              <w:t>(61)</w:t>
            </w:r>
          </w:p>
        </w:tc>
        <w:tc>
          <w:tcPr>
            <w:tcW w:w="70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color w:val="auto"/>
              </w:rPr>
              <w:t>(207)</w:t>
            </w:r>
          </w:p>
        </w:tc>
        <w:tc>
          <w:tcPr>
            <w:tcW w:w="720" w:type="dxa"/>
            <w:vAlign w:val="bottom"/>
            <w:tcBorders>
              <w:bottom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color w:val="auto"/>
              </w:rPr>
              <w:t>(701)</w:t>
            </w: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860" w:type="dxa"/>
            <w:vAlign w:val="bottom"/>
            <w:tcBorders>
              <w:bottom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color w:val="auto"/>
              </w:rPr>
              <w:t>(3)</w:t>
            </w:r>
          </w:p>
        </w:tc>
        <w:tc>
          <w:tcPr>
            <w:tcW w:w="6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(2,578)</w:t>
            </w:r>
          </w:p>
        </w:tc>
        <w:tc>
          <w:tcPr>
            <w:tcW w:w="240" w:type="dxa"/>
            <w:vAlign w:val="bottom"/>
            <w:tcBorders>
              <w:bottom w:val="single" w:sz="8" w:color="0077C0"/>
            </w:tcBorders>
          </w:tcPr>
          <w:p>
            <w:pPr>
              <w:spacing w:after="0"/>
              <w:rPr>
                <w:sz w:val="19"/>
                <w:szCs w:val="19"/>
                <w:color w:val="auto"/>
              </w:rPr>
            </w:pPr>
          </w:p>
        </w:tc>
        <w:tc>
          <w:tcPr>
            <w:tcW w:w="940" w:type="dxa"/>
            <w:vAlign w:val="bottom"/>
            <w:tcBorders>
              <w:bottom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color w:val="auto"/>
              </w:rPr>
              <w:t>(153)</w:t>
            </w: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4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(2,808)</w:t>
            </w:r>
          </w:p>
        </w:tc>
        <w:tc>
          <w:tcPr>
            <w:tcW w:w="0" w:type="dxa"/>
            <w:vAlign w:val="bottom"/>
          </w:tcPr>
          <w:p>
            <w:pPr>
              <w:spacing w:after="0"/>
              <w:rPr>
                <w:sz w:val="1"/>
                <w:szCs w:val="1"/>
                <w:color w:val="auto"/>
              </w:rPr>
            </w:pPr>
          </w:p>
        </w:tc>
      </w:tr>
      <w:tr>
        <w:trPr>
          <w:trHeight w:val="187"/>
        </w:trPr>
        <w:tc>
          <w:tcPr>
            <w:tcW w:w="2680" w:type="dxa"/>
            <w:vAlign w:val="bottom"/>
          </w:tcPr>
          <w:p>
            <w:pPr>
              <w:ind w:left="20"/>
              <w:spacing w:after="0" w:line="187" w:lineRule="exact"/>
              <w:rPr>
                <w:sz w:val="20"/>
                <w:szCs w:val="20"/>
                <w:color w:val="auto"/>
              </w:rPr>
            </w:pPr>
            <w:r>
              <w:rPr>
                <w:rFonts w:ascii="Times New Roman" w:cs="Times New Roman" w:eastAsia="Times New Roman" w:hAnsi="Times New Roman"/>
                <w:sz w:val="14"/>
                <w:szCs w:val="14"/>
                <w:b w:val="1"/>
                <w:bCs w:val="1"/>
                <w:color w:val="0077C0"/>
              </w:rPr>
              <w:t xml:space="preserve">Reserves at December 31, 2022 </w:t>
            </w:r>
            <w:r>
              <w:rPr>
                <w:rFonts w:ascii="Times New Roman" w:cs="Times New Roman" w:eastAsia="Times New Roman" w:hAnsi="Times New Roman"/>
                <w:sz w:val="18"/>
                <w:szCs w:val="18"/>
                <w:b w:val="1"/>
                <w:bCs w:val="1"/>
                <w:color w:val="0077C0"/>
                <w:vertAlign w:val="superscript"/>
              </w:rPr>
              <w:t>4, 5</w:t>
            </w: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6,831</w:t>
            </w:r>
          </w:p>
        </w:tc>
        <w:tc>
          <w:tcPr>
            <w:tcW w:w="9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545</w:t>
            </w:r>
          </w:p>
        </w:tc>
        <w:tc>
          <w:tcPr>
            <w:tcW w:w="7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2,490</w:t>
            </w: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8,537</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10,342</w:t>
            </w:r>
          </w:p>
        </w:tc>
        <w:tc>
          <w:tcPr>
            <w:tcW w:w="8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28,765</w:t>
            </w:r>
          </w:p>
        </w:tc>
        <w:tc>
          <w:tcPr>
            <w:tcW w:w="240" w:type="dxa"/>
            <w:vAlign w:val="bottom"/>
          </w:tcPr>
          <w:p>
            <w:pPr>
              <w:spacing w:after="0"/>
              <w:rPr>
                <w:sz w:val="16"/>
                <w:szCs w:val="16"/>
                <w:color w:val="auto"/>
              </w:rPr>
            </w:pP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1,263</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30,864</w:t>
            </w:r>
          </w:p>
        </w:tc>
        <w:tc>
          <w:tcPr>
            <w:tcW w:w="0" w:type="dxa"/>
            <w:vAlign w:val="bottom"/>
          </w:tcPr>
          <w:p>
            <w:pPr>
              <w:spacing w:after="0"/>
              <w:rPr>
                <w:sz w:val="1"/>
                <w:szCs w:val="1"/>
                <w:color w:val="auto"/>
              </w:rPr>
            </w:pPr>
          </w:p>
        </w:tc>
      </w:tr>
      <w:tr>
        <w:trPr>
          <w:trHeight w:val="188"/>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attributable to:</w:t>
            </w: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Revisions</w:t>
            </w: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(1,198)</w:t>
            </w: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(154)</w:t>
            </w: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481</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240" w:type="dxa"/>
            <w:vAlign w:val="bottom"/>
          </w:tcPr>
          <w:p>
            <w:pPr>
              <w:spacing w:after="0"/>
              <w:rPr>
                <w:sz w:val="17"/>
                <w:szCs w:val="17"/>
                <w:color w:val="auto"/>
              </w:rPr>
            </w:pP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166</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0" w:type="dxa"/>
            <w:vAlign w:val="bottom"/>
          </w:tcPr>
          <w:p>
            <w:pPr>
              <w:spacing w:after="0"/>
              <w:rPr>
                <w:sz w:val="1"/>
                <w:szCs w:val="1"/>
                <w:color w:val="auto"/>
              </w:rPr>
            </w:pPr>
          </w:p>
        </w:tc>
      </w:tr>
      <w:tr>
        <w:trPr>
          <w:trHeight w:val="203"/>
        </w:trPr>
        <w:tc>
          <w:tcPr>
            <w:tcW w:w="2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Improved recovery</w:t>
            </w: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w:t>
            </w:r>
          </w:p>
        </w:tc>
        <w:tc>
          <w:tcPr>
            <w:tcW w:w="9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17"/>
                <w:szCs w:val="17"/>
                <w:color w:val="auto"/>
              </w:rPr>
            </w:pP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3"/>
        </w:trPr>
        <w:tc>
          <w:tcPr>
            <w:tcW w:w="2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Extensions and discoveries</w:t>
            </w: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660</w:t>
            </w:r>
          </w:p>
        </w:tc>
        <w:tc>
          <w:tcPr>
            <w:tcW w:w="9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83</w:t>
            </w:r>
          </w:p>
        </w:tc>
        <w:tc>
          <w:tcPr>
            <w:tcW w:w="7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240" w:type="dxa"/>
            <w:vAlign w:val="bottom"/>
          </w:tcPr>
          <w:p>
            <w:pPr>
              <w:spacing w:after="0"/>
              <w:rPr>
                <w:sz w:val="17"/>
                <w:szCs w:val="17"/>
                <w:color w:val="auto"/>
              </w:rPr>
            </w:pP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0" w:type="dxa"/>
            <w:vAlign w:val="bottom"/>
          </w:tcPr>
          <w:p>
            <w:pPr>
              <w:spacing w:after="0"/>
              <w:rPr>
                <w:sz w:val="1"/>
                <w:szCs w:val="1"/>
                <w:color w:val="auto"/>
              </w:rPr>
            </w:pPr>
          </w:p>
        </w:tc>
      </w:tr>
      <w:tr>
        <w:trPr>
          <w:trHeight w:val="203"/>
        </w:trPr>
        <w:tc>
          <w:tcPr>
            <w:tcW w:w="2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w:t>
            </w: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2,161</w:t>
            </w:r>
          </w:p>
        </w:tc>
        <w:tc>
          <w:tcPr>
            <w:tcW w:w="9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97</w:t>
            </w: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2,258</w:t>
            </w:r>
          </w:p>
        </w:tc>
        <w:tc>
          <w:tcPr>
            <w:tcW w:w="240" w:type="dxa"/>
            <w:vAlign w:val="bottom"/>
          </w:tcPr>
          <w:p>
            <w:pPr>
              <w:spacing w:after="0"/>
              <w:rPr>
                <w:sz w:val="17"/>
                <w:szCs w:val="17"/>
                <w:color w:val="auto"/>
              </w:rPr>
            </w:pP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2,258</w:t>
            </w:r>
          </w:p>
        </w:tc>
        <w:tc>
          <w:tcPr>
            <w:tcW w:w="0" w:type="dxa"/>
            <w:vAlign w:val="bottom"/>
          </w:tcPr>
          <w:p>
            <w:pPr>
              <w:spacing w:after="0"/>
              <w:rPr>
                <w:sz w:val="1"/>
                <w:szCs w:val="1"/>
                <w:color w:val="auto"/>
              </w:rPr>
            </w:pPr>
          </w:p>
        </w:tc>
      </w:tr>
      <w:tr>
        <w:trPr>
          <w:trHeight w:val="203"/>
        </w:trPr>
        <w:tc>
          <w:tcPr>
            <w:tcW w:w="2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Sales</w:t>
            </w: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w:t>
            </w:r>
          </w:p>
        </w:tc>
        <w:tc>
          <w:tcPr>
            <w:tcW w:w="9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17"/>
                <w:szCs w:val="17"/>
                <w:color w:val="auto"/>
              </w:rPr>
            </w:pP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26"/>
        </w:trPr>
        <w:tc>
          <w:tcPr>
            <w:tcW w:w="2680" w:type="dxa"/>
            <w:vAlign w:val="bottom"/>
            <w:tcBorders>
              <w:bottom w:val="single" w:sz="8" w:color="0077C0"/>
            </w:tcBorders>
          </w:tcPr>
          <w:p>
            <w:pPr>
              <w:ind w:left="140"/>
              <w:spacing w:after="0"/>
              <w:rPr>
                <w:sz w:val="20"/>
                <w:szCs w:val="20"/>
                <w:color w:val="auto"/>
              </w:rPr>
            </w:pPr>
            <w:r>
              <w:rPr>
                <w:rFonts w:ascii="Times New Roman" w:cs="Times New Roman" w:eastAsia="Times New Roman" w:hAnsi="Times New Roman"/>
                <w:sz w:val="14"/>
                <w:szCs w:val="14"/>
                <w:color w:val="auto"/>
              </w:rPr>
              <w:t>Production</w:t>
            </w:r>
            <w:r>
              <w:rPr>
                <w:rFonts w:ascii="Times New Roman" w:cs="Times New Roman" w:eastAsia="Times New Roman" w:hAnsi="Times New Roman"/>
                <w:sz w:val="18"/>
                <w:szCs w:val="18"/>
                <w:color w:val="auto"/>
                <w:vertAlign w:val="superscript"/>
              </w:rPr>
              <w:t>3</w:t>
            </w:r>
          </w:p>
        </w:tc>
        <w:tc>
          <w:tcPr>
            <w:tcW w:w="840" w:type="dxa"/>
            <w:vAlign w:val="bottom"/>
            <w:tcBorders>
              <w:bottom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color w:val="auto"/>
              </w:rPr>
              <w:t>(771)</w:t>
            </w:r>
          </w:p>
        </w:tc>
        <w:tc>
          <w:tcPr>
            <w:tcW w:w="92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color w:val="auto"/>
              </w:rPr>
              <w:t>(53)</w:t>
            </w:r>
          </w:p>
        </w:tc>
        <w:tc>
          <w:tcPr>
            <w:tcW w:w="70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color w:val="auto"/>
              </w:rPr>
              <w:t>(176)</w:t>
            </w:r>
          </w:p>
        </w:tc>
        <w:tc>
          <w:tcPr>
            <w:tcW w:w="720" w:type="dxa"/>
            <w:vAlign w:val="bottom"/>
            <w:tcBorders>
              <w:bottom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color w:val="auto"/>
              </w:rPr>
              <w:t>(625)</w:t>
            </w: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860" w:type="dxa"/>
            <w:vAlign w:val="bottom"/>
            <w:tcBorders>
              <w:bottom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color w:val="auto"/>
              </w:rPr>
              <w:t>(4)</w:t>
            </w:r>
          </w:p>
        </w:tc>
        <w:tc>
          <w:tcPr>
            <w:tcW w:w="6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(2,607)</w:t>
            </w:r>
          </w:p>
        </w:tc>
        <w:tc>
          <w:tcPr>
            <w:tcW w:w="240" w:type="dxa"/>
            <w:vAlign w:val="bottom"/>
            <w:tcBorders>
              <w:bottom w:val="single" w:sz="8" w:color="0077C0"/>
            </w:tcBorders>
          </w:tcPr>
          <w:p>
            <w:pPr>
              <w:spacing w:after="0"/>
              <w:rPr>
                <w:sz w:val="19"/>
                <w:szCs w:val="19"/>
                <w:color w:val="auto"/>
              </w:rPr>
            </w:pPr>
          </w:p>
        </w:tc>
        <w:tc>
          <w:tcPr>
            <w:tcW w:w="940" w:type="dxa"/>
            <w:vAlign w:val="bottom"/>
            <w:tcBorders>
              <w:bottom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color w:val="auto"/>
              </w:rPr>
              <w:t>(134)</w:t>
            </w: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4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(2,827)</w:t>
            </w:r>
          </w:p>
        </w:tc>
        <w:tc>
          <w:tcPr>
            <w:tcW w:w="0" w:type="dxa"/>
            <w:vAlign w:val="bottom"/>
          </w:tcPr>
          <w:p>
            <w:pPr>
              <w:spacing w:after="0"/>
              <w:rPr>
                <w:sz w:val="1"/>
                <w:szCs w:val="1"/>
                <w:color w:val="auto"/>
              </w:rPr>
            </w:pPr>
          </w:p>
        </w:tc>
      </w:tr>
      <w:tr>
        <w:trPr>
          <w:trHeight w:val="187"/>
        </w:trPr>
        <w:tc>
          <w:tcPr>
            <w:tcW w:w="2680" w:type="dxa"/>
            <w:vAlign w:val="bottom"/>
          </w:tcPr>
          <w:p>
            <w:pPr>
              <w:ind w:left="20"/>
              <w:spacing w:after="0" w:line="187" w:lineRule="exact"/>
              <w:rPr>
                <w:sz w:val="20"/>
                <w:szCs w:val="20"/>
                <w:color w:val="auto"/>
              </w:rPr>
            </w:pPr>
            <w:r>
              <w:rPr>
                <w:rFonts w:ascii="Times New Roman" w:cs="Times New Roman" w:eastAsia="Times New Roman" w:hAnsi="Times New Roman"/>
                <w:sz w:val="14"/>
                <w:szCs w:val="14"/>
                <w:b w:val="1"/>
                <w:bCs w:val="1"/>
                <w:color w:val="0077C0"/>
              </w:rPr>
              <w:t xml:space="preserve">Reserves at December 31, 2023 </w:t>
            </w:r>
            <w:r>
              <w:rPr>
                <w:rFonts w:ascii="Times New Roman" w:cs="Times New Roman" w:eastAsia="Times New Roman" w:hAnsi="Times New Roman"/>
                <w:sz w:val="18"/>
                <w:szCs w:val="18"/>
                <w:b w:val="1"/>
                <w:bCs w:val="1"/>
                <w:color w:val="0077C0"/>
                <w:vertAlign w:val="superscript"/>
              </w:rPr>
              <w:t>4, 5</w:t>
            </w: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7,682</w:t>
            </w:r>
          </w:p>
        </w:tc>
        <w:tc>
          <w:tcPr>
            <w:tcW w:w="9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574</w:t>
            </w:r>
          </w:p>
        </w:tc>
        <w:tc>
          <w:tcPr>
            <w:tcW w:w="7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2,257</w:t>
            </w: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8,393</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9,395</w:t>
            </w:r>
          </w:p>
        </w:tc>
        <w:tc>
          <w:tcPr>
            <w:tcW w:w="8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17</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28,318</w:t>
            </w:r>
          </w:p>
        </w:tc>
        <w:tc>
          <w:tcPr>
            <w:tcW w:w="240" w:type="dxa"/>
            <w:vAlign w:val="bottom"/>
          </w:tcPr>
          <w:p>
            <w:pPr>
              <w:spacing w:after="0"/>
              <w:rPr>
                <w:sz w:val="16"/>
                <w:szCs w:val="16"/>
                <w:color w:val="auto"/>
              </w:rPr>
            </w:pP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1,295</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30,381</w:t>
            </w:r>
          </w:p>
        </w:tc>
        <w:tc>
          <w:tcPr>
            <w:tcW w:w="0" w:type="dxa"/>
            <w:vAlign w:val="bottom"/>
          </w:tcPr>
          <w:p>
            <w:pPr>
              <w:spacing w:after="0"/>
              <w:rPr>
                <w:sz w:val="1"/>
                <w:szCs w:val="1"/>
                <w:color w:val="auto"/>
              </w:rPr>
            </w:pPr>
          </w:p>
        </w:tc>
      </w:tr>
      <w:tr>
        <w:trPr>
          <w:trHeight w:val="188"/>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attributable to:</w:t>
            </w: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Revisions</w:t>
            </w: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(572)</w:t>
            </w: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(54)</w:t>
            </w: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(19)</w:t>
            </w: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118</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504</w:t>
            </w:r>
          </w:p>
        </w:tc>
        <w:tc>
          <w:tcPr>
            <w:tcW w:w="8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3</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w:t>
            </w:r>
          </w:p>
        </w:tc>
        <w:tc>
          <w:tcPr>
            <w:tcW w:w="240" w:type="dxa"/>
            <w:vAlign w:val="bottom"/>
          </w:tcPr>
          <w:p>
            <w:pPr>
              <w:spacing w:after="0"/>
              <w:rPr>
                <w:sz w:val="17"/>
                <w:szCs w:val="17"/>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(21)</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w:t>
            </w:r>
          </w:p>
        </w:tc>
        <w:tc>
          <w:tcPr>
            <w:tcW w:w="0" w:type="dxa"/>
            <w:vAlign w:val="bottom"/>
          </w:tcPr>
          <w:p>
            <w:pPr>
              <w:spacing w:after="0"/>
              <w:rPr>
                <w:sz w:val="1"/>
                <w:szCs w:val="1"/>
                <w:color w:val="auto"/>
              </w:rPr>
            </w:pPr>
          </w:p>
        </w:tc>
      </w:tr>
      <w:tr>
        <w:trPr>
          <w:trHeight w:val="203"/>
        </w:trPr>
        <w:tc>
          <w:tcPr>
            <w:tcW w:w="2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Improved recovery</w:t>
            </w: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w:t>
            </w:r>
          </w:p>
        </w:tc>
        <w:tc>
          <w:tcPr>
            <w:tcW w:w="9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240" w:type="dxa"/>
            <w:vAlign w:val="bottom"/>
          </w:tcPr>
          <w:p>
            <w:pPr>
              <w:spacing w:after="0"/>
              <w:rPr>
                <w:sz w:val="17"/>
                <w:szCs w:val="17"/>
                <w:color w:val="auto"/>
              </w:rPr>
            </w:pP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0" w:type="dxa"/>
            <w:vAlign w:val="bottom"/>
          </w:tcPr>
          <w:p>
            <w:pPr>
              <w:spacing w:after="0"/>
              <w:rPr>
                <w:sz w:val="1"/>
                <w:szCs w:val="1"/>
                <w:color w:val="auto"/>
              </w:rPr>
            </w:pPr>
          </w:p>
        </w:tc>
      </w:tr>
      <w:tr>
        <w:trPr>
          <w:trHeight w:val="203"/>
        </w:trPr>
        <w:tc>
          <w:tcPr>
            <w:tcW w:w="2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Extensions and discoveries</w:t>
            </w: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912</w:t>
            </w:r>
          </w:p>
        </w:tc>
        <w:tc>
          <w:tcPr>
            <w:tcW w:w="9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119</w:t>
            </w:r>
          </w:p>
        </w:tc>
        <w:tc>
          <w:tcPr>
            <w:tcW w:w="7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83</w:t>
            </w: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1,114</w:t>
            </w:r>
          </w:p>
        </w:tc>
        <w:tc>
          <w:tcPr>
            <w:tcW w:w="240" w:type="dxa"/>
            <w:vAlign w:val="bottom"/>
          </w:tcPr>
          <w:p>
            <w:pPr>
              <w:spacing w:after="0"/>
              <w:rPr>
                <w:sz w:val="17"/>
                <w:szCs w:val="17"/>
                <w:color w:val="auto"/>
              </w:rPr>
            </w:pP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1,114</w:t>
            </w:r>
          </w:p>
        </w:tc>
        <w:tc>
          <w:tcPr>
            <w:tcW w:w="0" w:type="dxa"/>
            <w:vAlign w:val="bottom"/>
          </w:tcPr>
          <w:p>
            <w:pPr>
              <w:spacing w:after="0"/>
              <w:rPr>
                <w:sz w:val="1"/>
                <w:szCs w:val="1"/>
                <w:color w:val="auto"/>
              </w:rPr>
            </w:pPr>
          </w:p>
        </w:tc>
      </w:tr>
      <w:tr>
        <w:trPr>
          <w:trHeight w:val="203"/>
        </w:trPr>
        <w:tc>
          <w:tcPr>
            <w:tcW w:w="2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w:t>
            </w: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177</w:t>
            </w:r>
          </w:p>
        </w:tc>
        <w:tc>
          <w:tcPr>
            <w:tcW w:w="9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32</w:t>
            </w: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209</w:t>
            </w:r>
          </w:p>
        </w:tc>
        <w:tc>
          <w:tcPr>
            <w:tcW w:w="240" w:type="dxa"/>
            <w:vAlign w:val="bottom"/>
          </w:tcPr>
          <w:p>
            <w:pPr>
              <w:spacing w:after="0"/>
              <w:rPr>
                <w:sz w:val="17"/>
                <w:szCs w:val="17"/>
                <w:color w:val="auto"/>
              </w:rPr>
            </w:pP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209</w:t>
            </w:r>
          </w:p>
        </w:tc>
        <w:tc>
          <w:tcPr>
            <w:tcW w:w="0" w:type="dxa"/>
            <w:vAlign w:val="bottom"/>
          </w:tcPr>
          <w:p>
            <w:pPr>
              <w:spacing w:after="0"/>
              <w:rPr>
                <w:sz w:val="1"/>
                <w:szCs w:val="1"/>
                <w:color w:val="auto"/>
              </w:rPr>
            </w:pPr>
          </w:p>
        </w:tc>
      </w:tr>
      <w:tr>
        <w:trPr>
          <w:trHeight w:val="203"/>
        </w:trPr>
        <w:tc>
          <w:tcPr>
            <w:tcW w:w="2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Sales</w:t>
            </w: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(70)</w:t>
            </w: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(260)</w:t>
            </w:r>
          </w:p>
        </w:tc>
        <w:tc>
          <w:tcPr>
            <w:tcW w:w="7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(330)</w:t>
            </w:r>
          </w:p>
        </w:tc>
        <w:tc>
          <w:tcPr>
            <w:tcW w:w="240" w:type="dxa"/>
            <w:vAlign w:val="bottom"/>
          </w:tcPr>
          <w:p>
            <w:pPr>
              <w:spacing w:after="0"/>
              <w:rPr>
                <w:sz w:val="17"/>
                <w:szCs w:val="17"/>
                <w:color w:val="auto"/>
              </w:rPr>
            </w:pP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(330)</w:t>
            </w:r>
          </w:p>
        </w:tc>
        <w:tc>
          <w:tcPr>
            <w:tcW w:w="0" w:type="dxa"/>
            <w:vAlign w:val="bottom"/>
          </w:tcPr>
          <w:p>
            <w:pPr>
              <w:spacing w:after="0"/>
              <w:rPr>
                <w:sz w:val="1"/>
                <w:szCs w:val="1"/>
                <w:color w:val="auto"/>
              </w:rPr>
            </w:pPr>
          </w:p>
        </w:tc>
      </w:tr>
      <w:tr>
        <w:trPr>
          <w:trHeight w:val="226"/>
        </w:trPr>
        <w:tc>
          <w:tcPr>
            <w:tcW w:w="2680" w:type="dxa"/>
            <w:vAlign w:val="bottom"/>
            <w:tcBorders>
              <w:bottom w:val="single" w:sz="8" w:color="0077C0"/>
            </w:tcBorders>
          </w:tcPr>
          <w:p>
            <w:pPr>
              <w:ind w:left="140"/>
              <w:spacing w:after="0"/>
              <w:rPr>
                <w:sz w:val="20"/>
                <w:szCs w:val="20"/>
                <w:color w:val="auto"/>
              </w:rPr>
            </w:pPr>
            <w:r>
              <w:rPr>
                <w:rFonts w:ascii="Times New Roman" w:cs="Times New Roman" w:eastAsia="Times New Roman" w:hAnsi="Times New Roman"/>
                <w:sz w:val="14"/>
                <w:szCs w:val="14"/>
                <w:color w:val="auto"/>
              </w:rPr>
              <w:t>Production</w:t>
            </w:r>
            <w:r>
              <w:rPr>
                <w:rFonts w:ascii="Times New Roman" w:cs="Times New Roman" w:eastAsia="Times New Roman" w:hAnsi="Times New Roman"/>
                <w:sz w:val="18"/>
                <w:szCs w:val="18"/>
                <w:color w:val="auto"/>
                <w:vertAlign w:val="superscript"/>
              </w:rPr>
              <w:t>3</w:t>
            </w:r>
          </w:p>
        </w:tc>
        <w:tc>
          <w:tcPr>
            <w:tcW w:w="840" w:type="dxa"/>
            <w:vAlign w:val="bottom"/>
            <w:tcBorders>
              <w:bottom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(981)</w:t>
            </w:r>
          </w:p>
        </w:tc>
        <w:tc>
          <w:tcPr>
            <w:tcW w:w="92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(65)</w:t>
            </w:r>
          </w:p>
        </w:tc>
        <w:tc>
          <w:tcPr>
            <w:tcW w:w="70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(159)</w:t>
            </w:r>
          </w:p>
        </w:tc>
        <w:tc>
          <w:tcPr>
            <w:tcW w:w="720" w:type="dxa"/>
            <w:vAlign w:val="bottom"/>
            <w:tcBorders>
              <w:bottom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(600)</w:t>
            </w: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(960)</w:t>
            </w:r>
          </w:p>
        </w:tc>
        <w:tc>
          <w:tcPr>
            <w:tcW w:w="860" w:type="dxa"/>
            <w:vAlign w:val="bottom"/>
            <w:tcBorders>
              <w:bottom w:val="single" w:sz="8" w:color="0077C0"/>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w:t>
            </w:r>
          </w:p>
        </w:tc>
        <w:tc>
          <w:tcPr>
            <w:tcW w:w="6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(2,767)</w:t>
            </w:r>
          </w:p>
        </w:tc>
        <w:tc>
          <w:tcPr>
            <w:tcW w:w="240" w:type="dxa"/>
            <w:vAlign w:val="bottom"/>
            <w:tcBorders>
              <w:bottom w:val="single" w:sz="8" w:color="0077C0"/>
            </w:tcBorders>
          </w:tcPr>
          <w:p>
            <w:pPr>
              <w:spacing w:after="0"/>
              <w:rPr>
                <w:sz w:val="19"/>
                <w:szCs w:val="19"/>
                <w:color w:val="auto"/>
              </w:rPr>
            </w:pPr>
          </w:p>
        </w:tc>
        <w:tc>
          <w:tcPr>
            <w:tcW w:w="940" w:type="dxa"/>
            <w:vAlign w:val="bottom"/>
            <w:tcBorders>
              <w:bottom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(136)</w:t>
            </w: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(87)</w:t>
            </w:r>
          </w:p>
        </w:tc>
        <w:tc>
          <w:tcPr>
            <w:tcW w:w="14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(2,990)</w:t>
            </w:r>
          </w:p>
        </w:tc>
        <w:tc>
          <w:tcPr>
            <w:tcW w:w="0" w:type="dxa"/>
            <w:vAlign w:val="bottom"/>
          </w:tcPr>
          <w:p>
            <w:pPr>
              <w:spacing w:after="0"/>
              <w:rPr>
                <w:sz w:val="1"/>
                <w:szCs w:val="1"/>
                <w:color w:val="auto"/>
              </w:rPr>
            </w:pPr>
          </w:p>
        </w:tc>
      </w:tr>
      <w:tr>
        <w:trPr>
          <w:trHeight w:val="196"/>
        </w:trPr>
        <w:tc>
          <w:tcPr>
            <w:tcW w:w="2680" w:type="dxa"/>
            <w:vAlign w:val="bottom"/>
            <w:tcBorders>
              <w:bottom w:val="single" w:sz="8" w:color="0077C0"/>
            </w:tcBorders>
          </w:tcPr>
          <w:p>
            <w:pPr>
              <w:ind w:left="20"/>
              <w:spacing w:after="0" w:line="196" w:lineRule="exact"/>
              <w:rPr>
                <w:sz w:val="20"/>
                <w:szCs w:val="20"/>
                <w:color w:val="auto"/>
              </w:rPr>
            </w:pPr>
            <w:r>
              <w:rPr>
                <w:rFonts w:ascii="Times New Roman" w:cs="Times New Roman" w:eastAsia="Times New Roman" w:hAnsi="Times New Roman"/>
                <w:sz w:val="14"/>
                <w:szCs w:val="14"/>
                <w:b w:val="1"/>
                <w:bCs w:val="1"/>
                <w:color w:val="0077C0"/>
              </w:rPr>
              <w:t xml:space="preserve">Reserves at December 31, 2024 </w:t>
            </w:r>
            <w:r>
              <w:rPr>
                <w:rFonts w:ascii="Times New Roman" w:cs="Times New Roman" w:eastAsia="Times New Roman" w:hAnsi="Times New Roman"/>
                <w:sz w:val="18"/>
                <w:szCs w:val="18"/>
                <w:b w:val="1"/>
                <w:bCs w:val="1"/>
                <w:color w:val="0077C0"/>
                <w:vertAlign w:val="superscript"/>
              </w:rPr>
              <w:t>4, 5</w:t>
            </w:r>
          </w:p>
        </w:tc>
        <w:tc>
          <w:tcPr>
            <w:tcW w:w="840" w:type="dxa"/>
            <w:vAlign w:val="bottom"/>
            <w:tcBorders>
              <w:bottom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7,150</w:t>
            </w:r>
          </w:p>
        </w:tc>
        <w:tc>
          <w:tcPr>
            <w:tcW w:w="920" w:type="dxa"/>
            <w:vAlign w:val="bottom"/>
            <w:tcBorders>
              <w:bottom w:val="single" w:sz="8" w:color="0077C0"/>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314</w:t>
            </w:r>
          </w:p>
        </w:tc>
        <w:tc>
          <w:tcPr>
            <w:tcW w:w="700" w:type="dxa"/>
            <w:vAlign w:val="bottom"/>
            <w:tcBorders>
              <w:bottom w:val="single" w:sz="8" w:color="0077C0"/>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2,194</w:t>
            </w:r>
          </w:p>
        </w:tc>
        <w:tc>
          <w:tcPr>
            <w:tcW w:w="720" w:type="dxa"/>
            <w:vAlign w:val="bottom"/>
            <w:tcBorders>
              <w:bottom w:val="single" w:sz="8" w:color="0077C0"/>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7,911</w:t>
            </w:r>
          </w:p>
        </w:tc>
        <w:tc>
          <w:tcPr>
            <w:tcW w:w="7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8,939</w:t>
            </w:r>
          </w:p>
        </w:tc>
        <w:tc>
          <w:tcPr>
            <w:tcW w:w="860" w:type="dxa"/>
            <w:vAlign w:val="bottom"/>
            <w:tcBorders>
              <w:bottom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18</w:t>
            </w:r>
          </w:p>
        </w:tc>
        <w:tc>
          <w:tcPr>
            <w:tcW w:w="6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26,526</w:t>
            </w:r>
          </w:p>
        </w:tc>
        <w:tc>
          <w:tcPr>
            <w:tcW w:w="240" w:type="dxa"/>
            <w:vAlign w:val="bottom"/>
            <w:tcBorders>
              <w:bottom w:val="single" w:sz="8" w:color="0077C0"/>
            </w:tcBorders>
          </w:tcPr>
          <w:p>
            <w:pPr>
              <w:spacing w:after="0"/>
              <w:rPr>
                <w:sz w:val="17"/>
                <w:szCs w:val="17"/>
                <w:color w:val="auto"/>
              </w:rPr>
            </w:pPr>
          </w:p>
        </w:tc>
        <w:tc>
          <w:tcPr>
            <w:tcW w:w="940" w:type="dxa"/>
            <w:vAlign w:val="bottom"/>
            <w:tcBorders>
              <w:bottom w:val="single" w:sz="8" w:color="0077C0"/>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1,138</w:t>
            </w:r>
          </w:p>
        </w:tc>
        <w:tc>
          <w:tcPr>
            <w:tcW w:w="6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711</w:t>
            </w:r>
          </w:p>
        </w:tc>
        <w:tc>
          <w:tcPr>
            <w:tcW w:w="140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28,375</w:t>
            </w: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80" w:hanging="72"/>
        <w:spacing w:after="0"/>
        <w:tabs>
          <w:tab w:leader="none" w:pos="80" w:val="left"/>
        </w:tabs>
        <w:numPr>
          <w:ilvl w:val="0"/>
          <w:numId w:val="6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Ending reserve balances in North America and South America were 49, 363 and 407 and 265, 211 and 138 in 2024, 2023 and 2022, respectively.</w:t>
      </w:r>
    </w:p>
    <w:p>
      <w:pPr>
        <w:spacing w:after="0" w:line="181" w:lineRule="auto"/>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4"/>
          <w:szCs w:val="14"/>
          <w:color w:val="auto"/>
          <w:vertAlign w:val="superscript"/>
        </w:rPr>
        <w:t>2</w:t>
      </w:r>
      <w:r>
        <w:rPr>
          <w:rFonts w:ascii="Times New Roman" w:cs="Times New Roman" w:eastAsia="Times New Roman" w:hAnsi="Times New Roman"/>
          <w:sz w:val="11"/>
          <w:szCs w:val="11"/>
          <w:color w:val="auto"/>
        </w:rPr>
        <w:t xml:space="preserve"> Reserves associated with Africa.</w:t>
      </w:r>
    </w:p>
    <w:p>
      <w:pPr>
        <w:spacing w:after="0" w:line="181" w:lineRule="auto"/>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4"/>
          <w:szCs w:val="14"/>
          <w:color w:val="auto"/>
          <w:vertAlign w:val="superscript"/>
        </w:rPr>
        <w:t>3</w:t>
      </w:r>
      <w:r>
        <w:rPr>
          <w:rFonts w:ascii="Times New Roman" w:cs="Times New Roman" w:eastAsia="Times New Roman" w:hAnsi="Times New Roman"/>
          <w:sz w:val="11"/>
          <w:szCs w:val="11"/>
          <w:color w:val="auto"/>
        </w:rPr>
        <w:t xml:space="preserve"> Total “as sold” volumes were 2,768, 2,609 and 2,600 for 2024, 2023 and 2022, respectively.</w:t>
      </w:r>
    </w:p>
    <w:p>
      <w:pPr>
        <w:jc w:val="both"/>
        <w:ind w:right="2060"/>
        <w:spacing w:after="0" w:line="267" w:lineRule="auto"/>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5"/>
          <w:szCs w:val="15"/>
          <w:color w:val="auto"/>
          <w:vertAlign w:val="superscript"/>
        </w:rPr>
        <w:t>4</w:t>
      </w:r>
      <w:r>
        <w:rPr>
          <w:rFonts w:ascii="Times New Roman" w:cs="Times New Roman" w:eastAsia="Times New Roman" w:hAnsi="Times New Roman"/>
          <w:sz w:val="12"/>
          <w:szCs w:val="12"/>
          <w:color w:val="auto"/>
        </w:rPr>
        <w:t xml:space="preserve"> Includes reserve quantities related to PSC. PSC-related reserve quantities were 6 percent, 7 percent and 8 percent for consolidated companies for 2024, 2023 and 2022, respectively. </w:t>
      </w:r>
      <w:r>
        <w:rPr>
          <w:rFonts w:ascii="Times New Roman" w:cs="Times New Roman" w:eastAsia="Times New Roman" w:hAnsi="Times New Roman"/>
          <w:sz w:val="15"/>
          <w:szCs w:val="15"/>
          <w:color w:val="auto"/>
          <w:vertAlign w:val="superscript"/>
        </w:rPr>
        <w:t>5</w:t>
      </w:r>
      <w:r>
        <w:rPr>
          <w:rFonts w:ascii="Times New Roman" w:cs="Times New Roman" w:eastAsia="Times New Roman" w:hAnsi="Times New Roman"/>
          <w:sz w:val="12"/>
          <w:szCs w:val="12"/>
          <w:color w:val="auto"/>
        </w:rPr>
        <w:t xml:space="preserve"> Reserve quantities include natural gas projected to be consumed in operations of 2,462, 2,655 and 2,737 billions of cubic feet as of December 31, 2024, 2023 and 2022, respectively.</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15" w:name="page116"/>
    <w:bookmarkEnd w:id="115"/>
    <w:p>
      <w:pPr>
        <w:ind w:left="20"/>
        <w:spacing w:after="0"/>
        <w:tabs>
          <w:tab w:leader="none" w:pos="9460" w:val="left"/>
        </w:tabs>
        <w:rPr>
          <w:sz w:val="20"/>
          <w:szCs w:val="20"/>
          <w:color w:val="auto"/>
        </w:rPr>
      </w:pPr>
      <w:r>
        <w:rPr>
          <w:rFonts w:ascii="Arial" w:cs="Arial" w:eastAsia="Arial" w:hAnsi="Arial"/>
          <w:sz w:val="14"/>
          <w:szCs w:val="14"/>
          <w:color w:val="0077C0"/>
        </w:rPr>
        <w:t>Supplemental Information on Oil and Gas Producing Activities - Unaudited</w:t>
      </w:r>
      <w:r>
        <w:rPr>
          <w:sz w:val="20"/>
          <w:szCs w:val="20"/>
          <w:color w:val="auto"/>
        </w:rPr>
        <w:tab/>
      </w:r>
      <w:r>
        <w:rPr>
          <w:rFonts w:ascii="Arial" w:cs="Arial" w:eastAsia="Arial" w:hAnsi="Arial"/>
          <w:sz w:val="14"/>
          <w:szCs w:val="14"/>
          <w:color w:val="0077C0"/>
        </w:rPr>
        <w:t>Financial 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b w:val="1"/>
          <w:bCs w:val="1"/>
          <w:color w:val="0077C0"/>
        </w:rPr>
        <w:t>Table VI - Standardized Measure of Discounted Future Net Cash Flows Related to Proved Oil and Gas Reserves</w:t>
      </w:r>
    </w:p>
    <w:p>
      <w:pPr>
        <w:spacing w:after="0" w:line="10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standardized measure of discounted future net cash flows is calculated in accordance with SEC and FASB requirements. This includes using the unweighted arithmetic average of the first-day-of-the-month oil and gas prices for the 12-month period prior to the end of the reporting period, estimated future development and production costs assuming the continuation of existing economic conditions, estimated costs for asset retirement obligations (includes costs to retire existing wells and facilities in addition to those future wells and facilities necessary to produce proved undeveloped reserves), and estimated future income taxes based on appropriate statutory tax rates. Discounted future net cash flows are calculated using 10 percent mid-period discount factors. Estimates of proved reserve quantities are imprecise and change over time as new information becomes available. Probable and possible reserves, which may become proved in the future, are excluded from the calculations. The valuation requires assumptions as to the timing and amount of future development and production costs, which could change over time as new information becomes available. The calculations are made as of December 31 each year and do not represent management’s estimate of the company’s future cash flows or value of its oil and gas reserves. In the following table, the caption “Standardized Measure Net Cash Flows” refers to the standardized measure of discounted future net cash flows.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4"/>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Consolidated Companies</w:t>
            </w:r>
          </w:p>
        </w:tc>
        <w:tc>
          <w:tcPr>
            <w:tcW w:w="200" w:type="dxa"/>
            <w:vAlign w:val="bottom"/>
          </w:tcPr>
          <w:p>
            <w:pPr>
              <w:spacing w:after="0"/>
              <w:rPr>
                <w:sz w:val="13"/>
                <w:szCs w:val="13"/>
                <w:color w:val="auto"/>
              </w:rPr>
            </w:pPr>
          </w:p>
        </w:tc>
        <w:tc>
          <w:tcPr>
            <w:tcW w:w="1480" w:type="dxa"/>
            <w:vAlign w:val="bottom"/>
            <w:gridSpan w:val="4"/>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Affiliated Companies</w:t>
            </w:r>
          </w:p>
        </w:tc>
        <w:tc>
          <w:tcPr>
            <w:tcW w:w="220" w:type="dxa"/>
            <w:vAlign w:val="bottom"/>
          </w:tcPr>
          <w:p>
            <w:pPr>
              <w:spacing w:after="0"/>
              <w:rPr>
                <w:sz w:val="13"/>
                <w:szCs w:val="13"/>
                <w:color w:val="auto"/>
              </w:rPr>
            </w:pPr>
          </w:p>
        </w:tc>
        <w:tc>
          <w:tcPr>
            <w:tcW w:w="94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2"/>
        </w:trPr>
        <w:tc>
          <w:tcPr>
            <w:tcW w:w="2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188"/>
        </w:trPr>
        <w:tc>
          <w:tcPr>
            <w:tcW w:w="2700" w:type="dxa"/>
            <w:vAlign w:val="bottom"/>
          </w:tcPr>
          <w:p>
            <w:pPr>
              <w:spacing w:after="0"/>
              <w:rPr>
                <w:sz w:val="16"/>
                <w:szCs w:val="16"/>
                <w:color w:val="auto"/>
              </w:rPr>
            </w:pPr>
          </w:p>
        </w:tc>
        <w:tc>
          <w:tcPr>
            <w:tcW w:w="200" w:type="dxa"/>
            <w:vAlign w:val="bottom"/>
            <w:tcBorders>
              <w:top w:val="single" w:sz="8" w:color="0077C0"/>
            </w:tcBorders>
          </w:tcPr>
          <w:p>
            <w:pPr>
              <w:spacing w:after="0"/>
              <w:rPr>
                <w:sz w:val="16"/>
                <w:szCs w:val="16"/>
                <w:color w:val="auto"/>
              </w:rPr>
            </w:pPr>
          </w:p>
        </w:tc>
        <w:tc>
          <w:tcPr>
            <w:tcW w:w="640" w:type="dxa"/>
            <w:vAlign w:val="bottom"/>
            <w:tcBorders>
              <w:top w:val="single" w:sz="8" w:color="0077C0"/>
            </w:tcBorders>
          </w:tcPr>
          <w:p>
            <w:pPr>
              <w:spacing w:after="0"/>
              <w:rPr>
                <w:sz w:val="16"/>
                <w:szCs w:val="16"/>
                <w:color w:val="auto"/>
              </w:rPr>
            </w:pPr>
          </w:p>
        </w:tc>
        <w:tc>
          <w:tcPr>
            <w:tcW w:w="180" w:type="dxa"/>
            <w:vAlign w:val="bottom"/>
            <w:tcBorders>
              <w:top w:val="single" w:sz="8" w:color="0077C0"/>
            </w:tcBorders>
          </w:tcPr>
          <w:p>
            <w:pPr>
              <w:spacing w:after="0"/>
              <w:rPr>
                <w:sz w:val="16"/>
                <w:szCs w:val="16"/>
                <w:color w:val="auto"/>
              </w:rPr>
            </w:pPr>
          </w:p>
        </w:tc>
        <w:tc>
          <w:tcPr>
            <w:tcW w:w="640" w:type="dxa"/>
            <w:vAlign w:val="bottom"/>
            <w:tcBorders>
              <w:top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top w:val="single" w:sz="8" w:color="0077C0"/>
            </w:tcBorders>
          </w:tcPr>
          <w:p>
            <w:pPr>
              <w:spacing w:after="0"/>
              <w:rPr>
                <w:sz w:val="16"/>
                <w:szCs w:val="16"/>
                <w:color w:val="auto"/>
              </w:rPr>
            </w:pPr>
          </w:p>
        </w:tc>
        <w:tc>
          <w:tcPr>
            <w:tcW w:w="600" w:type="dxa"/>
            <w:vAlign w:val="bottom"/>
            <w:tcBorders>
              <w:top w:val="single" w:sz="8" w:color="0077C0"/>
            </w:tcBorders>
          </w:tcPr>
          <w:p>
            <w:pPr>
              <w:spacing w:after="0"/>
              <w:rPr>
                <w:sz w:val="16"/>
                <w:szCs w:val="16"/>
                <w:color w:val="auto"/>
              </w:rPr>
            </w:pPr>
          </w:p>
        </w:tc>
        <w:tc>
          <w:tcPr>
            <w:tcW w:w="140" w:type="dxa"/>
            <w:vAlign w:val="bottom"/>
            <w:tcBorders>
              <w:top w:val="single" w:sz="8" w:color="0077C0"/>
            </w:tcBorders>
          </w:tcPr>
          <w:p>
            <w:pPr>
              <w:spacing w:after="0"/>
              <w:rPr>
                <w:sz w:val="16"/>
                <w:szCs w:val="16"/>
                <w:color w:val="auto"/>
              </w:rPr>
            </w:pPr>
          </w:p>
        </w:tc>
        <w:tc>
          <w:tcPr>
            <w:tcW w:w="600" w:type="dxa"/>
            <w:vAlign w:val="bottom"/>
            <w:tcBorders>
              <w:top w:val="single" w:sz="8" w:color="0077C0"/>
            </w:tcBorders>
          </w:tcPr>
          <w:p>
            <w:pPr>
              <w:spacing w:after="0"/>
              <w:rPr>
                <w:sz w:val="16"/>
                <w:szCs w:val="16"/>
                <w:color w:val="auto"/>
              </w:rPr>
            </w:pPr>
          </w:p>
        </w:tc>
        <w:tc>
          <w:tcPr>
            <w:tcW w:w="200" w:type="dxa"/>
            <w:vAlign w:val="bottom"/>
            <w:tcBorders>
              <w:top w:val="single" w:sz="8" w:color="0077C0"/>
            </w:tcBorders>
          </w:tcPr>
          <w:p>
            <w:pPr>
              <w:spacing w:after="0"/>
              <w:rPr>
                <w:sz w:val="16"/>
                <w:szCs w:val="16"/>
                <w:color w:val="auto"/>
              </w:rPr>
            </w:pPr>
          </w:p>
        </w:tc>
        <w:tc>
          <w:tcPr>
            <w:tcW w:w="680" w:type="dxa"/>
            <w:vAlign w:val="bottom"/>
            <w:tcBorders>
              <w:top w:val="single" w:sz="8" w:color="0077C0"/>
            </w:tcBorders>
          </w:tcPr>
          <w:p>
            <w:pPr>
              <w:spacing w:after="0"/>
              <w:rPr>
                <w:sz w:val="16"/>
                <w:szCs w:val="16"/>
                <w:color w:val="auto"/>
              </w:rPr>
            </w:pPr>
          </w:p>
        </w:tc>
        <w:tc>
          <w:tcPr>
            <w:tcW w:w="80" w:type="dxa"/>
            <w:vAlign w:val="bottom"/>
            <w:tcBorders>
              <w:top w:val="single" w:sz="8" w:color="0077C0"/>
            </w:tcBorders>
          </w:tcPr>
          <w:p>
            <w:pPr>
              <w:spacing w:after="0"/>
              <w:rPr>
                <w:sz w:val="16"/>
                <w:szCs w:val="16"/>
                <w:color w:val="auto"/>
              </w:rPr>
            </w:pPr>
          </w:p>
        </w:tc>
        <w:tc>
          <w:tcPr>
            <w:tcW w:w="660" w:type="dxa"/>
            <w:vAlign w:val="bottom"/>
            <w:tcBorders>
              <w:top w:val="single" w:sz="8" w:color="0077C0"/>
            </w:tcBorders>
          </w:tcPr>
          <w:p>
            <w:pPr>
              <w:spacing w:after="0"/>
              <w:rPr>
                <w:sz w:val="16"/>
                <w:szCs w:val="16"/>
                <w:color w:val="auto"/>
              </w:rPr>
            </w:pPr>
          </w:p>
        </w:tc>
        <w:tc>
          <w:tcPr>
            <w:tcW w:w="160" w:type="dxa"/>
            <w:vAlign w:val="bottom"/>
            <w:tcBorders>
              <w:top w:val="single" w:sz="8" w:color="0077C0"/>
            </w:tcBorders>
          </w:tcPr>
          <w:p>
            <w:pPr>
              <w:spacing w:after="0"/>
              <w:rPr>
                <w:sz w:val="16"/>
                <w:szCs w:val="16"/>
                <w:color w:val="auto"/>
              </w:rPr>
            </w:pPr>
          </w:p>
        </w:tc>
        <w:tc>
          <w:tcPr>
            <w:tcW w:w="660" w:type="dxa"/>
            <w:vAlign w:val="bottom"/>
            <w:tcBorders>
              <w:top w:val="single" w:sz="8" w:color="0077C0"/>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0077C0"/>
            </w:tcBorders>
          </w:tcPr>
          <w:p>
            <w:pPr>
              <w:spacing w:after="0"/>
              <w:rPr>
                <w:sz w:val="16"/>
                <w:szCs w:val="16"/>
                <w:color w:val="auto"/>
              </w:rPr>
            </w:pPr>
          </w:p>
        </w:tc>
        <w:tc>
          <w:tcPr>
            <w:tcW w:w="620" w:type="dxa"/>
            <w:vAlign w:val="bottom"/>
            <w:tcBorders>
              <w:top w:val="single" w:sz="8" w:color="0077C0"/>
            </w:tcBorders>
          </w:tcPr>
          <w:p>
            <w:pPr>
              <w:spacing w:after="0"/>
              <w:rPr>
                <w:sz w:val="16"/>
                <w:szCs w:val="16"/>
                <w:color w:val="auto"/>
              </w:rPr>
            </w:pPr>
          </w:p>
        </w:tc>
        <w:tc>
          <w:tcPr>
            <w:tcW w:w="200" w:type="dxa"/>
            <w:vAlign w:val="bottom"/>
            <w:tcBorders>
              <w:top w:val="single" w:sz="8" w:color="0077C0"/>
            </w:tcBorders>
          </w:tcPr>
          <w:p>
            <w:pPr>
              <w:spacing w:after="0"/>
              <w:rPr>
                <w:sz w:val="16"/>
                <w:szCs w:val="16"/>
                <w:color w:val="auto"/>
              </w:rPr>
            </w:pPr>
          </w:p>
        </w:tc>
        <w:tc>
          <w:tcPr>
            <w:tcW w:w="560" w:type="dxa"/>
            <w:vAlign w:val="bottom"/>
            <w:tcBorders>
              <w:top w:val="single" w:sz="8" w:color="0077C0"/>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and Affiliated</w:t>
            </w:r>
          </w:p>
        </w:tc>
        <w:tc>
          <w:tcPr>
            <w:tcW w:w="0" w:type="dxa"/>
            <w:vAlign w:val="bottom"/>
          </w:tcPr>
          <w:p>
            <w:pPr>
              <w:spacing w:after="0"/>
              <w:rPr>
                <w:sz w:val="1"/>
                <w:szCs w:val="1"/>
                <w:color w:val="auto"/>
              </w:rPr>
            </w:pPr>
          </w:p>
        </w:tc>
      </w:tr>
      <w:tr>
        <w:trPr>
          <w:trHeight w:val="193"/>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U.S.</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Americas</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Africa</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Asia</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Australia</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Europe</w:t>
            </w:r>
          </w:p>
        </w:tc>
        <w:tc>
          <w:tcPr>
            <w:tcW w:w="16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TCO</w:t>
            </w:r>
          </w:p>
        </w:tc>
        <w:tc>
          <w:tcPr>
            <w:tcW w:w="20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Companies</w:t>
            </w:r>
          </w:p>
        </w:tc>
        <w:tc>
          <w:tcPr>
            <w:tcW w:w="0" w:type="dxa"/>
            <w:vAlign w:val="bottom"/>
          </w:tcPr>
          <w:p>
            <w:pPr>
              <w:spacing w:after="0"/>
              <w:rPr>
                <w:sz w:val="1"/>
                <w:szCs w:val="1"/>
                <w:color w:val="auto"/>
              </w:rPr>
            </w:pPr>
          </w:p>
        </w:tc>
      </w:tr>
      <w:tr>
        <w:trPr>
          <w:trHeight w:val="23"/>
        </w:trPr>
        <w:tc>
          <w:tcPr>
            <w:tcW w:w="270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16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14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8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16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94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0077C0"/>
              </w:rPr>
              <w:t>At December 31, 2024</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Future cash inflows from production</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163,846</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21,827</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43,539</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58,245</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84,026</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3,999</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375,482</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65,221</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5,308</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446,011</w:t>
            </w:r>
          </w:p>
        </w:tc>
        <w:tc>
          <w:tcPr>
            <w:tcW w:w="0" w:type="dxa"/>
            <w:vAlign w:val="bottom"/>
          </w:tcPr>
          <w:p>
            <w:pPr>
              <w:spacing w:after="0"/>
              <w:rPr>
                <w:sz w:val="1"/>
                <w:szCs w:val="1"/>
                <w:color w:val="auto"/>
              </w:rPr>
            </w:pPr>
          </w:p>
        </w:tc>
      </w:tr>
      <w:tr>
        <w:trPr>
          <w:trHeight w:val="203"/>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Future production costs</w:t>
            </w: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(52,680)</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(5,896)</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(17,996)</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(13,355)</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(10,964)</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(1,188)</w:t>
            </w:r>
          </w:p>
        </w:tc>
        <w:tc>
          <w:tcPr>
            <w:tcW w:w="160" w:type="dxa"/>
            <w:vAlign w:val="bottom"/>
          </w:tcPr>
          <w:p>
            <w:pPr>
              <w:spacing w:after="0"/>
              <w:rPr>
                <w:sz w:val="17"/>
                <w:szCs w:val="17"/>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(102,079)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(19,945)</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(122,416)</w:t>
            </w:r>
          </w:p>
        </w:tc>
        <w:tc>
          <w:tcPr>
            <w:tcW w:w="0" w:type="dxa"/>
            <w:vAlign w:val="bottom"/>
          </w:tcPr>
          <w:p>
            <w:pPr>
              <w:spacing w:after="0"/>
              <w:rPr>
                <w:sz w:val="1"/>
                <w:szCs w:val="1"/>
                <w:color w:val="auto"/>
              </w:rPr>
            </w:pPr>
          </w:p>
        </w:tc>
      </w:tr>
      <w:tr>
        <w:trPr>
          <w:trHeight w:val="203"/>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Future development costs</w:t>
            </w: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(15,377)</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(2,131)</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(3,554)</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(2,290)</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(6,333)</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(420)</w:t>
            </w:r>
          </w:p>
        </w:tc>
        <w:tc>
          <w:tcPr>
            <w:tcW w:w="160" w:type="dxa"/>
            <w:vAlign w:val="bottom"/>
          </w:tcPr>
          <w:p>
            <w:pPr>
              <w:spacing w:after="0"/>
              <w:rPr>
                <w:sz w:val="17"/>
                <w:szCs w:val="17"/>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(30,105)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(1,560)</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(31,695)</w:t>
            </w:r>
          </w:p>
        </w:tc>
        <w:tc>
          <w:tcPr>
            <w:tcW w:w="0" w:type="dxa"/>
            <w:vAlign w:val="bottom"/>
          </w:tcPr>
          <w:p>
            <w:pPr>
              <w:spacing w:after="0"/>
              <w:rPr>
                <w:sz w:val="1"/>
                <w:szCs w:val="1"/>
                <w:color w:val="auto"/>
              </w:rPr>
            </w:pPr>
          </w:p>
        </w:tc>
      </w:tr>
      <w:tr>
        <w:trPr>
          <w:trHeight w:val="203"/>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Future income taxes</w:t>
            </w: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(18,919)</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(4,443)</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(12,345)</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(25,354)</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(25,891)</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(1,004)</w:t>
            </w:r>
          </w:p>
        </w:tc>
        <w:tc>
          <w:tcPr>
            <w:tcW w:w="160" w:type="dxa"/>
            <w:vAlign w:val="bottom"/>
          </w:tcPr>
          <w:p>
            <w:pPr>
              <w:spacing w:after="0"/>
              <w:rPr>
                <w:sz w:val="17"/>
                <w:szCs w:val="17"/>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(87,956)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(13,115)</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(1,710)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(102,781)</w:t>
            </w:r>
          </w:p>
        </w:tc>
        <w:tc>
          <w:tcPr>
            <w:tcW w:w="0" w:type="dxa"/>
            <w:vAlign w:val="bottom"/>
          </w:tcPr>
          <w:p>
            <w:pPr>
              <w:spacing w:after="0"/>
              <w:rPr>
                <w:sz w:val="1"/>
                <w:szCs w:val="1"/>
                <w:color w:val="auto"/>
              </w:rPr>
            </w:pPr>
          </w:p>
        </w:tc>
      </w:tr>
      <w:tr>
        <w:trPr>
          <w:trHeight w:val="23"/>
        </w:trPr>
        <w:tc>
          <w:tcPr>
            <w:tcW w:w="270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16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14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8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16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10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10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94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Undiscounted future net cash flows</w:t>
            </w:r>
          </w:p>
        </w:tc>
        <w:tc>
          <w:tcPr>
            <w:tcW w:w="200" w:type="dxa"/>
            <w:vAlign w:val="bottom"/>
          </w:tcPr>
          <w:p>
            <w:pPr>
              <w:spacing w:after="0"/>
              <w:rPr>
                <w:sz w:val="15"/>
                <w:szCs w:val="15"/>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76,870</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9,357</w:t>
            </w:r>
          </w:p>
        </w:tc>
        <w:tc>
          <w:tcPr>
            <w:tcW w:w="160" w:type="dxa"/>
            <w:vAlign w:val="bottom"/>
          </w:tcPr>
          <w:p>
            <w:pPr>
              <w:spacing w:after="0"/>
              <w:rPr>
                <w:sz w:val="15"/>
                <w:szCs w:val="15"/>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9,644</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17,246</w:t>
            </w:r>
          </w:p>
        </w:tc>
        <w:tc>
          <w:tcPr>
            <w:tcW w:w="200" w:type="dxa"/>
            <w:vAlign w:val="bottom"/>
          </w:tcPr>
          <w:p>
            <w:pPr>
              <w:spacing w:after="0"/>
              <w:rPr>
                <w:sz w:val="15"/>
                <w:szCs w:val="15"/>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40,838</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1,387</w:t>
            </w:r>
          </w:p>
        </w:tc>
        <w:tc>
          <w:tcPr>
            <w:tcW w:w="160" w:type="dxa"/>
            <w:vAlign w:val="bottom"/>
          </w:tcPr>
          <w:p>
            <w:pPr>
              <w:spacing w:after="0"/>
              <w:rPr>
                <w:sz w:val="15"/>
                <w:szCs w:val="15"/>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155,342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30,601</w:t>
            </w:r>
          </w:p>
        </w:tc>
        <w:tc>
          <w:tcPr>
            <w:tcW w:w="200" w:type="dxa"/>
            <w:vAlign w:val="bottom"/>
          </w:tcPr>
          <w:p>
            <w:pPr>
              <w:spacing w:after="0"/>
              <w:rPr>
                <w:sz w:val="15"/>
                <w:szCs w:val="15"/>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3,176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189,119</w:t>
            </w:r>
          </w:p>
        </w:tc>
        <w:tc>
          <w:tcPr>
            <w:tcW w:w="0" w:type="dxa"/>
            <w:vAlign w:val="bottom"/>
          </w:tcPr>
          <w:p>
            <w:pPr>
              <w:spacing w:after="0"/>
              <w:rPr>
                <w:sz w:val="1"/>
                <w:szCs w:val="1"/>
                <w:color w:val="auto"/>
              </w:rPr>
            </w:pPr>
          </w:p>
        </w:tc>
      </w:tr>
      <w:tr>
        <w:trPr>
          <w:trHeight w:val="152"/>
        </w:trPr>
        <w:tc>
          <w:tcPr>
            <w:tcW w:w="2700" w:type="dxa"/>
            <w:vAlign w:val="bottom"/>
          </w:tcPr>
          <w:p>
            <w:pPr>
              <w:ind w:left="20"/>
              <w:spacing w:after="0" w:line="151" w:lineRule="exact"/>
              <w:rPr>
                <w:sz w:val="20"/>
                <w:szCs w:val="20"/>
                <w:color w:val="auto"/>
              </w:rPr>
            </w:pPr>
            <w:r>
              <w:rPr>
                <w:rFonts w:ascii="Times New Roman" w:cs="Times New Roman" w:eastAsia="Times New Roman" w:hAnsi="Times New Roman"/>
                <w:sz w:val="14"/>
                <w:szCs w:val="14"/>
                <w:color w:val="auto"/>
              </w:rPr>
              <w:t>10 percent midyear annual discount for</w:t>
            </w:r>
          </w:p>
        </w:tc>
        <w:tc>
          <w:tcPr>
            <w:tcW w:w="2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(28,615)</w:t>
            </w:r>
          </w:p>
        </w:tc>
        <w:tc>
          <w:tcPr>
            <w:tcW w:w="1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(3,492)</w:t>
            </w: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(3,573)</w:t>
            </w:r>
          </w:p>
        </w:tc>
        <w:tc>
          <w:tcPr>
            <w:tcW w:w="14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(8,157)</w:t>
            </w:r>
          </w:p>
        </w:tc>
        <w:tc>
          <w:tcPr>
            <w:tcW w:w="2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(15,114)</w:t>
            </w:r>
          </w:p>
        </w:tc>
        <w:tc>
          <w:tcPr>
            <w:tcW w:w="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(503)</w:t>
            </w:r>
          </w:p>
        </w:tc>
        <w:tc>
          <w:tcPr>
            <w:tcW w:w="160" w:type="dxa"/>
            <w:vAlign w:val="bottom"/>
          </w:tcPr>
          <w:p>
            <w:pPr>
              <w:spacing w:after="0"/>
              <w:rPr>
                <w:sz w:val="13"/>
                <w:szCs w:val="13"/>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(59,454)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(8,722)</w:t>
            </w:r>
          </w:p>
        </w:tc>
        <w:tc>
          <w:tcPr>
            <w:tcW w:w="20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(1,003)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(69,179)</w:t>
            </w:r>
          </w:p>
        </w:tc>
        <w:tc>
          <w:tcPr>
            <w:tcW w:w="0" w:type="dxa"/>
            <w:vAlign w:val="bottom"/>
          </w:tcPr>
          <w:p>
            <w:pPr>
              <w:spacing w:after="0"/>
              <w:rPr>
                <w:sz w:val="1"/>
                <w:szCs w:val="1"/>
                <w:color w:val="auto"/>
              </w:rPr>
            </w:pPr>
          </w:p>
        </w:tc>
      </w:tr>
      <w:tr>
        <w:trPr>
          <w:trHeight w:val="193"/>
        </w:trPr>
        <w:tc>
          <w:tcPr>
            <w:tcW w:w="2700" w:type="dxa"/>
            <w:vAlign w:val="bottom"/>
            <w:tcBorders>
              <w:bottom w:val="single" w:sz="8" w:color="0077C0"/>
            </w:tcBorders>
          </w:tcPr>
          <w:p>
            <w:pPr>
              <w:ind w:left="180"/>
              <w:spacing w:after="0"/>
              <w:rPr>
                <w:sz w:val="20"/>
                <w:szCs w:val="20"/>
                <w:color w:val="auto"/>
              </w:rPr>
            </w:pPr>
            <w:r>
              <w:rPr>
                <w:rFonts w:ascii="Times New Roman" w:cs="Times New Roman" w:eastAsia="Times New Roman" w:hAnsi="Times New Roman"/>
                <w:sz w:val="14"/>
                <w:szCs w:val="14"/>
                <w:color w:val="auto"/>
              </w:rPr>
              <w:t>timing of estimated cash flows</w:t>
            </w:r>
          </w:p>
        </w:tc>
        <w:tc>
          <w:tcPr>
            <w:tcW w:w="20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vMerge w:val="continue"/>
          </w:tcPr>
          <w:p>
            <w:pPr>
              <w:spacing w:after="0"/>
              <w:rPr>
                <w:sz w:val="16"/>
                <w:szCs w:val="16"/>
                <w:color w:val="auto"/>
              </w:rPr>
            </w:pPr>
          </w:p>
        </w:tc>
        <w:tc>
          <w:tcPr>
            <w:tcW w:w="18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vMerge w:val="continue"/>
          </w:tcPr>
          <w:p>
            <w:pPr>
              <w:spacing w:after="0"/>
              <w:rPr>
                <w:sz w:val="16"/>
                <w:szCs w:val="16"/>
                <w:color w:val="auto"/>
              </w:rPr>
            </w:pPr>
          </w:p>
        </w:tc>
        <w:tc>
          <w:tcPr>
            <w:tcW w:w="160" w:type="dxa"/>
            <w:vAlign w:val="bottom"/>
            <w:tcBorders>
              <w:bottom w:val="single" w:sz="8" w:color="0077C0"/>
            </w:tcBorders>
          </w:tcPr>
          <w:p>
            <w:pPr>
              <w:spacing w:after="0"/>
              <w:rPr>
                <w:sz w:val="16"/>
                <w:szCs w:val="16"/>
                <w:color w:val="auto"/>
              </w:rPr>
            </w:pPr>
          </w:p>
        </w:tc>
        <w:tc>
          <w:tcPr>
            <w:tcW w:w="600" w:type="dxa"/>
            <w:vAlign w:val="bottom"/>
            <w:tcBorders>
              <w:bottom w:val="single" w:sz="8" w:color="0077C0"/>
            </w:tcBorders>
            <w:vMerge w:val="continue"/>
          </w:tcPr>
          <w:p>
            <w:pPr>
              <w:spacing w:after="0"/>
              <w:rPr>
                <w:sz w:val="16"/>
                <w:szCs w:val="16"/>
                <w:color w:val="auto"/>
              </w:rPr>
            </w:pPr>
          </w:p>
        </w:tc>
        <w:tc>
          <w:tcPr>
            <w:tcW w:w="140" w:type="dxa"/>
            <w:vAlign w:val="bottom"/>
            <w:tcBorders>
              <w:bottom w:val="single" w:sz="8" w:color="0077C0"/>
            </w:tcBorders>
          </w:tcPr>
          <w:p>
            <w:pPr>
              <w:spacing w:after="0"/>
              <w:rPr>
                <w:sz w:val="16"/>
                <w:szCs w:val="16"/>
                <w:color w:val="auto"/>
              </w:rPr>
            </w:pPr>
          </w:p>
        </w:tc>
        <w:tc>
          <w:tcPr>
            <w:tcW w:w="600" w:type="dxa"/>
            <w:vAlign w:val="bottom"/>
            <w:tcBorders>
              <w:bottom w:val="single" w:sz="8" w:color="0077C0"/>
            </w:tcBorders>
            <w:vMerge w:val="continue"/>
          </w:tcPr>
          <w:p>
            <w:pPr>
              <w:spacing w:after="0"/>
              <w:rPr>
                <w:sz w:val="16"/>
                <w:szCs w:val="16"/>
                <w:color w:val="auto"/>
              </w:rPr>
            </w:pPr>
          </w:p>
        </w:tc>
        <w:tc>
          <w:tcPr>
            <w:tcW w:w="20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vMerge w:val="continue"/>
          </w:tcPr>
          <w:p>
            <w:pPr>
              <w:spacing w:after="0"/>
              <w:rPr>
                <w:sz w:val="16"/>
                <w:szCs w:val="16"/>
                <w:color w:val="auto"/>
              </w:rPr>
            </w:pPr>
          </w:p>
        </w:tc>
        <w:tc>
          <w:tcPr>
            <w:tcW w:w="80" w:type="dxa"/>
            <w:vAlign w:val="bottom"/>
            <w:tcBorders>
              <w:bottom w:val="single" w:sz="8" w:color="0077C0"/>
            </w:tcBorders>
          </w:tcPr>
          <w:p>
            <w:pPr>
              <w:spacing w:after="0"/>
              <w:rPr>
                <w:sz w:val="16"/>
                <w:szCs w:val="16"/>
                <w:color w:val="auto"/>
              </w:rPr>
            </w:pPr>
          </w:p>
        </w:tc>
        <w:tc>
          <w:tcPr>
            <w:tcW w:w="660" w:type="dxa"/>
            <w:vAlign w:val="bottom"/>
            <w:tcBorders>
              <w:bottom w:val="single" w:sz="8" w:color="0077C0"/>
            </w:tcBorders>
            <w:vMerge w:val="continue"/>
          </w:tcPr>
          <w:p>
            <w:pPr>
              <w:spacing w:after="0"/>
              <w:rPr>
                <w:sz w:val="16"/>
                <w:szCs w:val="16"/>
                <w:color w:val="auto"/>
              </w:rPr>
            </w:pPr>
          </w:p>
        </w:tc>
        <w:tc>
          <w:tcPr>
            <w:tcW w:w="160" w:type="dxa"/>
            <w:vAlign w:val="bottom"/>
            <w:tcBorders>
              <w:bottom w:val="single" w:sz="8" w:color="0077C0"/>
            </w:tcBorders>
          </w:tcPr>
          <w:p>
            <w:pPr>
              <w:spacing w:after="0"/>
              <w:rPr>
                <w:sz w:val="16"/>
                <w:szCs w:val="16"/>
                <w:color w:val="auto"/>
              </w:rPr>
            </w:pPr>
          </w:p>
        </w:tc>
        <w:tc>
          <w:tcPr>
            <w:tcW w:w="660" w:type="dxa"/>
            <w:vAlign w:val="bottom"/>
            <w:tcBorders>
              <w:bottom w:val="single" w:sz="8" w:color="0077C0"/>
            </w:tcBorders>
            <w:vMerge w:val="continue"/>
          </w:tcPr>
          <w:p>
            <w:pPr>
              <w:spacing w:after="0"/>
              <w:rPr>
                <w:sz w:val="16"/>
                <w:szCs w:val="16"/>
                <w:color w:val="auto"/>
              </w:rPr>
            </w:pPr>
          </w:p>
        </w:tc>
        <w:tc>
          <w:tcPr>
            <w:tcW w:w="100" w:type="dxa"/>
            <w:vAlign w:val="bottom"/>
            <w:tcBorders>
              <w:bottom w:val="single" w:sz="8" w:color="0077C0"/>
            </w:tcBorders>
          </w:tcPr>
          <w:p>
            <w:pPr>
              <w:spacing w:after="0"/>
              <w:rPr>
                <w:sz w:val="16"/>
                <w:szCs w:val="16"/>
                <w:color w:val="auto"/>
              </w:rPr>
            </w:pPr>
          </w:p>
        </w:tc>
        <w:tc>
          <w:tcPr>
            <w:tcW w:w="20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vMerge w:val="continue"/>
          </w:tcPr>
          <w:p>
            <w:pPr>
              <w:spacing w:after="0"/>
              <w:rPr>
                <w:sz w:val="16"/>
                <w:szCs w:val="16"/>
                <w:color w:val="auto"/>
              </w:rPr>
            </w:pPr>
          </w:p>
        </w:tc>
        <w:tc>
          <w:tcPr>
            <w:tcW w:w="200" w:type="dxa"/>
            <w:vAlign w:val="bottom"/>
            <w:tcBorders>
              <w:bottom w:val="single" w:sz="8" w:color="0077C0"/>
            </w:tcBorders>
          </w:tcPr>
          <w:p>
            <w:pPr>
              <w:spacing w:after="0"/>
              <w:rPr>
                <w:sz w:val="16"/>
                <w:szCs w:val="16"/>
                <w:color w:val="auto"/>
              </w:rPr>
            </w:pPr>
          </w:p>
        </w:tc>
        <w:tc>
          <w:tcPr>
            <w:tcW w:w="560" w:type="dxa"/>
            <w:vAlign w:val="bottom"/>
            <w:tcBorders>
              <w:bottom w:val="single" w:sz="8" w:color="0077C0"/>
            </w:tcBorders>
            <w:vMerge w:val="continue"/>
          </w:tcPr>
          <w:p>
            <w:pPr>
              <w:spacing w:after="0"/>
              <w:rPr>
                <w:sz w:val="16"/>
                <w:szCs w:val="16"/>
                <w:color w:val="auto"/>
              </w:rPr>
            </w:pPr>
          </w:p>
        </w:tc>
        <w:tc>
          <w:tcPr>
            <w:tcW w:w="100" w:type="dxa"/>
            <w:vAlign w:val="bottom"/>
            <w:tcBorders>
              <w:bottom w:val="single" w:sz="8" w:color="0077C0"/>
            </w:tcBorders>
          </w:tcPr>
          <w:p>
            <w:pPr>
              <w:spacing w:after="0"/>
              <w:rPr>
                <w:sz w:val="16"/>
                <w:szCs w:val="16"/>
                <w:color w:val="auto"/>
              </w:rPr>
            </w:pPr>
          </w:p>
        </w:tc>
        <w:tc>
          <w:tcPr>
            <w:tcW w:w="220" w:type="dxa"/>
            <w:vAlign w:val="bottom"/>
            <w:tcBorders>
              <w:bottom w:val="single" w:sz="8" w:color="0077C0"/>
            </w:tcBorders>
          </w:tcPr>
          <w:p>
            <w:pPr>
              <w:spacing w:after="0"/>
              <w:rPr>
                <w:sz w:val="16"/>
                <w:szCs w:val="16"/>
                <w:color w:val="auto"/>
              </w:rPr>
            </w:pPr>
          </w:p>
        </w:tc>
        <w:tc>
          <w:tcPr>
            <w:tcW w:w="940" w:type="dxa"/>
            <w:vAlign w:val="bottom"/>
            <w:tcBorders>
              <w:bottom w:val="single" w:sz="8" w:color="0077C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700" w:type="dxa"/>
            <w:vAlign w:val="bottom"/>
          </w:tcPr>
          <w:p>
            <w:pPr>
              <w:ind w:left="20"/>
              <w:spacing w:after="0" w:line="136" w:lineRule="exact"/>
              <w:rPr>
                <w:sz w:val="20"/>
                <w:szCs w:val="20"/>
                <w:color w:val="auto"/>
              </w:rPr>
            </w:pPr>
            <w:r>
              <w:rPr>
                <w:rFonts w:ascii="Times New Roman" w:cs="Times New Roman" w:eastAsia="Times New Roman" w:hAnsi="Times New Roman"/>
                <w:sz w:val="14"/>
                <w:szCs w:val="14"/>
                <w:b w:val="1"/>
                <w:bCs w:val="1"/>
                <w:color w:val="0077C0"/>
              </w:rPr>
              <w:t>Standardized Measure</w:t>
            </w:r>
          </w:p>
        </w:tc>
        <w:tc>
          <w:tcPr>
            <w:tcW w:w="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48,255</w:t>
            </w: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5,865</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6,071</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9,089</w:t>
            </w:r>
          </w:p>
        </w:tc>
        <w:tc>
          <w:tcPr>
            <w:tcW w:w="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25,724</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884</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95,888</w:t>
            </w:r>
          </w:p>
        </w:tc>
        <w:tc>
          <w:tcPr>
            <w:tcW w:w="100" w:type="dxa"/>
            <w:vAlign w:val="bottom"/>
          </w:tcPr>
          <w:p>
            <w:pPr>
              <w:spacing w:after="0"/>
              <w:rPr>
                <w:sz w:val="11"/>
                <w:szCs w:val="11"/>
                <w:color w:val="auto"/>
              </w:rPr>
            </w:pPr>
          </w:p>
        </w:tc>
        <w:tc>
          <w:tcPr>
            <w:tcW w:w="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21,879</w:t>
            </w:r>
          </w:p>
        </w:tc>
        <w:tc>
          <w:tcPr>
            <w:tcW w:w="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2,173</w:t>
            </w:r>
          </w:p>
        </w:tc>
        <w:tc>
          <w:tcPr>
            <w:tcW w:w="100" w:type="dxa"/>
            <w:vAlign w:val="bottom"/>
          </w:tcPr>
          <w:p>
            <w:pPr>
              <w:spacing w:after="0"/>
              <w:rPr>
                <w:sz w:val="11"/>
                <w:szCs w:val="11"/>
                <w:color w:val="auto"/>
              </w:rPr>
            </w:pPr>
          </w:p>
        </w:tc>
        <w:tc>
          <w:tcPr>
            <w:tcW w:w="2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119,940</w:t>
            </w:r>
          </w:p>
        </w:tc>
        <w:tc>
          <w:tcPr>
            <w:tcW w:w="0" w:type="dxa"/>
            <w:vAlign w:val="bottom"/>
          </w:tcPr>
          <w:p>
            <w:pPr>
              <w:spacing w:after="0"/>
              <w:rPr>
                <w:sz w:val="1"/>
                <w:szCs w:val="1"/>
                <w:color w:val="auto"/>
              </w:rPr>
            </w:pPr>
          </w:p>
        </w:tc>
      </w:tr>
      <w:tr>
        <w:trPr>
          <w:trHeight w:val="195"/>
        </w:trPr>
        <w:tc>
          <w:tcPr>
            <w:tcW w:w="2700" w:type="dxa"/>
            <w:vAlign w:val="bottom"/>
            <w:tcBorders>
              <w:bottom w:val="single" w:sz="8" w:color="0077C0"/>
            </w:tcBorders>
          </w:tcPr>
          <w:p>
            <w:pPr>
              <w:ind w:left="100"/>
              <w:spacing w:after="0"/>
              <w:rPr>
                <w:sz w:val="20"/>
                <w:szCs w:val="20"/>
                <w:color w:val="auto"/>
              </w:rPr>
            </w:pPr>
            <w:r>
              <w:rPr>
                <w:rFonts w:ascii="Times New Roman" w:cs="Times New Roman" w:eastAsia="Times New Roman" w:hAnsi="Times New Roman"/>
                <w:sz w:val="14"/>
                <w:szCs w:val="14"/>
                <w:b w:val="1"/>
                <w:bCs w:val="1"/>
                <w:color w:val="0077C0"/>
              </w:rPr>
              <w:t>Net Cash Flows</w:t>
            </w:r>
          </w:p>
        </w:tc>
        <w:tc>
          <w:tcPr>
            <w:tcW w:w="200" w:type="dxa"/>
            <w:vAlign w:val="bottom"/>
            <w:tcBorders>
              <w:bottom w:val="single" w:sz="8" w:color="0077C0"/>
            </w:tcBorders>
            <w:vMerge w:val="continue"/>
          </w:tcPr>
          <w:p>
            <w:pPr>
              <w:spacing w:after="0"/>
              <w:rPr>
                <w:sz w:val="16"/>
                <w:szCs w:val="16"/>
                <w:color w:val="auto"/>
              </w:rPr>
            </w:pPr>
          </w:p>
        </w:tc>
        <w:tc>
          <w:tcPr>
            <w:tcW w:w="640" w:type="dxa"/>
            <w:vAlign w:val="bottom"/>
            <w:tcBorders>
              <w:bottom w:val="single" w:sz="8" w:color="0077C0"/>
            </w:tcBorders>
            <w:vMerge w:val="continue"/>
          </w:tcPr>
          <w:p>
            <w:pPr>
              <w:spacing w:after="0"/>
              <w:rPr>
                <w:sz w:val="16"/>
                <w:szCs w:val="16"/>
                <w:color w:val="auto"/>
              </w:rPr>
            </w:pPr>
          </w:p>
        </w:tc>
        <w:tc>
          <w:tcPr>
            <w:tcW w:w="180" w:type="dxa"/>
            <w:vAlign w:val="bottom"/>
            <w:tcBorders>
              <w:bottom w:val="single" w:sz="8" w:color="0077C0"/>
            </w:tcBorders>
            <w:vMerge w:val="continue"/>
          </w:tcPr>
          <w:p>
            <w:pPr>
              <w:spacing w:after="0"/>
              <w:rPr>
                <w:sz w:val="16"/>
                <w:szCs w:val="16"/>
                <w:color w:val="auto"/>
              </w:rPr>
            </w:pPr>
          </w:p>
        </w:tc>
        <w:tc>
          <w:tcPr>
            <w:tcW w:w="640" w:type="dxa"/>
            <w:vAlign w:val="bottom"/>
            <w:tcBorders>
              <w:bottom w:val="single" w:sz="8" w:color="0077C0"/>
            </w:tcBorders>
            <w:vMerge w:val="continue"/>
          </w:tcPr>
          <w:p>
            <w:pPr>
              <w:spacing w:after="0"/>
              <w:rPr>
                <w:sz w:val="16"/>
                <w:szCs w:val="16"/>
                <w:color w:val="auto"/>
              </w:rPr>
            </w:pPr>
          </w:p>
        </w:tc>
        <w:tc>
          <w:tcPr>
            <w:tcW w:w="160" w:type="dxa"/>
            <w:vAlign w:val="bottom"/>
            <w:tcBorders>
              <w:bottom w:val="single" w:sz="8" w:color="0077C0"/>
            </w:tcBorders>
            <w:vMerge w:val="continue"/>
          </w:tcPr>
          <w:p>
            <w:pPr>
              <w:spacing w:after="0"/>
              <w:rPr>
                <w:sz w:val="16"/>
                <w:szCs w:val="16"/>
                <w:color w:val="auto"/>
              </w:rPr>
            </w:pPr>
          </w:p>
        </w:tc>
        <w:tc>
          <w:tcPr>
            <w:tcW w:w="600" w:type="dxa"/>
            <w:vAlign w:val="bottom"/>
            <w:tcBorders>
              <w:bottom w:val="single" w:sz="8" w:color="0077C0"/>
            </w:tcBorders>
            <w:vMerge w:val="continue"/>
          </w:tcPr>
          <w:p>
            <w:pPr>
              <w:spacing w:after="0"/>
              <w:rPr>
                <w:sz w:val="16"/>
                <w:szCs w:val="16"/>
                <w:color w:val="auto"/>
              </w:rPr>
            </w:pPr>
          </w:p>
        </w:tc>
        <w:tc>
          <w:tcPr>
            <w:tcW w:w="140" w:type="dxa"/>
            <w:vAlign w:val="bottom"/>
            <w:tcBorders>
              <w:bottom w:val="single" w:sz="8" w:color="0077C0"/>
            </w:tcBorders>
            <w:vMerge w:val="continue"/>
          </w:tcPr>
          <w:p>
            <w:pPr>
              <w:spacing w:after="0"/>
              <w:rPr>
                <w:sz w:val="16"/>
                <w:szCs w:val="16"/>
                <w:color w:val="auto"/>
              </w:rPr>
            </w:pPr>
          </w:p>
        </w:tc>
        <w:tc>
          <w:tcPr>
            <w:tcW w:w="600" w:type="dxa"/>
            <w:vAlign w:val="bottom"/>
            <w:tcBorders>
              <w:bottom w:val="single" w:sz="8" w:color="0077C0"/>
            </w:tcBorders>
            <w:vMerge w:val="continue"/>
          </w:tcPr>
          <w:p>
            <w:pPr>
              <w:spacing w:after="0"/>
              <w:rPr>
                <w:sz w:val="16"/>
                <w:szCs w:val="16"/>
                <w:color w:val="auto"/>
              </w:rPr>
            </w:pPr>
          </w:p>
        </w:tc>
        <w:tc>
          <w:tcPr>
            <w:tcW w:w="200" w:type="dxa"/>
            <w:vAlign w:val="bottom"/>
            <w:tcBorders>
              <w:bottom w:val="single" w:sz="8" w:color="0077C0"/>
            </w:tcBorders>
            <w:vMerge w:val="continue"/>
          </w:tcPr>
          <w:p>
            <w:pPr>
              <w:spacing w:after="0"/>
              <w:rPr>
                <w:sz w:val="16"/>
                <w:szCs w:val="16"/>
                <w:color w:val="auto"/>
              </w:rPr>
            </w:pPr>
          </w:p>
        </w:tc>
        <w:tc>
          <w:tcPr>
            <w:tcW w:w="680" w:type="dxa"/>
            <w:vAlign w:val="bottom"/>
            <w:tcBorders>
              <w:bottom w:val="single" w:sz="8" w:color="0077C0"/>
            </w:tcBorders>
            <w:vMerge w:val="continue"/>
          </w:tcPr>
          <w:p>
            <w:pPr>
              <w:spacing w:after="0"/>
              <w:rPr>
                <w:sz w:val="16"/>
                <w:szCs w:val="16"/>
                <w:color w:val="auto"/>
              </w:rPr>
            </w:pPr>
          </w:p>
        </w:tc>
        <w:tc>
          <w:tcPr>
            <w:tcW w:w="80" w:type="dxa"/>
            <w:vAlign w:val="bottom"/>
            <w:tcBorders>
              <w:bottom w:val="single" w:sz="8" w:color="0077C0"/>
            </w:tcBorders>
            <w:vMerge w:val="continue"/>
          </w:tcPr>
          <w:p>
            <w:pPr>
              <w:spacing w:after="0"/>
              <w:rPr>
                <w:sz w:val="16"/>
                <w:szCs w:val="16"/>
                <w:color w:val="auto"/>
              </w:rPr>
            </w:pPr>
          </w:p>
        </w:tc>
        <w:tc>
          <w:tcPr>
            <w:tcW w:w="660" w:type="dxa"/>
            <w:vAlign w:val="bottom"/>
            <w:tcBorders>
              <w:bottom w:val="single" w:sz="8" w:color="0077C0"/>
            </w:tcBorders>
            <w:vMerge w:val="continue"/>
          </w:tcPr>
          <w:p>
            <w:pPr>
              <w:spacing w:after="0"/>
              <w:rPr>
                <w:sz w:val="16"/>
                <w:szCs w:val="16"/>
                <w:color w:val="auto"/>
              </w:rPr>
            </w:pPr>
          </w:p>
        </w:tc>
        <w:tc>
          <w:tcPr>
            <w:tcW w:w="160" w:type="dxa"/>
            <w:vAlign w:val="bottom"/>
            <w:tcBorders>
              <w:bottom w:val="single" w:sz="8" w:color="0077C0"/>
            </w:tcBorders>
            <w:vMerge w:val="continue"/>
          </w:tcPr>
          <w:p>
            <w:pPr>
              <w:spacing w:after="0"/>
              <w:rPr>
                <w:sz w:val="16"/>
                <w:szCs w:val="16"/>
                <w:color w:val="auto"/>
              </w:rPr>
            </w:pPr>
          </w:p>
        </w:tc>
        <w:tc>
          <w:tcPr>
            <w:tcW w:w="660" w:type="dxa"/>
            <w:vAlign w:val="bottom"/>
            <w:tcBorders>
              <w:bottom w:val="single" w:sz="8" w:color="0077C0"/>
            </w:tcBorders>
            <w:vMerge w:val="continue"/>
          </w:tcPr>
          <w:p>
            <w:pPr>
              <w:spacing w:after="0"/>
              <w:rPr>
                <w:sz w:val="16"/>
                <w:szCs w:val="16"/>
                <w:color w:val="auto"/>
              </w:rPr>
            </w:pPr>
          </w:p>
        </w:tc>
        <w:tc>
          <w:tcPr>
            <w:tcW w:w="100" w:type="dxa"/>
            <w:vAlign w:val="bottom"/>
            <w:tcBorders>
              <w:bottom w:val="single" w:sz="8" w:color="0077C0"/>
            </w:tcBorders>
          </w:tcPr>
          <w:p>
            <w:pPr>
              <w:spacing w:after="0"/>
              <w:rPr>
                <w:sz w:val="16"/>
                <w:szCs w:val="16"/>
                <w:color w:val="auto"/>
              </w:rPr>
            </w:pPr>
          </w:p>
        </w:tc>
        <w:tc>
          <w:tcPr>
            <w:tcW w:w="200" w:type="dxa"/>
            <w:vAlign w:val="bottom"/>
            <w:tcBorders>
              <w:bottom w:val="single" w:sz="8" w:color="0077C0"/>
            </w:tcBorders>
            <w:vMerge w:val="continue"/>
          </w:tcPr>
          <w:p>
            <w:pPr>
              <w:spacing w:after="0"/>
              <w:rPr>
                <w:sz w:val="16"/>
                <w:szCs w:val="16"/>
                <w:color w:val="auto"/>
              </w:rPr>
            </w:pPr>
          </w:p>
        </w:tc>
        <w:tc>
          <w:tcPr>
            <w:tcW w:w="620" w:type="dxa"/>
            <w:vAlign w:val="bottom"/>
            <w:tcBorders>
              <w:bottom w:val="single" w:sz="8" w:color="0077C0"/>
            </w:tcBorders>
            <w:vMerge w:val="continue"/>
          </w:tcPr>
          <w:p>
            <w:pPr>
              <w:spacing w:after="0"/>
              <w:rPr>
                <w:sz w:val="16"/>
                <w:szCs w:val="16"/>
                <w:color w:val="auto"/>
              </w:rPr>
            </w:pPr>
          </w:p>
        </w:tc>
        <w:tc>
          <w:tcPr>
            <w:tcW w:w="200" w:type="dxa"/>
            <w:vAlign w:val="bottom"/>
            <w:tcBorders>
              <w:bottom w:val="single" w:sz="8" w:color="0077C0"/>
            </w:tcBorders>
            <w:vMerge w:val="continue"/>
          </w:tcPr>
          <w:p>
            <w:pPr>
              <w:spacing w:after="0"/>
              <w:rPr>
                <w:sz w:val="16"/>
                <w:szCs w:val="16"/>
                <w:color w:val="auto"/>
              </w:rPr>
            </w:pPr>
          </w:p>
        </w:tc>
        <w:tc>
          <w:tcPr>
            <w:tcW w:w="560" w:type="dxa"/>
            <w:vAlign w:val="bottom"/>
            <w:tcBorders>
              <w:bottom w:val="single" w:sz="8" w:color="0077C0"/>
            </w:tcBorders>
            <w:vMerge w:val="continue"/>
          </w:tcPr>
          <w:p>
            <w:pPr>
              <w:spacing w:after="0"/>
              <w:rPr>
                <w:sz w:val="16"/>
                <w:szCs w:val="16"/>
                <w:color w:val="auto"/>
              </w:rPr>
            </w:pPr>
          </w:p>
        </w:tc>
        <w:tc>
          <w:tcPr>
            <w:tcW w:w="100" w:type="dxa"/>
            <w:vAlign w:val="bottom"/>
            <w:tcBorders>
              <w:bottom w:val="single" w:sz="8" w:color="0077C0"/>
            </w:tcBorders>
          </w:tcPr>
          <w:p>
            <w:pPr>
              <w:spacing w:after="0"/>
              <w:rPr>
                <w:sz w:val="16"/>
                <w:szCs w:val="16"/>
                <w:color w:val="auto"/>
              </w:rPr>
            </w:pPr>
          </w:p>
        </w:tc>
        <w:tc>
          <w:tcPr>
            <w:tcW w:w="220" w:type="dxa"/>
            <w:vAlign w:val="bottom"/>
            <w:tcBorders>
              <w:bottom w:val="single" w:sz="8" w:color="0077C0"/>
            </w:tcBorders>
            <w:vMerge w:val="continue"/>
          </w:tcPr>
          <w:p>
            <w:pPr>
              <w:spacing w:after="0"/>
              <w:rPr>
                <w:sz w:val="16"/>
                <w:szCs w:val="16"/>
                <w:color w:val="auto"/>
              </w:rPr>
            </w:pPr>
          </w:p>
        </w:tc>
        <w:tc>
          <w:tcPr>
            <w:tcW w:w="940" w:type="dxa"/>
            <w:vAlign w:val="bottom"/>
            <w:tcBorders>
              <w:bottom w:val="single" w:sz="8" w:color="0077C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0077C0"/>
              </w:rPr>
              <w:t>At December 31, 2023</w:t>
            </w: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Future cash inflows from production</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181,152</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65,265</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42,786</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62,094</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99,003</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4,395</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454,695</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74,758</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7,324</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536,777</w:t>
            </w:r>
          </w:p>
        </w:tc>
        <w:tc>
          <w:tcPr>
            <w:tcW w:w="0" w:type="dxa"/>
            <w:vAlign w:val="bottom"/>
          </w:tcPr>
          <w:p>
            <w:pPr>
              <w:spacing w:after="0"/>
              <w:rPr>
                <w:sz w:val="1"/>
                <w:szCs w:val="1"/>
                <w:color w:val="auto"/>
              </w:rPr>
            </w:pPr>
          </w:p>
        </w:tc>
      </w:tr>
      <w:tr>
        <w:trPr>
          <w:trHeight w:val="202"/>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Future production costs</w:t>
            </w: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(48,784)</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(22,549)</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(16,502)</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(13,000)</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(11,534)</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(1,194)</w:t>
            </w:r>
          </w:p>
        </w:tc>
        <w:tc>
          <w:tcPr>
            <w:tcW w:w="160" w:type="dxa"/>
            <w:vAlign w:val="bottom"/>
          </w:tcPr>
          <w:p>
            <w:pPr>
              <w:spacing w:after="0"/>
              <w:rPr>
                <w:sz w:val="17"/>
                <w:szCs w:val="17"/>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(113,563)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(21,467)</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(135,514)</w:t>
            </w:r>
          </w:p>
        </w:tc>
        <w:tc>
          <w:tcPr>
            <w:tcW w:w="0" w:type="dxa"/>
            <w:vAlign w:val="bottom"/>
          </w:tcPr>
          <w:p>
            <w:pPr>
              <w:spacing w:after="0"/>
              <w:rPr>
                <w:sz w:val="1"/>
                <w:szCs w:val="1"/>
                <w:color w:val="auto"/>
              </w:rPr>
            </w:pPr>
          </w:p>
        </w:tc>
      </w:tr>
      <w:tr>
        <w:trPr>
          <w:trHeight w:val="203"/>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Future development costs</w:t>
            </w: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(16,938)</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(3,538)</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(4,474)</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(2,845)</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(5,804)</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160" w:type="dxa"/>
            <w:vAlign w:val="bottom"/>
          </w:tcPr>
          <w:p>
            <w:pPr>
              <w:spacing w:after="0"/>
              <w:rPr>
                <w:sz w:val="17"/>
                <w:szCs w:val="17"/>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(34,037)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(3,617)</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(37,721)</w:t>
            </w:r>
          </w:p>
        </w:tc>
        <w:tc>
          <w:tcPr>
            <w:tcW w:w="0" w:type="dxa"/>
            <w:vAlign w:val="bottom"/>
          </w:tcPr>
          <w:p>
            <w:pPr>
              <w:spacing w:after="0"/>
              <w:rPr>
                <w:sz w:val="1"/>
                <w:szCs w:val="1"/>
                <w:color w:val="auto"/>
              </w:rPr>
            </w:pPr>
          </w:p>
        </w:tc>
      </w:tr>
      <w:tr>
        <w:trPr>
          <w:trHeight w:val="203"/>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Future income taxes</w:t>
            </w: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(21,089)</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(10,337)</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(12,446)</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(27,415)</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(24,499)</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w:t>
            </w:r>
          </w:p>
        </w:tc>
        <w:tc>
          <w:tcPr>
            <w:tcW w:w="160" w:type="dxa"/>
            <w:vAlign w:val="bottom"/>
          </w:tcPr>
          <w:p>
            <w:pPr>
              <w:spacing w:after="0"/>
              <w:rPr>
                <w:sz w:val="17"/>
                <w:szCs w:val="17"/>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(96,946)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(14,902)</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(114,219)</w:t>
            </w:r>
          </w:p>
        </w:tc>
        <w:tc>
          <w:tcPr>
            <w:tcW w:w="0" w:type="dxa"/>
            <w:vAlign w:val="bottom"/>
          </w:tcPr>
          <w:p>
            <w:pPr>
              <w:spacing w:after="0"/>
              <w:rPr>
                <w:sz w:val="1"/>
                <w:szCs w:val="1"/>
                <w:color w:val="auto"/>
              </w:rPr>
            </w:pPr>
          </w:p>
        </w:tc>
      </w:tr>
      <w:tr>
        <w:trPr>
          <w:trHeight w:val="23"/>
        </w:trPr>
        <w:tc>
          <w:tcPr>
            <w:tcW w:w="270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16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14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8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16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10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10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94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Undiscounted future net cash flows</w:t>
            </w:r>
          </w:p>
        </w:tc>
        <w:tc>
          <w:tcPr>
            <w:tcW w:w="200" w:type="dxa"/>
            <w:vAlign w:val="bottom"/>
          </w:tcPr>
          <w:p>
            <w:pPr>
              <w:spacing w:after="0"/>
              <w:rPr>
                <w:sz w:val="15"/>
                <w:szCs w:val="15"/>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94,341</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28,841</w:t>
            </w:r>
          </w:p>
        </w:tc>
        <w:tc>
          <w:tcPr>
            <w:tcW w:w="160" w:type="dxa"/>
            <w:vAlign w:val="bottom"/>
          </w:tcPr>
          <w:p>
            <w:pPr>
              <w:spacing w:after="0"/>
              <w:rPr>
                <w:sz w:val="15"/>
                <w:szCs w:val="15"/>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9,364</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18,834</w:t>
            </w:r>
          </w:p>
        </w:tc>
        <w:tc>
          <w:tcPr>
            <w:tcW w:w="200" w:type="dxa"/>
            <w:vAlign w:val="bottom"/>
          </w:tcPr>
          <w:p>
            <w:pPr>
              <w:spacing w:after="0"/>
              <w:rPr>
                <w:sz w:val="15"/>
                <w:szCs w:val="15"/>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57,166</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1,603</w:t>
            </w:r>
          </w:p>
        </w:tc>
        <w:tc>
          <w:tcPr>
            <w:tcW w:w="160" w:type="dxa"/>
            <w:vAlign w:val="bottom"/>
          </w:tcPr>
          <w:p>
            <w:pPr>
              <w:spacing w:after="0"/>
              <w:rPr>
                <w:sz w:val="15"/>
                <w:szCs w:val="15"/>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210,149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34,772</w:t>
            </w:r>
          </w:p>
        </w:tc>
        <w:tc>
          <w:tcPr>
            <w:tcW w:w="200" w:type="dxa"/>
            <w:vAlign w:val="bottom"/>
          </w:tcPr>
          <w:p>
            <w:pPr>
              <w:spacing w:after="0"/>
              <w:rPr>
                <w:sz w:val="15"/>
                <w:szCs w:val="15"/>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4,402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249,323</w:t>
            </w:r>
          </w:p>
        </w:tc>
        <w:tc>
          <w:tcPr>
            <w:tcW w:w="0" w:type="dxa"/>
            <w:vAlign w:val="bottom"/>
          </w:tcPr>
          <w:p>
            <w:pPr>
              <w:spacing w:after="0"/>
              <w:rPr>
                <w:sz w:val="1"/>
                <w:szCs w:val="1"/>
                <w:color w:val="auto"/>
              </w:rPr>
            </w:pPr>
          </w:p>
        </w:tc>
      </w:tr>
      <w:tr>
        <w:trPr>
          <w:trHeight w:val="154"/>
        </w:trPr>
        <w:tc>
          <w:tcPr>
            <w:tcW w:w="270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10 percent midyear annual discount for</w:t>
            </w:r>
          </w:p>
        </w:tc>
        <w:tc>
          <w:tcPr>
            <w:tcW w:w="2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(39,553)</w:t>
            </w:r>
          </w:p>
        </w:tc>
        <w:tc>
          <w:tcPr>
            <w:tcW w:w="1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(16,623)</w:t>
            </w: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(3,262)</w:t>
            </w:r>
          </w:p>
        </w:tc>
        <w:tc>
          <w:tcPr>
            <w:tcW w:w="14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(9,343)</w:t>
            </w:r>
          </w:p>
        </w:tc>
        <w:tc>
          <w:tcPr>
            <w:tcW w:w="2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(22,011)</w:t>
            </w:r>
          </w:p>
        </w:tc>
        <w:tc>
          <w:tcPr>
            <w:tcW w:w="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60" w:type="dxa"/>
            <w:vAlign w:val="bottom"/>
          </w:tcPr>
          <w:p>
            <w:pPr>
              <w:spacing w:after="0"/>
              <w:rPr>
                <w:sz w:val="13"/>
                <w:szCs w:val="13"/>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(91,392)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(11,283)</w:t>
            </w:r>
          </w:p>
        </w:tc>
        <w:tc>
          <w:tcPr>
            <w:tcW w:w="20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(1,640)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auto"/>
              </w:rPr>
              <w:t>(104,315)</w:t>
            </w:r>
          </w:p>
        </w:tc>
        <w:tc>
          <w:tcPr>
            <w:tcW w:w="0" w:type="dxa"/>
            <w:vAlign w:val="bottom"/>
          </w:tcPr>
          <w:p>
            <w:pPr>
              <w:spacing w:after="0"/>
              <w:rPr>
                <w:sz w:val="1"/>
                <w:szCs w:val="1"/>
                <w:color w:val="auto"/>
              </w:rPr>
            </w:pPr>
          </w:p>
        </w:tc>
      </w:tr>
      <w:tr>
        <w:trPr>
          <w:trHeight w:val="193"/>
        </w:trPr>
        <w:tc>
          <w:tcPr>
            <w:tcW w:w="2700" w:type="dxa"/>
            <w:vAlign w:val="bottom"/>
            <w:tcBorders>
              <w:bottom w:val="single" w:sz="8" w:color="0077C0"/>
            </w:tcBorders>
          </w:tcPr>
          <w:p>
            <w:pPr>
              <w:ind w:left="180"/>
              <w:spacing w:after="0"/>
              <w:rPr>
                <w:sz w:val="20"/>
                <w:szCs w:val="20"/>
                <w:color w:val="auto"/>
              </w:rPr>
            </w:pPr>
            <w:r>
              <w:rPr>
                <w:rFonts w:ascii="Times New Roman" w:cs="Times New Roman" w:eastAsia="Times New Roman" w:hAnsi="Times New Roman"/>
                <w:sz w:val="14"/>
                <w:szCs w:val="14"/>
                <w:color w:val="auto"/>
              </w:rPr>
              <w:t>timing of estimated cash flows</w:t>
            </w:r>
          </w:p>
        </w:tc>
        <w:tc>
          <w:tcPr>
            <w:tcW w:w="20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vMerge w:val="continue"/>
          </w:tcPr>
          <w:p>
            <w:pPr>
              <w:spacing w:after="0"/>
              <w:rPr>
                <w:sz w:val="16"/>
                <w:szCs w:val="16"/>
                <w:color w:val="auto"/>
              </w:rPr>
            </w:pPr>
          </w:p>
        </w:tc>
        <w:tc>
          <w:tcPr>
            <w:tcW w:w="18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vMerge w:val="continue"/>
          </w:tcPr>
          <w:p>
            <w:pPr>
              <w:spacing w:after="0"/>
              <w:rPr>
                <w:sz w:val="16"/>
                <w:szCs w:val="16"/>
                <w:color w:val="auto"/>
              </w:rPr>
            </w:pPr>
          </w:p>
        </w:tc>
        <w:tc>
          <w:tcPr>
            <w:tcW w:w="160" w:type="dxa"/>
            <w:vAlign w:val="bottom"/>
            <w:tcBorders>
              <w:bottom w:val="single" w:sz="8" w:color="0077C0"/>
            </w:tcBorders>
          </w:tcPr>
          <w:p>
            <w:pPr>
              <w:spacing w:after="0"/>
              <w:rPr>
                <w:sz w:val="16"/>
                <w:szCs w:val="16"/>
                <w:color w:val="auto"/>
              </w:rPr>
            </w:pPr>
          </w:p>
        </w:tc>
        <w:tc>
          <w:tcPr>
            <w:tcW w:w="600" w:type="dxa"/>
            <w:vAlign w:val="bottom"/>
            <w:tcBorders>
              <w:bottom w:val="single" w:sz="8" w:color="0077C0"/>
            </w:tcBorders>
            <w:vMerge w:val="continue"/>
          </w:tcPr>
          <w:p>
            <w:pPr>
              <w:spacing w:after="0"/>
              <w:rPr>
                <w:sz w:val="16"/>
                <w:szCs w:val="16"/>
                <w:color w:val="auto"/>
              </w:rPr>
            </w:pPr>
          </w:p>
        </w:tc>
        <w:tc>
          <w:tcPr>
            <w:tcW w:w="140" w:type="dxa"/>
            <w:vAlign w:val="bottom"/>
            <w:tcBorders>
              <w:bottom w:val="single" w:sz="8" w:color="0077C0"/>
            </w:tcBorders>
          </w:tcPr>
          <w:p>
            <w:pPr>
              <w:spacing w:after="0"/>
              <w:rPr>
                <w:sz w:val="16"/>
                <w:szCs w:val="16"/>
                <w:color w:val="auto"/>
              </w:rPr>
            </w:pPr>
          </w:p>
        </w:tc>
        <w:tc>
          <w:tcPr>
            <w:tcW w:w="600" w:type="dxa"/>
            <w:vAlign w:val="bottom"/>
            <w:tcBorders>
              <w:bottom w:val="single" w:sz="8" w:color="0077C0"/>
            </w:tcBorders>
            <w:vMerge w:val="continue"/>
          </w:tcPr>
          <w:p>
            <w:pPr>
              <w:spacing w:after="0"/>
              <w:rPr>
                <w:sz w:val="16"/>
                <w:szCs w:val="16"/>
                <w:color w:val="auto"/>
              </w:rPr>
            </w:pPr>
          </w:p>
        </w:tc>
        <w:tc>
          <w:tcPr>
            <w:tcW w:w="20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vMerge w:val="continue"/>
          </w:tcPr>
          <w:p>
            <w:pPr>
              <w:spacing w:after="0"/>
              <w:rPr>
                <w:sz w:val="16"/>
                <w:szCs w:val="16"/>
                <w:color w:val="auto"/>
              </w:rPr>
            </w:pPr>
          </w:p>
        </w:tc>
        <w:tc>
          <w:tcPr>
            <w:tcW w:w="80" w:type="dxa"/>
            <w:vAlign w:val="bottom"/>
            <w:tcBorders>
              <w:bottom w:val="single" w:sz="8" w:color="0077C0"/>
            </w:tcBorders>
          </w:tcPr>
          <w:p>
            <w:pPr>
              <w:spacing w:after="0"/>
              <w:rPr>
                <w:sz w:val="16"/>
                <w:szCs w:val="16"/>
                <w:color w:val="auto"/>
              </w:rPr>
            </w:pPr>
          </w:p>
        </w:tc>
        <w:tc>
          <w:tcPr>
            <w:tcW w:w="660" w:type="dxa"/>
            <w:vAlign w:val="bottom"/>
            <w:tcBorders>
              <w:bottom w:val="single" w:sz="8" w:color="0077C0"/>
            </w:tcBorders>
            <w:vMerge w:val="continue"/>
          </w:tcPr>
          <w:p>
            <w:pPr>
              <w:spacing w:after="0"/>
              <w:rPr>
                <w:sz w:val="16"/>
                <w:szCs w:val="16"/>
                <w:color w:val="auto"/>
              </w:rPr>
            </w:pPr>
          </w:p>
        </w:tc>
        <w:tc>
          <w:tcPr>
            <w:tcW w:w="160" w:type="dxa"/>
            <w:vAlign w:val="bottom"/>
            <w:tcBorders>
              <w:bottom w:val="single" w:sz="8" w:color="0077C0"/>
            </w:tcBorders>
          </w:tcPr>
          <w:p>
            <w:pPr>
              <w:spacing w:after="0"/>
              <w:rPr>
                <w:sz w:val="16"/>
                <w:szCs w:val="16"/>
                <w:color w:val="auto"/>
              </w:rPr>
            </w:pPr>
          </w:p>
        </w:tc>
        <w:tc>
          <w:tcPr>
            <w:tcW w:w="660" w:type="dxa"/>
            <w:vAlign w:val="bottom"/>
            <w:tcBorders>
              <w:bottom w:val="single" w:sz="8" w:color="0077C0"/>
            </w:tcBorders>
            <w:vMerge w:val="continue"/>
          </w:tcPr>
          <w:p>
            <w:pPr>
              <w:spacing w:after="0"/>
              <w:rPr>
                <w:sz w:val="16"/>
                <w:szCs w:val="16"/>
                <w:color w:val="auto"/>
              </w:rPr>
            </w:pPr>
          </w:p>
        </w:tc>
        <w:tc>
          <w:tcPr>
            <w:tcW w:w="100" w:type="dxa"/>
            <w:vAlign w:val="bottom"/>
            <w:tcBorders>
              <w:bottom w:val="single" w:sz="8" w:color="0077C0"/>
            </w:tcBorders>
          </w:tcPr>
          <w:p>
            <w:pPr>
              <w:spacing w:after="0"/>
              <w:rPr>
                <w:sz w:val="16"/>
                <w:szCs w:val="16"/>
                <w:color w:val="auto"/>
              </w:rPr>
            </w:pPr>
          </w:p>
        </w:tc>
        <w:tc>
          <w:tcPr>
            <w:tcW w:w="20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vMerge w:val="continue"/>
          </w:tcPr>
          <w:p>
            <w:pPr>
              <w:spacing w:after="0"/>
              <w:rPr>
                <w:sz w:val="16"/>
                <w:szCs w:val="16"/>
                <w:color w:val="auto"/>
              </w:rPr>
            </w:pPr>
          </w:p>
        </w:tc>
        <w:tc>
          <w:tcPr>
            <w:tcW w:w="200" w:type="dxa"/>
            <w:vAlign w:val="bottom"/>
            <w:tcBorders>
              <w:bottom w:val="single" w:sz="8" w:color="0077C0"/>
            </w:tcBorders>
          </w:tcPr>
          <w:p>
            <w:pPr>
              <w:spacing w:after="0"/>
              <w:rPr>
                <w:sz w:val="16"/>
                <w:szCs w:val="16"/>
                <w:color w:val="auto"/>
              </w:rPr>
            </w:pPr>
          </w:p>
        </w:tc>
        <w:tc>
          <w:tcPr>
            <w:tcW w:w="560" w:type="dxa"/>
            <w:vAlign w:val="bottom"/>
            <w:tcBorders>
              <w:bottom w:val="single" w:sz="8" w:color="0077C0"/>
            </w:tcBorders>
            <w:vMerge w:val="continue"/>
          </w:tcPr>
          <w:p>
            <w:pPr>
              <w:spacing w:after="0"/>
              <w:rPr>
                <w:sz w:val="16"/>
                <w:szCs w:val="16"/>
                <w:color w:val="auto"/>
              </w:rPr>
            </w:pPr>
          </w:p>
        </w:tc>
        <w:tc>
          <w:tcPr>
            <w:tcW w:w="100" w:type="dxa"/>
            <w:vAlign w:val="bottom"/>
            <w:tcBorders>
              <w:bottom w:val="single" w:sz="8" w:color="0077C0"/>
            </w:tcBorders>
          </w:tcPr>
          <w:p>
            <w:pPr>
              <w:spacing w:after="0"/>
              <w:rPr>
                <w:sz w:val="16"/>
                <w:szCs w:val="16"/>
                <w:color w:val="auto"/>
              </w:rPr>
            </w:pPr>
          </w:p>
        </w:tc>
        <w:tc>
          <w:tcPr>
            <w:tcW w:w="220" w:type="dxa"/>
            <w:vAlign w:val="bottom"/>
            <w:tcBorders>
              <w:bottom w:val="single" w:sz="8" w:color="0077C0"/>
            </w:tcBorders>
          </w:tcPr>
          <w:p>
            <w:pPr>
              <w:spacing w:after="0"/>
              <w:rPr>
                <w:sz w:val="16"/>
                <w:szCs w:val="16"/>
                <w:color w:val="auto"/>
              </w:rPr>
            </w:pPr>
          </w:p>
        </w:tc>
        <w:tc>
          <w:tcPr>
            <w:tcW w:w="940" w:type="dxa"/>
            <w:vAlign w:val="bottom"/>
            <w:tcBorders>
              <w:bottom w:val="single" w:sz="8" w:color="0077C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700" w:type="dxa"/>
            <w:vAlign w:val="bottom"/>
          </w:tcPr>
          <w:p>
            <w:pPr>
              <w:ind w:left="20"/>
              <w:spacing w:after="0" w:line="136" w:lineRule="exact"/>
              <w:rPr>
                <w:sz w:val="20"/>
                <w:szCs w:val="20"/>
                <w:color w:val="auto"/>
              </w:rPr>
            </w:pPr>
            <w:r>
              <w:rPr>
                <w:rFonts w:ascii="Times New Roman" w:cs="Times New Roman" w:eastAsia="Times New Roman" w:hAnsi="Times New Roman"/>
                <w:sz w:val="14"/>
                <w:szCs w:val="14"/>
                <w:b w:val="1"/>
                <w:bCs w:val="1"/>
                <w:color w:val="0077C0"/>
              </w:rPr>
              <w:t>Standardized Measure</w:t>
            </w:r>
          </w:p>
        </w:tc>
        <w:tc>
          <w:tcPr>
            <w:tcW w:w="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54,788</w:t>
            </w: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12,218</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6,102</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9,491</w:t>
            </w:r>
          </w:p>
        </w:tc>
        <w:tc>
          <w:tcPr>
            <w:tcW w:w="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35,155</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118,757</w:t>
            </w:r>
          </w:p>
        </w:tc>
        <w:tc>
          <w:tcPr>
            <w:tcW w:w="100" w:type="dxa"/>
            <w:vAlign w:val="bottom"/>
          </w:tcPr>
          <w:p>
            <w:pPr>
              <w:spacing w:after="0"/>
              <w:rPr>
                <w:sz w:val="11"/>
                <w:szCs w:val="11"/>
                <w:color w:val="auto"/>
              </w:rPr>
            </w:pPr>
          </w:p>
        </w:tc>
        <w:tc>
          <w:tcPr>
            <w:tcW w:w="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23,489</w:t>
            </w:r>
          </w:p>
        </w:tc>
        <w:tc>
          <w:tcPr>
            <w:tcW w:w="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2,762</w:t>
            </w:r>
          </w:p>
        </w:tc>
        <w:tc>
          <w:tcPr>
            <w:tcW w:w="100" w:type="dxa"/>
            <w:vAlign w:val="bottom"/>
          </w:tcPr>
          <w:p>
            <w:pPr>
              <w:spacing w:after="0"/>
              <w:rPr>
                <w:sz w:val="11"/>
                <w:szCs w:val="11"/>
                <w:color w:val="auto"/>
              </w:rPr>
            </w:pPr>
          </w:p>
        </w:tc>
        <w:tc>
          <w:tcPr>
            <w:tcW w:w="2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145,008</w:t>
            </w:r>
          </w:p>
        </w:tc>
        <w:tc>
          <w:tcPr>
            <w:tcW w:w="0" w:type="dxa"/>
            <w:vAlign w:val="bottom"/>
          </w:tcPr>
          <w:p>
            <w:pPr>
              <w:spacing w:after="0"/>
              <w:rPr>
                <w:sz w:val="1"/>
                <w:szCs w:val="1"/>
                <w:color w:val="auto"/>
              </w:rPr>
            </w:pPr>
          </w:p>
        </w:tc>
      </w:tr>
      <w:tr>
        <w:trPr>
          <w:trHeight w:val="195"/>
        </w:trPr>
        <w:tc>
          <w:tcPr>
            <w:tcW w:w="2700" w:type="dxa"/>
            <w:vAlign w:val="bottom"/>
            <w:tcBorders>
              <w:bottom w:val="single" w:sz="8" w:color="0077C0"/>
            </w:tcBorders>
          </w:tcPr>
          <w:p>
            <w:pPr>
              <w:ind w:left="100"/>
              <w:spacing w:after="0"/>
              <w:rPr>
                <w:sz w:val="20"/>
                <w:szCs w:val="20"/>
                <w:color w:val="auto"/>
              </w:rPr>
            </w:pPr>
            <w:r>
              <w:rPr>
                <w:rFonts w:ascii="Times New Roman" w:cs="Times New Roman" w:eastAsia="Times New Roman" w:hAnsi="Times New Roman"/>
                <w:sz w:val="14"/>
                <w:szCs w:val="14"/>
                <w:b w:val="1"/>
                <w:bCs w:val="1"/>
                <w:color w:val="0077C0"/>
              </w:rPr>
              <w:t>Net Cash Flows</w:t>
            </w:r>
          </w:p>
        </w:tc>
        <w:tc>
          <w:tcPr>
            <w:tcW w:w="200" w:type="dxa"/>
            <w:vAlign w:val="bottom"/>
            <w:tcBorders>
              <w:bottom w:val="single" w:sz="8" w:color="0077C0"/>
            </w:tcBorders>
            <w:vMerge w:val="continue"/>
          </w:tcPr>
          <w:p>
            <w:pPr>
              <w:spacing w:after="0"/>
              <w:rPr>
                <w:sz w:val="16"/>
                <w:szCs w:val="16"/>
                <w:color w:val="auto"/>
              </w:rPr>
            </w:pPr>
          </w:p>
        </w:tc>
        <w:tc>
          <w:tcPr>
            <w:tcW w:w="640" w:type="dxa"/>
            <w:vAlign w:val="bottom"/>
            <w:tcBorders>
              <w:bottom w:val="single" w:sz="8" w:color="0077C0"/>
            </w:tcBorders>
            <w:vMerge w:val="continue"/>
          </w:tcPr>
          <w:p>
            <w:pPr>
              <w:spacing w:after="0"/>
              <w:rPr>
                <w:sz w:val="16"/>
                <w:szCs w:val="16"/>
                <w:color w:val="auto"/>
              </w:rPr>
            </w:pPr>
          </w:p>
        </w:tc>
        <w:tc>
          <w:tcPr>
            <w:tcW w:w="180" w:type="dxa"/>
            <w:vAlign w:val="bottom"/>
            <w:tcBorders>
              <w:bottom w:val="single" w:sz="8" w:color="0077C0"/>
            </w:tcBorders>
            <w:vMerge w:val="continue"/>
          </w:tcPr>
          <w:p>
            <w:pPr>
              <w:spacing w:after="0"/>
              <w:rPr>
                <w:sz w:val="16"/>
                <w:szCs w:val="16"/>
                <w:color w:val="auto"/>
              </w:rPr>
            </w:pPr>
          </w:p>
        </w:tc>
        <w:tc>
          <w:tcPr>
            <w:tcW w:w="640" w:type="dxa"/>
            <w:vAlign w:val="bottom"/>
            <w:tcBorders>
              <w:bottom w:val="single" w:sz="8" w:color="0077C0"/>
            </w:tcBorders>
            <w:vMerge w:val="continue"/>
          </w:tcPr>
          <w:p>
            <w:pPr>
              <w:spacing w:after="0"/>
              <w:rPr>
                <w:sz w:val="16"/>
                <w:szCs w:val="16"/>
                <w:color w:val="auto"/>
              </w:rPr>
            </w:pPr>
          </w:p>
        </w:tc>
        <w:tc>
          <w:tcPr>
            <w:tcW w:w="160" w:type="dxa"/>
            <w:vAlign w:val="bottom"/>
            <w:tcBorders>
              <w:bottom w:val="single" w:sz="8" w:color="0077C0"/>
            </w:tcBorders>
            <w:vMerge w:val="continue"/>
          </w:tcPr>
          <w:p>
            <w:pPr>
              <w:spacing w:after="0"/>
              <w:rPr>
                <w:sz w:val="16"/>
                <w:szCs w:val="16"/>
                <w:color w:val="auto"/>
              </w:rPr>
            </w:pPr>
          </w:p>
        </w:tc>
        <w:tc>
          <w:tcPr>
            <w:tcW w:w="600" w:type="dxa"/>
            <w:vAlign w:val="bottom"/>
            <w:tcBorders>
              <w:bottom w:val="single" w:sz="8" w:color="0077C0"/>
            </w:tcBorders>
            <w:vMerge w:val="continue"/>
          </w:tcPr>
          <w:p>
            <w:pPr>
              <w:spacing w:after="0"/>
              <w:rPr>
                <w:sz w:val="16"/>
                <w:szCs w:val="16"/>
                <w:color w:val="auto"/>
              </w:rPr>
            </w:pPr>
          </w:p>
        </w:tc>
        <w:tc>
          <w:tcPr>
            <w:tcW w:w="140" w:type="dxa"/>
            <w:vAlign w:val="bottom"/>
            <w:tcBorders>
              <w:bottom w:val="single" w:sz="8" w:color="0077C0"/>
            </w:tcBorders>
            <w:vMerge w:val="continue"/>
          </w:tcPr>
          <w:p>
            <w:pPr>
              <w:spacing w:after="0"/>
              <w:rPr>
                <w:sz w:val="16"/>
                <w:szCs w:val="16"/>
                <w:color w:val="auto"/>
              </w:rPr>
            </w:pPr>
          </w:p>
        </w:tc>
        <w:tc>
          <w:tcPr>
            <w:tcW w:w="600" w:type="dxa"/>
            <w:vAlign w:val="bottom"/>
            <w:tcBorders>
              <w:bottom w:val="single" w:sz="8" w:color="0077C0"/>
            </w:tcBorders>
            <w:vMerge w:val="continue"/>
          </w:tcPr>
          <w:p>
            <w:pPr>
              <w:spacing w:after="0"/>
              <w:rPr>
                <w:sz w:val="16"/>
                <w:szCs w:val="16"/>
                <w:color w:val="auto"/>
              </w:rPr>
            </w:pPr>
          </w:p>
        </w:tc>
        <w:tc>
          <w:tcPr>
            <w:tcW w:w="200" w:type="dxa"/>
            <w:vAlign w:val="bottom"/>
            <w:tcBorders>
              <w:bottom w:val="single" w:sz="8" w:color="0077C0"/>
            </w:tcBorders>
            <w:vMerge w:val="continue"/>
          </w:tcPr>
          <w:p>
            <w:pPr>
              <w:spacing w:after="0"/>
              <w:rPr>
                <w:sz w:val="16"/>
                <w:szCs w:val="16"/>
                <w:color w:val="auto"/>
              </w:rPr>
            </w:pPr>
          </w:p>
        </w:tc>
        <w:tc>
          <w:tcPr>
            <w:tcW w:w="680" w:type="dxa"/>
            <w:vAlign w:val="bottom"/>
            <w:tcBorders>
              <w:bottom w:val="single" w:sz="8" w:color="0077C0"/>
            </w:tcBorders>
            <w:vMerge w:val="continue"/>
          </w:tcPr>
          <w:p>
            <w:pPr>
              <w:spacing w:after="0"/>
              <w:rPr>
                <w:sz w:val="16"/>
                <w:szCs w:val="16"/>
                <w:color w:val="auto"/>
              </w:rPr>
            </w:pPr>
          </w:p>
        </w:tc>
        <w:tc>
          <w:tcPr>
            <w:tcW w:w="80" w:type="dxa"/>
            <w:vAlign w:val="bottom"/>
            <w:tcBorders>
              <w:bottom w:val="single" w:sz="8" w:color="0077C0"/>
            </w:tcBorders>
            <w:vMerge w:val="continue"/>
          </w:tcPr>
          <w:p>
            <w:pPr>
              <w:spacing w:after="0"/>
              <w:rPr>
                <w:sz w:val="16"/>
                <w:szCs w:val="16"/>
                <w:color w:val="auto"/>
              </w:rPr>
            </w:pPr>
          </w:p>
        </w:tc>
        <w:tc>
          <w:tcPr>
            <w:tcW w:w="660" w:type="dxa"/>
            <w:vAlign w:val="bottom"/>
            <w:tcBorders>
              <w:bottom w:val="single" w:sz="8" w:color="0077C0"/>
            </w:tcBorders>
            <w:vMerge w:val="continue"/>
          </w:tcPr>
          <w:p>
            <w:pPr>
              <w:spacing w:after="0"/>
              <w:rPr>
                <w:sz w:val="16"/>
                <w:szCs w:val="16"/>
                <w:color w:val="auto"/>
              </w:rPr>
            </w:pPr>
          </w:p>
        </w:tc>
        <w:tc>
          <w:tcPr>
            <w:tcW w:w="160" w:type="dxa"/>
            <w:vAlign w:val="bottom"/>
            <w:tcBorders>
              <w:bottom w:val="single" w:sz="8" w:color="0077C0"/>
            </w:tcBorders>
            <w:vMerge w:val="continue"/>
          </w:tcPr>
          <w:p>
            <w:pPr>
              <w:spacing w:after="0"/>
              <w:rPr>
                <w:sz w:val="16"/>
                <w:szCs w:val="16"/>
                <w:color w:val="auto"/>
              </w:rPr>
            </w:pPr>
          </w:p>
        </w:tc>
        <w:tc>
          <w:tcPr>
            <w:tcW w:w="660" w:type="dxa"/>
            <w:vAlign w:val="bottom"/>
            <w:tcBorders>
              <w:bottom w:val="single" w:sz="8" w:color="0077C0"/>
            </w:tcBorders>
            <w:vMerge w:val="continue"/>
          </w:tcPr>
          <w:p>
            <w:pPr>
              <w:spacing w:after="0"/>
              <w:rPr>
                <w:sz w:val="16"/>
                <w:szCs w:val="16"/>
                <w:color w:val="auto"/>
              </w:rPr>
            </w:pPr>
          </w:p>
        </w:tc>
        <w:tc>
          <w:tcPr>
            <w:tcW w:w="100" w:type="dxa"/>
            <w:vAlign w:val="bottom"/>
            <w:tcBorders>
              <w:bottom w:val="single" w:sz="8" w:color="0077C0"/>
            </w:tcBorders>
          </w:tcPr>
          <w:p>
            <w:pPr>
              <w:spacing w:after="0"/>
              <w:rPr>
                <w:sz w:val="16"/>
                <w:szCs w:val="16"/>
                <w:color w:val="auto"/>
              </w:rPr>
            </w:pPr>
          </w:p>
        </w:tc>
        <w:tc>
          <w:tcPr>
            <w:tcW w:w="200" w:type="dxa"/>
            <w:vAlign w:val="bottom"/>
            <w:tcBorders>
              <w:bottom w:val="single" w:sz="8" w:color="0077C0"/>
            </w:tcBorders>
            <w:vMerge w:val="continue"/>
          </w:tcPr>
          <w:p>
            <w:pPr>
              <w:spacing w:after="0"/>
              <w:rPr>
                <w:sz w:val="16"/>
                <w:szCs w:val="16"/>
                <w:color w:val="auto"/>
              </w:rPr>
            </w:pPr>
          </w:p>
        </w:tc>
        <w:tc>
          <w:tcPr>
            <w:tcW w:w="620" w:type="dxa"/>
            <w:vAlign w:val="bottom"/>
            <w:tcBorders>
              <w:bottom w:val="single" w:sz="8" w:color="0077C0"/>
            </w:tcBorders>
            <w:vMerge w:val="continue"/>
          </w:tcPr>
          <w:p>
            <w:pPr>
              <w:spacing w:after="0"/>
              <w:rPr>
                <w:sz w:val="16"/>
                <w:szCs w:val="16"/>
                <w:color w:val="auto"/>
              </w:rPr>
            </w:pPr>
          </w:p>
        </w:tc>
        <w:tc>
          <w:tcPr>
            <w:tcW w:w="200" w:type="dxa"/>
            <w:vAlign w:val="bottom"/>
            <w:tcBorders>
              <w:bottom w:val="single" w:sz="8" w:color="0077C0"/>
            </w:tcBorders>
            <w:vMerge w:val="continue"/>
          </w:tcPr>
          <w:p>
            <w:pPr>
              <w:spacing w:after="0"/>
              <w:rPr>
                <w:sz w:val="16"/>
                <w:szCs w:val="16"/>
                <w:color w:val="auto"/>
              </w:rPr>
            </w:pPr>
          </w:p>
        </w:tc>
        <w:tc>
          <w:tcPr>
            <w:tcW w:w="560" w:type="dxa"/>
            <w:vAlign w:val="bottom"/>
            <w:tcBorders>
              <w:bottom w:val="single" w:sz="8" w:color="0077C0"/>
            </w:tcBorders>
            <w:vMerge w:val="continue"/>
          </w:tcPr>
          <w:p>
            <w:pPr>
              <w:spacing w:after="0"/>
              <w:rPr>
                <w:sz w:val="16"/>
                <w:szCs w:val="16"/>
                <w:color w:val="auto"/>
              </w:rPr>
            </w:pPr>
          </w:p>
        </w:tc>
        <w:tc>
          <w:tcPr>
            <w:tcW w:w="100" w:type="dxa"/>
            <w:vAlign w:val="bottom"/>
            <w:tcBorders>
              <w:bottom w:val="single" w:sz="8" w:color="0077C0"/>
            </w:tcBorders>
          </w:tcPr>
          <w:p>
            <w:pPr>
              <w:spacing w:after="0"/>
              <w:rPr>
                <w:sz w:val="16"/>
                <w:szCs w:val="16"/>
                <w:color w:val="auto"/>
              </w:rPr>
            </w:pPr>
          </w:p>
        </w:tc>
        <w:tc>
          <w:tcPr>
            <w:tcW w:w="220" w:type="dxa"/>
            <w:vAlign w:val="bottom"/>
            <w:tcBorders>
              <w:bottom w:val="single" w:sz="8" w:color="0077C0"/>
            </w:tcBorders>
            <w:vMerge w:val="continue"/>
          </w:tcPr>
          <w:p>
            <w:pPr>
              <w:spacing w:after="0"/>
              <w:rPr>
                <w:sz w:val="16"/>
                <w:szCs w:val="16"/>
                <w:color w:val="auto"/>
              </w:rPr>
            </w:pPr>
          </w:p>
        </w:tc>
        <w:tc>
          <w:tcPr>
            <w:tcW w:w="940" w:type="dxa"/>
            <w:vAlign w:val="bottom"/>
            <w:tcBorders>
              <w:bottom w:val="single" w:sz="8" w:color="0077C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0077C0"/>
              </w:rPr>
              <w:t>At December 31, 2022</w:t>
            </w: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Future cash inflows from production</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257,478</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76,940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55,865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67,188</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147,839</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5,920</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611,230</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106,114</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22,630</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739,974</w:t>
            </w:r>
          </w:p>
        </w:tc>
        <w:tc>
          <w:tcPr>
            <w:tcW w:w="0" w:type="dxa"/>
            <w:vAlign w:val="bottom"/>
          </w:tcPr>
          <w:p>
            <w:pPr>
              <w:spacing w:after="0"/>
              <w:rPr>
                <w:sz w:val="1"/>
                <w:szCs w:val="1"/>
                <w:color w:val="auto"/>
              </w:rPr>
            </w:pPr>
          </w:p>
        </w:tc>
      </w:tr>
      <w:tr>
        <w:trPr>
          <w:trHeight w:val="203"/>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Future production costs</w:t>
            </w: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(51,022)</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(22,744)</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(16,373)</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(12,261)</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(13,313)</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w:t>
            </w:r>
          </w:p>
        </w:tc>
        <w:tc>
          <w:tcPr>
            <w:tcW w:w="160" w:type="dxa"/>
            <w:vAlign w:val="bottom"/>
          </w:tcPr>
          <w:p>
            <w:pPr>
              <w:spacing w:after="0"/>
              <w:rPr>
                <w:sz w:val="17"/>
                <w:szCs w:val="17"/>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(116,782)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(28,046)</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(145,402)</w:t>
            </w:r>
          </w:p>
        </w:tc>
        <w:tc>
          <w:tcPr>
            <w:tcW w:w="0" w:type="dxa"/>
            <w:vAlign w:val="bottom"/>
          </w:tcPr>
          <w:p>
            <w:pPr>
              <w:spacing w:after="0"/>
              <w:rPr>
                <w:sz w:val="1"/>
                <w:szCs w:val="1"/>
                <w:color w:val="auto"/>
              </w:rPr>
            </w:pPr>
          </w:p>
        </w:tc>
      </w:tr>
      <w:tr>
        <w:trPr>
          <w:trHeight w:val="203"/>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Future development costs</w:t>
            </w: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(20,907)</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(3,233)</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(2,657)</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(2,879)</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(5,030)</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160" w:type="dxa"/>
            <w:vAlign w:val="bottom"/>
          </w:tcPr>
          <w:p>
            <w:pPr>
              <w:spacing w:after="0"/>
              <w:rPr>
                <w:sz w:val="17"/>
                <w:szCs w:val="17"/>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(35,208)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(4,127)</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(39,343)</w:t>
            </w:r>
          </w:p>
        </w:tc>
        <w:tc>
          <w:tcPr>
            <w:tcW w:w="0" w:type="dxa"/>
            <w:vAlign w:val="bottom"/>
          </w:tcPr>
          <w:p>
            <w:pPr>
              <w:spacing w:after="0"/>
              <w:rPr>
                <w:sz w:val="1"/>
                <w:szCs w:val="1"/>
                <w:color w:val="auto"/>
              </w:rPr>
            </w:pPr>
          </w:p>
        </w:tc>
      </w:tr>
      <w:tr>
        <w:trPr>
          <w:trHeight w:val="203"/>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Future income taxes</w:t>
            </w: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(40,096)</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(13,207)</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(26,160)</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(30,674)</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(38,861)</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(2,827)</w:t>
            </w:r>
          </w:p>
        </w:tc>
        <w:tc>
          <w:tcPr>
            <w:tcW w:w="160" w:type="dxa"/>
            <w:vAlign w:val="bottom"/>
          </w:tcPr>
          <w:p>
            <w:pPr>
              <w:spacing w:after="0"/>
              <w:rPr>
                <w:sz w:val="17"/>
                <w:szCs w:val="17"/>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(151,825)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(22,182)</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(181,714)</w:t>
            </w:r>
          </w:p>
        </w:tc>
        <w:tc>
          <w:tcPr>
            <w:tcW w:w="0" w:type="dxa"/>
            <w:vAlign w:val="bottom"/>
          </w:tcPr>
          <w:p>
            <w:pPr>
              <w:spacing w:after="0"/>
              <w:rPr>
                <w:sz w:val="1"/>
                <w:szCs w:val="1"/>
                <w:color w:val="auto"/>
              </w:rPr>
            </w:pPr>
          </w:p>
        </w:tc>
      </w:tr>
      <w:tr>
        <w:trPr>
          <w:trHeight w:val="23"/>
        </w:trPr>
        <w:tc>
          <w:tcPr>
            <w:tcW w:w="270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18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16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14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680" w:type="dxa"/>
            <w:vAlign w:val="bottom"/>
            <w:tcBorders>
              <w:bottom w:val="single" w:sz="8" w:color="0077C0"/>
            </w:tcBorders>
          </w:tcPr>
          <w:p>
            <w:pPr>
              <w:spacing w:after="0"/>
              <w:rPr>
                <w:sz w:val="2"/>
                <w:szCs w:val="2"/>
                <w:color w:val="auto"/>
              </w:rPr>
            </w:pPr>
          </w:p>
        </w:tc>
        <w:tc>
          <w:tcPr>
            <w:tcW w:w="8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160" w:type="dxa"/>
            <w:vAlign w:val="bottom"/>
            <w:tcBorders>
              <w:bottom w:val="single" w:sz="8" w:color="0077C0"/>
            </w:tcBorders>
          </w:tcPr>
          <w:p>
            <w:pPr>
              <w:spacing w:after="0"/>
              <w:rPr>
                <w:sz w:val="2"/>
                <w:szCs w:val="2"/>
                <w:color w:val="auto"/>
              </w:rPr>
            </w:pPr>
          </w:p>
        </w:tc>
        <w:tc>
          <w:tcPr>
            <w:tcW w:w="660" w:type="dxa"/>
            <w:vAlign w:val="bottom"/>
            <w:tcBorders>
              <w:bottom w:val="single" w:sz="8" w:color="0077C0"/>
            </w:tcBorders>
          </w:tcPr>
          <w:p>
            <w:pPr>
              <w:spacing w:after="0"/>
              <w:rPr>
                <w:sz w:val="2"/>
                <w:szCs w:val="2"/>
                <w:color w:val="auto"/>
              </w:rPr>
            </w:pPr>
          </w:p>
        </w:tc>
        <w:tc>
          <w:tcPr>
            <w:tcW w:w="10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200" w:type="dxa"/>
            <w:vAlign w:val="bottom"/>
            <w:tcBorders>
              <w:bottom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100" w:type="dxa"/>
            <w:vAlign w:val="bottom"/>
            <w:tcBorders>
              <w:bottom w:val="single" w:sz="8" w:color="0077C0"/>
            </w:tcBorders>
          </w:tcPr>
          <w:p>
            <w:pPr>
              <w:spacing w:after="0"/>
              <w:rPr>
                <w:sz w:val="2"/>
                <w:szCs w:val="2"/>
                <w:color w:val="auto"/>
              </w:rPr>
            </w:pPr>
          </w:p>
        </w:tc>
        <w:tc>
          <w:tcPr>
            <w:tcW w:w="220" w:type="dxa"/>
            <w:vAlign w:val="bottom"/>
            <w:tcBorders>
              <w:bottom w:val="single" w:sz="8" w:color="0077C0"/>
            </w:tcBorders>
          </w:tcPr>
          <w:p>
            <w:pPr>
              <w:spacing w:after="0"/>
              <w:rPr>
                <w:sz w:val="2"/>
                <w:szCs w:val="2"/>
                <w:color w:val="auto"/>
              </w:rPr>
            </w:pPr>
          </w:p>
        </w:tc>
        <w:tc>
          <w:tcPr>
            <w:tcW w:w="94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Undiscounted future net cash flows</w:t>
            </w:r>
          </w:p>
        </w:tc>
        <w:tc>
          <w:tcPr>
            <w:tcW w:w="200" w:type="dxa"/>
            <w:vAlign w:val="bottom"/>
          </w:tcPr>
          <w:p>
            <w:pPr>
              <w:spacing w:after="0"/>
              <w:rPr>
                <w:sz w:val="15"/>
                <w:szCs w:val="15"/>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145,453</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37,756</w:t>
            </w:r>
          </w:p>
        </w:tc>
        <w:tc>
          <w:tcPr>
            <w:tcW w:w="160" w:type="dxa"/>
            <w:vAlign w:val="bottom"/>
          </w:tcPr>
          <w:p>
            <w:pPr>
              <w:spacing w:after="0"/>
              <w:rPr>
                <w:sz w:val="15"/>
                <w:szCs w:val="15"/>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10,675</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21,374</w:t>
            </w:r>
          </w:p>
        </w:tc>
        <w:tc>
          <w:tcPr>
            <w:tcW w:w="200" w:type="dxa"/>
            <w:vAlign w:val="bottom"/>
          </w:tcPr>
          <w:p>
            <w:pPr>
              <w:spacing w:after="0"/>
              <w:rPr>
                <w:sz w:val="15"/>
                <w:szCs w:val="15"/>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90,635</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1,522</w:t>
            </w:r>
          </w:p>
        </w:tc>
        <w:tc>
          <w:tcPr>
            <w:tcW w:w="160" w:type="dxa"/>
            <w:vAlign w:val="bottom"/>
          </w:tcPr>
          <w:p>
            <w:pPr>
              <w:spacing w:after="0"/>
              <w:rPr>
                <w:sz w:val="15"/>
                <w:szCs w:val="15"/>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307,415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51,759</w:t>
            </w:r>
          </w:p>
        </w:tc>
        <w:tc>
          <w:tcPr>
            <w:tcW w:w="200" w:type="dxa"/>
            <w:vAlign w:val="bottom"/>
          </w:tcPr>
          <w:p>
            <w:pPr>
              <w:spacing w:after="0"/>
              <w:rPr>
                <w:sz w:val="15"/>
                <w:szCs w:val="15"/>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14,341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373,515</w:t>
            </w:r>
          </w:p>
        </w:tc>
        <w:tc>
          <w:tcPr>
            <w:tcW w:w="0" w:type="dxa"/>
            <w:vAlign w:val="bottom"/>
          </w:tcPr>
          <w:p>
            <w:pPr>
              <w:spacing w:after="0"/>
              <w:rPr>
                <w:sz w:val="1"/>
                <w:szCs w:val="1"/>
                <w:color w:val="auto"/>
              </w:rPr>
            </w:pPr>
          </w:p>
        </w:tc>
      </w:tr>
      <w:tr>
        <w:trPr>
          <w:trHeight w:val="154"/>
        </w:trPr>
        <w:tc>
          <w:tcPr>
            <w:tcW w:w="270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10 percent midyear annual discount for</w:t>
            </w:r>
          </w:p>
        </w:tc>
        <w:tc>
          <w:tcPr>
            <w:tcW w:w="2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(62,918)</w:t>
            </w:r>
          </w:p>
        </w:tc>
        <w:tc>
          <w:tcPr>
            <w:tcW w:w="1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(22,165)</w:t>
            </w: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(3,001)</w:t>
            </w:r>
          </w:p>
        </w:tc>
        <w:tc>
          <w:tcPr>
            <w:tcW w:w="14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(10,769)</w:t>
            </w:r>
          </w:p>
        </w:tc>
        <w:tc>
          <w:tcPr>
            <w:tcW w:w="2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(37,519)</w:t>
            </w:r>
          </w:p>
        </w:tc>
        <w:tc>
          <w:tcPr>
            <w:tcW w:w="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160" w:type="dxa"/>
            <w:vAlign w:val="bottom"/>
          </w:tcPr>
          <w:p>
            <w:pPr>
              <w:spacing w:after="0"/>
              <w:rPr>
                <w:sz w:val="13"/>
                <w:szCs w:val="13"/>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(136,943)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(18,810)</w:t>
            </w:r>
          </w:p>
        </w:tc>
        <w:tc>
          <w:tcPr>
            <w:tcW w:w="20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(5,824)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auto"/>
              </w:rPr>
              <w:t>(161,577)</w:t>
            </w:r>
          </w:p>
        </w:tc>
        <w:tc>
          <w:tcPr>
            <w:tcW w:w="0" w:type="dxa"/>
            <w:vAlign w:val="bottom"/>
          </w:tcPr>
          <w:p>
            <w:pPr>
              <w:spacing w:after="0"/>
              <w:rPr>
                <w:sz w:val="1"/>
                <w:szCs w:val="1"/>
                <w:color w:val="auto"/>
              </w:rPr>
            </w:pPr>
          </w:p>
        </w:tc>
      </w:tr>
      <w:tr>
        <w:trPr>
          <w:trHeight w:val="193"/>
        </w:trPr>
        <w:tc>
          <w:tcPr>
            <w:tcW w:w="2700" w:type="dxa"/>
            <w:vAlign w:val="bottom"/>
            <w:tcBorders>
              <w:bottom w:val="single" w:sz="8" w:color="0077C0"/>
            </w:tcBorders>
          </w:tcPr>
          <w:p>
            <w:pPr>
              <w:ind w:left="180"/>
              <w:spacing w:after="0"/>
              <w:rPr>
                <w:sz w:val="20"/>
                <w:szCs w:val="20"/>
                <w:color w:val="auto"/>
              </w:rPr>
            </w:pPr>
            <w:r>
              <w:rPr>
                <w:rFonts w:ascii="Times New Roman" w:cs="Times New Roman" w:eastAsia="Times New Roman" w:hAnsi="Times New Roman"/>
                <w:sz w:val="14"/>
                <w:szCs w:val="14"/>
                <w:color w:val="auto"/>
              </w:rPr>
              <w:t>timing of estimated cash flows</w:t>
            </w:r>
          </w:p>
        </w:tc>
        <w:tc>
          <w:tcPr>
            <w:tcW w:w="20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vMerge w:val="continue"/>
          </w:tcPr>
          <w:p>
            <w:pPr>
              <w:spacing w:after="0"/>
              <w:rPr>
                <w:sz w:val="16"/>
                <w:szCs w:val="16"/>
                <w:color w:val="auto"/>
              </w:rPr>
            </w:pPr>
          </w:p>
        </w:tc>
        <w:tc>
          <w:tcPr>
            <w:tcW w:w="18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vMerge w:val="continue"/>
          </w:tcPr>
          <w:p>
            <w:pPr>
              <w:spacing w:after="0"/>
              <w:rPr>
                <w:sz w:val="16"/>
                <w:szCs w:val="16"/>
                <w:color w:val="auto"/>
              </w:rPr>
            </w:pPr>
          </w:p>
        </w:tc>
        <w:tc>
          <w:tcPr>
            <w:tcW w:w="160" w:type="dxa"/>
            <w:vAlign w:val="bottom"/>
            <w:tcBorders>
              <w:bottom w:val="single" w:sz="8" w:color="0077C0"/>
            </w:tcBorders>
          </w:tcPr>
          <w:p>
            <w:pPr>
              <w:spacing w:after="0"/>
              <w:rPr>
                <w:sz w:val="16"/>
                <w:szCs w:val="16"/>
                <w:color w:val="auto"/>
              </w:rPr>
            </w:pPr>
          </w:p>
        </w:tc>
        <w:tc>
          <w:tcPr>
            <w:tcW w:w="600" w:type="dxa"/>
            <w:vAlign w:val="bottom"/>
            <w:tcBorders>
              <w:bottom w:val="single" w:sz="8" w:color="0077C0"/>
            </w:tcBorders>
            <w:vMerge w:val="continue"/>
          </w:tcPr>
          <w:p>
            <w:pPr>
              <w:spacing w:after="0"/>
              <w:rPr>
                <w:sz w:val="16"/>
                <w:szCs w:val="16"/>
                <w:color w:val="auto"/>
              </w:rPr>
            </w:pPr>
          </w:p>
        </w:tc>
        <w:tc>
          <w:tcPr>
            <w:tcW w:w="140" w:type="dxa"/>
            <w:vAlign w:val="bottom"/>
            <w:tcBorders>
              <w:bottom w:val="single" w:sz="8" w:color="0077C0"/>
            </w:tcBorders>
          </w:tcPr>
          <w:p>
            <w:pPr>
              <w:spacing w:after="0"/>
              <w:rPr>
                <w:sz w:val="16"/>
                <w:szCs w:val="16"/>
                <w:color w:val="auto"/>
              </w:rPr>
            </w:pPr>
          </w:p>
        </w:tc>
        <w:tc>
          <w:tcPr>
            <w:tcW w:w="600" w:type="dxa"/>
            <w:vAlign w:val="bottom"/>
            <w:tcBorders>
              <w:bottom w:val="single" w:sz="8" w:color="0077C0"/>
            </w:tcBorders>
            <w:vMerge w:val="continue"/>
          </w:tcPr>
          <w:p>
            <w:pPr>
              <w:spacing w:after="0"/>
              <w:rPr>
                <w:sz w:val="16"/>
                <w:szCs w:val="16"/>
                <w:color w:val="auto"/>
              </w:rPr>
            </w:pPr>
          </w:p>
        </w:tc>
        <w:tc>
          <w:tcPr>
            <w:tcW w:w="20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vMerge w:val="continue"/>
          </w:tcPr>
          <w:p>
            <w:pPr>
              <w:spacing w:after="0"/>
              <w:rPr>
                <w:sz w:val="16"/>
                <w:szCs w:val="16"/>
                <w:color w:val="auto"/>
              </w:rPr>
            </w:pPr>
          </w:p>
        </w:tc>
        <w:tc>
          <w:tcPr>
            <w:tcW w:w="80" w:type="dxa"/>
            <w:vAlign w:val="bottom"/>
            <w:tcBorders>
              <w:bottom w:val="single" w:sz="8" w:color="0077C0"/>
            </w:tcBorders>
          </w:tcPr>
          <w:p>
            <w:pPr>
              <w:spacing w:after="0"/>
              <w:rPr>
                <w:sz w:val="16"/>
                <w:szCs w:val="16"/>
                <w:color w:val="auto"/>
              </w:rPr>
            </w:pPr>
          </w:p>
        </w:tc>
        <w:tc>
          <w:tcPr>
            <w:tcW w:w="660" w:type="dxa"/>
            <w:vAlign w:val="bottom"/>
            <w:tcBorders>
              <w:bottom w:val="single" w:sz="8" w:color="0077C0"/>
            </w:tcBorders>
            <w:vMerge w:val="continue"/>
          </w:tcPr>
          <w:p>
            <w:pPr>
              <w:spacing w:after="0"/>
              <w:rPr>
                <w:sz w:val="16"/>
                <w:szCs w:val="16"/>
                <w:color w:val="auto"/>
              </w:rPr>
            </w:pPr>
          </w:p>
        </w:tc>
        <w:tc>
          <w:tcPr>
            <w:tcW w:w="160" w:type="dxa"/>
            <w:vAlign w:val="bottom"/>
            <w:tcBorders>
              <w:bottom w:val="single" w:sz="8" w:color="0077C0"/>
            </w:tcBorders>
          </w:tcPr>
          <w:p>
            <w:pPr>
              <w:spacing w:after="0"/>
              <w:rPr>
                <w:sz w:val="16"/>
                <w:szCs w:val="16"/>
                <w:color w:val="auto"/>
              </w:rPr>
            </w:pPr>
          </w:p>
        </w:tc>
        <w:tc>
          <w:tcPr>
            <w:tcW w:w="660" w:type="dxa"/>
            <w:vAlign w:val="bottom"/>
            <w:tcBorders>
              <w:bottom w:val="single" w:sz="8" w:color="0077C0"/>
            </w:tcBorders>
            <w:vMerge w:val="continue"/>
          </w:tcPr>
          <w:p>
            <w:pPr>
              <w:spacing w:after="0"/>
              <w:rPr>
                <w:sz w:val="16"/>
                <w:szCs w:val="16"/>
                <w:color w:val="auto"/>
              </w:rPr>
            </w:pPr>
          </w:p>
        </w:tc>
        <w:tc>
          <w:tcPr>
            <w:tcW w:w="100" w:type="dxa"/>
            <w:vAlign w:val="bottom"/>
            <w:tcBorders>
              <w:bottom w:val="single" w:sz="8" w:color="0077C0"/>
            </w:tcBorders>
          </w:tcPr>
          <w:p>
            <w:pPr>
              <w:spacing w:after="0"/>
              <w:rPr>
                <w:sz w:val="16"/>
                <w:szCs w:val="16"/>
                <w:color w:val="auto"/>
              </w:rPr>
            </w:pPr>
          </w:p>
        </w:tc>
        <w:tc>
          <w:tcPr>
            <w:tcW w:w="20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vMerge w:val="continue"/>
          </w:tcPr>
          <w:p>
            <w:pPr>
              <w:spacing w:after="0"/>
              <w:rPr>
                <w:sz w:val="16"/>
                <w:szCs w:val="16"/>
                <w:color w:val="auto"/>
              </w:rPr>
            </w:pPr>
          </w:p>
        </w:tc>
        <w:tc>
          <w:tcPr>
            <w:tcW w:w="200" w:type="dxa"/>
            <w:vAlign w:val="bottom"/>
            <w:tcBorders>
              <w:bottom w:val="single" w:sz="8" w:color="0077C0"/>
            </w:tcBorders>
          </w:tcPr>
          <w:p>
            <w:pPr>
              <w:spacing w:after="0"/>
              <w:rPr>
                <w:sz w:val="16"/>
                <w:szCs w:val="16"/>
                <w:color w:val="auto"/>
              </w:rPr>
            </w:pPr>
          </w:p>
        </w:tc>
        <w:tc>
          <w:tcPr>
            <w:tcW w:w="560" w:type="dxa"/>
            <w:vAlign w:val="bottom"/>
            <w:tcBorders>
              <w:bottom w:val="single" w:sz="8" w:color="0077C0"/>
            </w:tcBorders>
            <w:vMerge w:val="continue"/>
          </w:tcPr>
          <w:p>
            <w:pPr>
              <w:spacing w:after="0"/>
              <w:rPr>
                <w:sz w:val="16"/>
                <w:szCs w:val="16"/>
                <w:color w:val="auto"/>
              </w:rPr>
            </w:pPr>
          </w:p>
        </w:tc>
        <w:tc>
          <w:tcPr>
            <w:tcW w:w="100" w:type="dxa"/>
            <w:vAlign w:val="bottom"/>
            <w:tcBorders>
              <w:bottom w:val="single" w:sz="8" w:color="0077C0"/>
            </w:tcBorders>
          </w:tcPr>
          <w:p>
            <w:pPr>
              <w:spacing w:after="0"/>
              <w:rPr>
                <w:sz w:val="16"/>
                <w:szCs w:val="16"/>
                <w:color w:val="auto"/>
              </w:rPr>
            </w:pPr>
          </w:p>
        </w:tc>
        <w:tc>
          <w:tcPr>
            <w:tcW w:w="220" w:type="dxa"/>
            <w:vAlign w:val="bottom"/>
            <w:tcBorders>
              <w:bottom w:val="single" w:sz="8" w:color="0077C0"/>
            </w:tcBorders>
          </w:tcPr>
          <w:p>
            <w:pPr>
              <w:spacing w:after="0"/>
              <w:rPr>
                <w:sz w:val="16"/>
                <w:szCs w:val="16"/>
                <w:color w:val="auto"/>
              </w:rPr>
            </w:pPr>
          </w:p>
        </w:tc>
        <w:tc>
          <w:tcPr>
            <w:tcW w:w="940" w:type="dxa"/>
            <w:vAlign w:val="bottom"/>
            <w:tcBorders>
              <w:bottom w:val="single" w:sz="8" w:color="0077C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700" w:type="dxa"/>
            <w:vAlign w:val="bottom"/>
          </w:tcPr>
          <w:p>
            <w:pPr>
              <w:ind w:left="20"/>
              <w:spacing w:after="0" w:line="136" w:lineRule="exact"/>
              <w:rPr>
                <w:sz w:val="20"/>
                <w:szCs w:val="20"/>
                <w:color w:val="auto"/>
              </w:rPr>
            </w:pPr>
            <w:r>
              <w:rPr>
                <w:rFonts w:ascii="Times New Roman" w:cs="Times New Roman" w:eastAsia="Times New Roman" w:hAnsi="Times New Roman"/>
                <w:sz w:val="14"/>
                <w:szCs w:val="14"/>
                <w:b w:val="1"/>
                <w:bCs w:val="1"/>
                <w:color w:val="0077C0"/>
              </w:rPr>
              <w:t>Standardized Measure</w:t>
            </w:r>
          </w:p>
        </w:tc>
        <w:tc>
          <w:tcPr>
            <w:tcW w:w="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82,535</w:t>
            </w: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15,591</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7,674</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10,605</w:t>
            </w:r>
          </w:p>
        </w:tc>
        <w:tc>
          <w:tcPr>
            <w:tcW w:w="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53,116</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951</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170,472</w:t>
            </w:r>
          </w:p>
        </w:tc>
        <w:tc>
          <w:tcPr>
            <w:tcW w:w="100" w:type="dxa"/>
            <w:vAlign w:val="bottom"/>
          </w:tcPr>
          <w:p>
            <w:pPr>
              <w:spacing w:after="0"/>
              <w:rPr>
                <w:sz w:val="11"/>
                <w:szCs w:val="11"/>
                <w:color w:val="auto"/>
              </w:rPr>
            </w:pPr>
          </w:p>
        </w:tc>
        <w:tc>
          <w:tcPr>
            <w:tcW w:w="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32,949</w:t>
            </w:r>
          </w:p>
        </w:tc>
        <w:tc>
          <w:tcPr>
            <w:tcW w:w="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8,517</w:t>
            </w:r>
          </w:p>
        </w:tc>
        <w:tc>
          <w:tcPr>
            <w:tcW w:w="100" w:type="dxa"/>
            <w:vAlign w:val="bottom"/>
          </w:tcPr>
          <w:p>
            <w:pPr>
              <w:spacing w:after="0"/>
              <w:rPr>
                <w:sz w:val="11"/>
                <w:szCs w:val="11"/>
                <w:color w:val="auto"/>
              </w:rPr>
            </w:pPr>
          </w:p>
        </w:tc>
        <w:tc>
          <w:tcPr>
            <w:tcW w:w="2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rPr>
              <w:t>211,938</w:t>
            </w:r>
          </w:p>
        </w:tc>
        <w:tc>
          <w:tcPr>
            <w:tcW w:w="0" w:type="dxa"/>
            <w:vAlign w:val="bottom"/>
          </w:tcPr>
          <w:p>
            <w:pPr>
              <w:spacing w:after="0"/>
              <w:rPr>
                <w:sz w:val="1"/>
                <w:szCs w:val="1"/>
                <w:color w:val="auto"/>
              </w:rPr>
            </w:pPr>
          </w:p>
        </w:tc>
      </w:tr>
      <w:tr>
        <w:trPr>
          <w:trHeight w:val="195"/>
        </w:trPr>
        <w:tc>
          <w:tcPr>
            <w:tcW w:w="2700" w:type="dxa"/>
            <w:vAlign w:val="bottom"/>
            <w:tcBorders>
              <w:bottom w:val="single" w:sz="8" w:color="0077C0"/>
            </w:tcBorders>
          </w:tcPr>
          <w:p>
            <w:pPr>
              <w:ind w:left="100"/>
              <w:spacing w:after="0"/>
              <w:rPr>
                <w:sz w:val="20"/>
                <w:szCs w:val="20"/>
                <w:color w:val="auto"/>
              </w:rPr>
            </w:pPr>
            <w:r>
              <w:rPr>
                <w:rFonts w:ascii="Times New Roman" w:cs="Times New Roman" w:eastAsia="Times New Roman" w:hAnsi="Times New Roman"/>
                <w:sz w:val="14"/>
                <w:szCs w:val="14"/>
                <w:b w:val="1"/>
                <w:bCs w:val="1"/>
                <w:color w:val="0077C0"/>
              </w:rPr>
              <w:t>Net Cash Flows</w:t>
            </w:r>
          </w:p>
        </w:tc>
        <w:tc>
          <w:tcPr>
            <w:tcW w:w="200" w:type="dxa"/>
            <w:vAlign w:val="bottom"/>
            <w:tcBorders>
              <w:bottom w:val="single" w:sz="8" w:color="0077C0"/>
            </w:tcBorders>
            <w:vMerge w:val="continue"/>
          </w:tcPr>
          <w:p>
            <w:pPr>
              <w:spacing w:after="0"/>
              <w:rPr>
                <w:sz w:val="16"/>
                <w:szCs w:val="16"/>
                <w:color w:val="auto"/>
              </w:rPr>
            </w:pPr>
          </w:p>
        </w:tc>
        <w:tc>
          <w:tcPr>
            <w:tcW w:w="640" w:type="dxa"/>
            <w:vAlign w:val="bottom"/>
            <w:tcBorders>
              <w:bottom w:val="single" w:sz="8" w:color="0077C0"/>
            </w:tcBorders>
            <w:vMerge w:val="continue"/>
          </w:tcPr>
          <w:p>
            <w:pPr>
              <w:spacing w:after="0"/>
              <w:rPr>
                <w:sz w:val="16"/>
                <w:szCs w:val="16"/>
                <w:color w:val="auto"/>
              </w:rPr>
            </w:pPr>
          </w:p>
        </w:tc>
        <w:tc>
          <w:tcPr>
            <w:tcW w:w="180" w:type="dxa"/>
            <w:vAlign w:val="bottom"/>
            <w:tcBorders>
              <w:bottom w:val="single" w:sz="8" w:color="0077C0"/>
            </w:tcBorders>
            <w:vMerge w:val="continue"/>
          </w:tcPr>
          <w:p>
            <w:pPr>
              <w:spacing w:after="0"/>
              <w:rPr>
                <w:sz w:val="16"/>
                <w:szCs w:val="16"/>
                <w:color w:val="auto"/>
              </w:rPr>
            </w:pPr>
          </w:p>
        </w:tc>
        <w:tc>
          <w:tcPr>
            <w:tcW w:w="640" w:type="dxa"/>
            <w:vAlign w:val="bottom"/>
            <w:tcBorders>
              <w:bottom w:val="single" w:sz="8" w:color="0077C0"/>
            </w:tcBorders>
            <w:vMerge w:val="continue"/>
          </w:tcPr>
          <w:p>
            <w:pPr>
              <w:spacing w:after="0"/>
              <w:rPr>
                <w:sz w:val="16"/>
                <w:szCs w:val="16"/>
                <w:color w:val="auto"/>
              </w:rPr>
            </w:pPr>
          </w:p>
        </w:tc>
        <w:tc>
          <w:tcPr>
            <w:tcW w:w="160" w:type="dxa"/>
            <w:vAlign w:val="bottom"/>
            <w:tcBorders>
              <w:bottom w:val="single" w:sz="8" w:color="0077C0"/>
            </w:tcBorders>
            <w:vMerge w:val="continue"/>
          </w:tcPr>
          <w:p>
            <w:pPr>
              <w:spacing w:after="0"/>
              <w:rPr>
                <w:sz w:val="16"/>
                <w:szCs w:val="16"/>
                <w:color w:val="auto"/>
              </w:rPr>
            </w:pPr>
          </w:p>
        </w:tc>
        <w:tc>
          <w:tcPr>
            <w:tcW w:w="600" w:type="dxa"/>
            <w:vAlign w:val="bottom"/>
            <w:tcBorders>
              <w:bottom w:val="single" w:sz="8" w:color="0077C0"/>
            </w:tcBorders>
            <w:vMerge w:val="continue"/>
          </w:tcPr>
          <w:p>
            <w:pPr>
              <w:spacing w:after="0"/>
              <w:rPr>
                <w:sz w:val="16"/>
                <w:szCs w:val="16"/>
                <w:color w:val="auto"/>
              </w:rPr>
            </w:pPr>
          </w:p>
        </w:tc>
        <w:tc>
          <w:tcPr>
            <w:tcW w:w="140" w:type="dxa"/>
            <w:vAlign w:val="bottom"/>
            <w:tcBorders>
              <w:bottom w:val="single" w:sz="8" w:color="0077C0"/>
            </w:tcBorders>
            <w:vMerge w:val="continue"/>
          </w:tcPr>
          <w:p>
            <w:pPr>
              <w:spacing w:after="0"/>
              <w:rPr>
                <w:sz w:val="16"/>
                <w:szCs w:val="16"/>
                <w:color w:val="auto"/>
              </w:rPr>
            </w:pPr>
          </w:p>
        </w:tc>
        <w:tc>
          <w:tcPr>
            <w:tcW w:w="600" w:type="dxa"/>
            <w:vAlign w:val="bottom"/>
            <w:tcBorders>
              <w:bottom w:val="single" w:sz="8" w:color="0077C0"/>
            </w:tcBorders>
            <w:vMerge w:val="continue"/>
          </w:tcPr>
          <w:p>
            <w:pPr>
              <w:spacing w:after="0"/>
              <w:rPr>
                <w:sz w:val="16"/>
                <w:szCs w:val="16"/>
                <w:color w:val="auto"/>
              </w:rPr>
            </w:pPr>
          </w:p>
        </w:tc>
        <w:tc>
          <w:tcPr>
            <w:tcW w:w="200" w:type="dxa"/>
            <w:vAlign w:val="bottom"/>
            <w:tcBorders>
              <w:bottom w:val="single" w:sz="8" w:color="0077C0"/>
            </w:tcBorders>
            <w:vMerge w:val="continue"/>
          </w:tcPr>
          <w:p>
            <w:pPr>
              <w:spacing w:after="0"/>
              <w:rPr>
                <w:sz w:val="16"/>
                <w:szCs w:val="16"/>
                <w:color w:val="auto"/>
              </w:rPr>
            </w:pPr>
          </w:p>
        </w:tc>
        <w:tc>
          <w:tcPr>
            <w:tcW w:w="680" w:type="dxa"/>
            <w:vAlign w:val="bottom"/>
            <w:tcBorders>
              <w:bottom w:val="single" w:sz="8" w:color="0077C0"/>
            </w:tcBorders>
            <w:vMerge w:val="continue"/>
          </w:tcPr>
          <w:p>
            <w:pPr>
              <w:spacing w:after="0"/>
              <w:rPr>
                <w:sz w:val="16"/>
                <w:szCs w:val="16"/>
                <w:color w:val="auto"/>
              </w:rPr>
            </w:pPr>
          </w:p>
        </w:tc>
        <w:tc>
          <w:tcPr>
            <w:tcW w:w="80" w:type="dxa"/>
            <w:vAlign w:val="bottom"/>
            <w:tcBorders>
              <w:bottom w:val="single" w:sz="8" w:color="0077C0"/>
            </w:tcBorders>
            <w:vMerge w:val="continue"/>
          </w:tcPr>
          <w:p>
            <w:pPr>
              <w:spacing w:after="0"/>
              <w:rPr>
                <w:sz w:val="16"/>
                <w:szCs w:val="16"/>
                <w:color w:val="auto"/>
              </w:rPr>
            </w:pPr>
          </w:p>
        </w:tc>
        <w:tc>
          <w:tcPr>
            <w:tcW w:w="660" w:type="dxa"/>
            <w:vAlign w:val="bottom"/>
            <w:tcBorders>
              <w:bottom w:val="single" w:sz="8" w:color="0077C0"/>
            </w:tcBorders>
            <w:vMerge w:val="continue"/>
          </w:tcPr>
          <w:p>
            <w:pPr>
              <w:spacing w:after="0"/>
              <w:rPr>
                <w:sz w:val="16"/>
                <w:szCs w:val="16"/>
                <w:color w:val="auto"/>
              </w:rPr>
            </w:pPr>
          </w:p>
        </w:tc>
        <w:tc>
          <w:tcPr>
            <w:tcW w:w="160" w:type="dxa"/>
            <w:vAlign w:val="bottom"/>
            <w:tcBorders>
              <w:bottom w:val="single" w:sz="8" w:color="0077C0"/>
            </w:tcBorders>
            <w:vMerge w:val="continue"/>
          </w:tcPr>
          <w:p>
            <w:pPr>
              <w:spacing w:after="0"/>
              <w:rPr>
                <w:sz w:val="16"/>
                <w:szCs w:val="16"/>
                <w:color w:val="auto"/>
              </w:rPr>
            </w:pPr>
          </w:p>
        </w:tc>
        <w:tc>
          <w:tcPr>
            <w:tcW w:w="660" w:type="dxa"/>
            <w:vAlign w:val="bottom"/>
            <w:tcBorders>
              <w:bottom w:val="single" w:sz="8" w:color="0077C0"/>
            </w:tcBorders>
            <w:vMerge w:val="continue"/>
          </w:tcPr>
          <w:p>
            <w:pPr>
              <w:spacing w:after="0"/>
              <w:rPr>
                <w:sz w:val="16"/>
                <w:szCs w:val="16"/>
                <w:color w:val="auto"/>
              </w:rPr>
            </w:pPr>
          </w:p>
        </w:tc>
        <w:tc>
          <w:tcPr>
            <w:tcW w:w="100" w:type="dxa"/>
            <w:vAlign w:val="bottom"/>
            <w:tcBorders>
              <w:bottom w:val="single" w:sz="8" w:color="0077C0"/>
            </w:tcBorders>
          </w:tcPr>
          <w:p>
            <w:pPr>
              <w:spacing w:after="0"/>
              <w:rPr>
                <w:sz w:val="16"/>
                <w:szCs w:val="16"/>
                <w:color w:val="auto"/>
              </w:rPr>
            </w:pPr>
          </w:p>
        </w:tc>
        <w:tc>
          <w:tcPr>
            <w:tcW w:w="200" w:type="dxa"/>
            <w:vAlign w:val="bottom"/>
            <w:tcBorders>
              <w:bottom w:val="single" w:sz="8" w:color="0077C0"/>
            </w:tcBorders>
            <w:vMerge w:val="continue"/>
          </w:tcPr>
          <w:p>
            <w:pPr>
              <w:spacing w:after="0"/>
              <w:rPr>
                <w:sz w:val="16"/>
                <w:szCs w:val="16"/>
                <w:color w:val="auto"/>
              </w:rPr>
            </w:pPr>
          </w:p>
        </w:tc>
        <w:tc>
          <w:tcPr>
            <w:tcW w:w="620" w:type="dxa"/>
            <w:vAlign w:val="bottom"/>
            <w:tcBorders>
              <w:bottom w:val="single" w:sz="8" w:color="0077C0"/>
            </w:tcBorders>
            <w:vMerge w:val="continue"/>
          </w:tcPr>
          <w:p>
            <w:pPr>
              <w:spacing w:after="0"/>
              <w:rPr>
                <w:sz w:val="16"/>
                <w:szCs w:val="16"/>
                <w:color w:val="auto"/>
              </w:rPr>
            </w:pPr>
          </w:p>
        </w:tc>
        <w:tc>
          <w:tcPr>
            <w:tcW w:w="200" w:type="dxa"/>
            <w:vAlign w:val="bottom"/>
            <w:tcBorders>
              <w:bottom w:val="single" w:sz="8" w:color="0077C0"/>
            </w:tcBorders>
            <w:vMerge w:val="continue"/>
          </w:tcPr>
          <w:p>
            <w:pPr>
              <w:spacing w:after="0"/>
              <w:rPr>
                <w:sz w:val="16"/>
                <w:szCs w:val="16"/>
                <w:color w:val="auto"/>
              </w:rPr>
            </w:pPr>
          </w:p>
        </w:tc>
        <w:tc>
          <w:tcPr>
            <w:tcW w:w="560" w:type="dxa"/>
            <w:vAlign w:val="bottom"/>
            <w:tcBorders>
              <w:bottom w:val="single" w:sz="8" w:color="0077C0"/>
            </w:tcBorders>
            <w:vMerge w:val="continue"/>
          </w:tcPr>
          <w:p>
            <w:pPr>
              <w:spacing w:after="0"/>
              <w:rPr>
                <w:sz w:val="16"/>
                <w:szCs w:val="16"/>
                <w:color w:val="auto"/>
              </w:rPr>
            </w:pPr>
          </w:p>
        </w:tc>
        <w:tc>
          <w:tcPr>
            <w:tcW w:w="100" w:type="dxa"/>
            <w:vAlign w:val="bottom"/>
            <w:tcBorders>
              <w:bottom w:val="single" w:sz="8" w:color="0077C0"/>
            </w:tcBorders>
          </w:tcPr>
          <w:p>
            <w:pPr>
              <w:spacing w:after="0"/>
              <w:rPr>
                <w:sz w:val="16"/>
                <w:szCs w:val="16"/>
                <w:color w:val="auto"/>
              </w:rPr>
            </w:pPr>
          </w:p>
        </w:tc>
        <w:tc>
          <w:tcPr>
            <w:tcW w:w="220" w:type="dxa"/>
            <w:vAlign w:val="bottom"/>
            <w:tcBorders>
              <w:bottom w:val="single" w:sz="8" w:color="0077C0"/>
            </w:tcBorders>
            <w:vMerge w:val="continue"/>
          </w:tcPr>
          <w:p>
            <w:pPr>
              <w:spacing w:after="0"/>
              <w:rPr>
                <w:sz w:val="16"/>
                <w:szCs w:val="16"/>
                <w:color w:val="auto"/>
              </w:rPr>
            </w:pPr>
          </w:p>
        </w:tc>
        <w:tc>
          <w:tcPr>
            <w:tcW w:w="940" w:type="dxa"/>
            <w:vAlign w:val="bottom"/>
            <w:tcBorders>
              <w:bottom w:val="single" w:sz="8" w:color="0077C0"/>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16" w:name="page117"/>
    <w:bookmarkEnd w:id="116"/>
    <w:p>
      <w:pPr>
        <w:ind w:left="20"/>
        <w:spacing w:after="0"/>
        <w:tabs>
          <w:tab w:leader="none" w:pos="9360" w:val="left"/>
        </w:tabs>
        <w:rPr>
          <w:sz w:val="20"/>
          <w:szCs w:val="20"/>
          <w:color w:val="auto"/>
        </w:rPr>
      </w:pPr>
      <w:r>
        <w:rPr>
          <w:rFonts w:ascii="Arial" w:cs="Arial" w:eastAsia="Arial" w:hAnsi="Arial"/>
          <w:sz w:val="14"/>
          <w:szCs w:val="14"/>
          <w:color w:val="0077C0"/>
        </w:rPr>
        <w:t>Supplemental Information on Oil and Gas Producing Activities - Unaudited</w:t>
      </w:r>
      <w:r>
        <w:rPr>
          <w:sz w:val="20"/>
          <w:szCs w:val="20"/>
          <w:color w:val="auto"/>
        </w:rPr>
        <w:tab/>
      </w:r>
      <w:r>
        <w:rPr>
          <w:rFonts w:ascii="Arial" w:cs="Arial" w:eastAsia="Arial" w:hAnsi="Arial"/>
          <w:sz w:val="14"/>
          <w:szCs w:val="14"/>
          <w:color w:val="0077C0"/>
        </w:rPr>
        <w:t>Financial 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color w:val="0077C0"/>
        </w:rPr>
        <w:t>Table VII - Changes in the Standardized Measure of Discounted Future Net Cash Flows From Proved Reserves</w:t>
      </w:r>
    </w:p>
    <w:p>
      <w:pPr>
        <w:spacing w:after="0" w:line="109"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The changes in present values between years, which can be significant, reflect changes in estimated proved reserve quantities and prices and assumptions used in forecasting production volumes and costs. Changes in the timing of production are included with “Revisions of previous quantity estimates.”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Total Consolidated and</w:t>
            </w:r>
          </w:p>
        </w:tc>
      </w:tr>
      <w:tr>
        <w:trPr>
          <w:trHeight w:val="203"/>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2400" w:type="dxa"/>
            <w:vAlign w:val="bottom"/>
            <w:gridSpan w:val="3"/>
          </w:tcPr>
          <w:p>
            <w:pPr>
              <w:ind w:left="820"/>
              <w:spacing w:after="0"/>
              <w:rPr>
                <w:sz w:val="20"/>
                <w:szCs w:val="20"/>
                <w:color w:val="auto"/>
              </w:rPr>
            </w:pPr>
            <w:r>
              <w:rPr>
                <w:rFonts w:ascii="Times New Roman" w:cs="Times New Roman" w:eastAsia="Times New Roman" w:hAnsi="Times New Roman"/>
                <w:sz w:val="14"/>
                <w:szCs w:val="14"/>
                <w:color w:val="auto"/>
              </w:rPr>
              <w:t>Consolidated Companies</w:t>
            </w:r>
          </w:p>
        </w:tc>
        <w:tc>
          <w:tcPr>
            <w:tcW w:w="2140" w:type="dxa"/>
            <w:vAlign w:val="bottom"/>
            <w:gridSpan w:val="3"/>
          </w:tcPr>
          <w:p>
            <w:pPr>
              <w:ind w:left="780"/>
              <w:spacing w:after="0"/>
              <w:rPr>
                <w:sz w:val="20"/>
                <w:szCs w:val="20"/>
                <w:color w:val="auto"/>
              </w:rPr>
            </w:pPr>
            <w:r>
              <w:rPr>
                <w:rFonts w:ascii="Times New Roman" w:cs="Times New Roman" w:eastAsia="Times New Roman" w:hAnsi="Times New Roman"/>
                <w:sz w:val="14"/>
                <w:szCs w:val="14"/>
                <w:color w:val="auto"/>
              </w:rPr>
              <w:t>Affiliated Companies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Affiliated Companies</w:t>
            </w:r>
          </w:p>
        </w:tc>
      </w:tr>
      <w:tr>
        <w:trPr>
          <w:trHeight w:val="23"/>
        </w:trPr>
        <w:tc>
          <w:tcPr>
            <w:tcW w:w="4660" w:type="dxa"/>
            <w:vAlign w:val="bottom"/>
            <w:tcBorders>
              <w:bottom w:val="single" w:sz="8" w:color="0077C0"/>
            </w:tcBorders>
          </w:tcPr>
          <w:p>
            <w:pPr>
              <w:spacing w:after="0"/>
              <w:rPr>
                <w:sz w:val="2"/>
                <w:szCs w:val="2"/>
                <w:color w:val="auto"/>
              </w:rPr>
            </w:pPr>
          </w:p>
        </w:tc>
        <w:tc>
          <w:tcPr>
            <w:tcW w:w="1540" w:type="dxa"/>
            <w:vAlign w:val="bottom"/>
            <w:tcBorders>
              <w:bottom w:val="single" w:sz="8" w:color="0077C0"/>
            </w:tcBorders>
          </w:tcPr>
          <w:p>
            <w:pPr>
              <w:spacing w:after="0"/>
              <w:rPr>
                <w:sz w:val="2"/>
                <w:szCs w:val="2"/>
                <w:color w:val="auto"/>
              </w:rPr>
            </w:pPr>
          </w:p>
        </w:tc>
        <w:tc>
          <w:tcPr>
            <w:tcW w:w="740" w:type="dxa"/>
            <w:vAlign w:val="bottom"/>
            <w:tcBorders>
              <w:bottom w:val="single" w:sz="8" w:color="0077C0"/>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0077C0"/>
            </w:tcBorders>
          </w:tcPr>
          <w:p>
            <w:pPr>
              <w:spacing w:after="0"/>
              <w:rPr>
                <w:sz w:val="2"/>
                <w:szCs w:val="2"/>
                <w:color w:val="auto"/>
              </w:rPr>
            </w:pPr>
          </w:p>
        </w:tc>
        <w:tc>
          <w:tcPr>
            <w:tcW w:w="740" w:type="dxa"/>
            <w:vAlign w:val="bottom"/>
            <w:tcBorders>
              <w:bottom w:val="single" w:sz="8" w:color="0077C0"/>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0077C0"/>
            </w:tcBorders>
          </w:tcPr>
          <w:p>
            <w:pPr>
              <w:spacing w:after="0"/>
              <w:rPr>
                <w:sz w:val="2"/>
                <w:szCs w:val="2"/>
                <w:color w:val="auto"/>
              </w:rPr>
            </w:pPr>
          </w:p>
        </w:tc>
        <w:tc>
          <w:tcPr>
            <w:tcW w:w="760" w:type="dxa"/>
            <w:vAlign w:val="bottom"/>
            <w:tcBorders>
              <w:bottom w:val="single" w:sz="8" w:color="0077C0"/>
            </w:tcBorders>
          </w:tcPr>
          <w:p>
            <w:pPr>
              <w:spacing w:after="0"/>
              <w:rPr>
                <w:sz w:val="2"/>
                <w:szCs w:val="2"/>
                <w:color w:val="auto"/>
              </w:rPr>
            </w:pPr>
          </w:p>
        </w:tc>
      </w:tr>
      <w:tr>
        <w:trPr>
          <w:trHeight w:val="184"/>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0077C0"/>
              </w:rPr>
              <w:t>Present Value at January 1, 2022</w:t>
            </w:r>
          </w:p>
        </w:tc>
        <w:tc>
          <w:tcPr>
            <w:tcW w:w="15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103,884</w:t>
            </w:r>
          </w:p>
        </w:tc>
        <w:tc>
          <w:tcPr>
            <w:tcW w:w="120" w:type="dxa"/>
            <w:vAlign w:val="bottom"/>
          </w:tcPr>
          <w:p>
            <w:pPr>
              <w:spacing w:after="0"/>
              <w:rPr>
                <w:sz w:val="15"/>
                <w:szCs w:val="15"/>
                <w:color w:val="auto"/>
              </w:rPr>
            </w:pPr>
          </w:p>
        </w:tc>
        <w:tc>
          <w:tcPr>
            <w:tcW w:w="1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24,991</w:t>
            </w:r>
          </w:p>
        </w:tc>
        <w:tc>
          <w:tcPr>
            <w:tcW w:w="100" w:type="dxa"/>
            <w:vAlign w:val="bottom"/>
          </w:tcPr>
          <w:p>
            <w:pPr>
              <w:spacing w:after="0"/>
              <w:rPr>
                <w:sz w:val="15"/>
                <w:szCs w:val="15"/>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128,875</w:t>
            </w:r>
          </w:p>
        </w:tc>
      </w:tr>
      <w:tr>
        <w:trPr>
          <w:trHeight w:val="191"/>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transfers of oil and gas produced net of production costs</w:t>
            </w:r>
          </w:p>
        </w:tc>
        <w:tc>
          <w:tcPr>
            <w:tcW w:w="15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(53,356)</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(9,127)</w:t>
            </w: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(62,483)</w:t>
            </w:r>
          </w:p>
        </w:tc>
      </w:tr>
      <w:tr>
        <w:trPr>
          <w:trHeight w:val="203"/>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Development costs incurred</w:t>
            </w:r>
          </w:p>
        </w:tc>
        <w:tc>
          <w:tcPr>
            <w:tcW w:w="15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7,962</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2,430</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10,392</w:t>
            </w:r>
          </w:p>
        </w:tc>
      </w:tr>
      <w:tr>
        <w:trPr>
          <w:trHeight w:val="203"/>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reserves</w:t>
            </w:r>
          </w:p>
        </w:tc>
        <w:tc>
          <w:tcPr>
            <w:tcW w:w="15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2,248</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2,248</w:t>
            </w:r>
          </w:p>
        </w:tc>
      </w:tr>
      <w:tr>
        <w:trPr>
          <w:trHeight w:val="203"/>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of reserves</w:t>
            </w:r>
          </w:p>
        </w:tc>
        <w:tc>
          <w:tcPr>
            <w:tcW w:w="15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(1,807)</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(1,807)</w:t>
            </w:r>
          </w:p>
        </w:tc>
      </w:tr>
      <w:tr>
        <w:trPr>
          <w:trHeight w:val="203"/>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Extensions, discoveries and improved recovery less related costs</w:t>
            </w:r>
          </w:p>
        </w:tc>
        <w:tc>
          <w:tcPr>
            <w:tcW w:w="15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16,054</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16,877</w:t>
            </w:r>
          </w:p>
        </w:tc>
      </w:tr>
      <w:tr>
        <w:trPr>
          <w:trHeight w:val="203"/>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Revisions of previous quantity estimates</w:t>
            </w:r>
          </w:p>
        </w:tc>
        <w:tc>
          <w:tcPr>
            <w:tcW w:w="15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5,281</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(1,481)</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3,800</w:t>
            </w:r>
          </w:p>
        </w:tc>
      </w:tr>
      <w:tr>
        <w:trPr>
          <w:trHeight w:val="203"/>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changes in prices, development and production costs</w:t>
            </w:r>
          </w:p>
        </w:tc>
        <w:tc>
          <w:tcPr>
            <w:tcW w:w="15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110,467</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28,052</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138,519</w:t>
            </w:r>
          </w:p>
        </w:tc>
      </w:tr>
      <w:tr>
        <w:trPr>
          <w:trHeight w:val="203"/>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Accretion of discount</w:t>
            </w:r>
          </w:p>
        </w:tc>
        <w:tc>
          <w:tcPr>
            <w:tcW w:w="15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14,075</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3,429</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17,504</w:t>
            </w:r>
          </w:p>
        </w:tc>
      </w:tr>
      <w:tr>
        <w:trPr>
          <w:trHeight w:val="203"/>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income tax</w:t>
            </w:r>
          </w:p>
        </w:tc>
        <w:tc>
          <w:tcPr>
            <w:tcW w:w="15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(34,336)</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(7,651)</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(41,987)</w:t>
            </w:r>
          </w:p>
        </w:tc>
      </w:tr>
      <w:tr>
        <w:trPr>
          <w:trHeight w:val="23"/>
        </w:trPr>
        <w:tc>
          <w:tcPr>
            <w:tcW w:w="4660" w:type="dxa"/>
            <w:vAlign w:val="bottom"/>
            <w:tcBorders>
              <w:bottom w:val="single" w:sz="8" w:color="0077C0"/>
            </w:tcBorders>
          </w:tcPr>
          <w:p>
            <w:pPr>
              <w:spacing w:after="0"/>
              <w:rPr>
                <w:sz w:val="2"/>
                <w:szCs w:val="2"/>
                <w:color w:val="auto"/>
              </w:rPr>
            </w:pPr>
          </w:p>
        </w:tc>
        <w:tc>
          <w:tcPr>
            <w:tcW w:w="1540" w:type="dxa"/>
            <w:vAlign w:val="bottom"/>
            <w:tcBorders>
              <w:bottom w:val="single" w:sz="8" w:color="0077C0"/>
            </w:tcBorders>
          </w:tcPr>
          <w:p>
            <w:pPr>
              <w:spacing w:after="0"/>
              <w:rPr>
                <w:sz w:val="2"/>
                <w:szCs w:val="2"/>
                <w:color w:val="auto"/>
              </w:rPr>
            </w:pPr>
          </w:p>
        </w:tc>
        <w:tc>
          <w:tcPr>
            <w:tcW w:w="740" w:type="dxa"/>
            <w:vAlign w:val="bottom"/>
            <w:tcBorders>
              <w:bottom w:val="single" w:sz="8" w:color="0077C0"/>
            </w:tcBorders>
          </w:tcPr>
          <w:p>
            <w:pPr>
              <w:spacing w:after="0"/>
              <w:rPr>
                <w:sz w:val="2"/>
                <w:szCs w:val="2"/>
                <w:color w:val="auto"/>
              </w:rPr>
            </w:pPr>
          </w:p>
        </w:tc>
        <w:tc>
          <w:tcPr>
            <w:tcW w:w="120" w:type="dxa"/>
            <w:vAlign w:val="bottom"/>
            <w:tcBorders>
              <w:bottom w:val="single" w:sz="8" w:color="0077C0"/>
            </w:tcBorders>
          </w:tcPr>
          <w:p>
            <w:pPr>
              <w:spacing w:after="0"/>
              <w:rPr>
                <w:sz w:val="2"/>
                <w:szCs w:val="2"/>
                <w:color w:val="auto"/>
              </w:rPr>
            </w:pPr>
          </w:p>
        </w:tc>
        <w:tc>
          <w:tcPr>
            <w:tcW w:w="1300" w:type="dxa"/>
            <w:vAlign w:val="bottom"/>
            <w:tcBorders>
              <w:bottom w:val="single" w:sz="8" w:color="0077C0"/>
            </w:tcBorders>
          </w:tcPr>
          <w:p>
            <w:pPr>
              <w:spacing w:after="0"/>
              <w:rPr>
                <w:sz w:val="2"/>
                <w:szCs w:val="2"/>
                <w:color w:val="auto"/>
              </w:rPr>
            </w:pPr>
          </w:p>
        </w:tc>
        <w:tc>
          <w:tcPr>
            <w:tcW w:w="740" w:type="dxa"/>
            <w:vAlign w:val="bottom"/>
            <w:tcBorders>
              <w:bottom w:val="single" w:sz="8" w:color="0077C0"/>
            </w:tcBorders>
          </w:tcPr>
          <w:p>
            <w:pPr>
              <w:spacing w:after="0"/>
              <w:rPr>
                <w:sz w:val="2"/>
                <w:szCs w:val="2"/>
                <w:color w:val="auto"/>
              </w:rPr>
            </w:pPr>
          </w:p>
        </w:tc>
        <w:tc>
          <w:tcPr>
            <w:tcW w:w="100" w:type="dxa"/>
            <w:vAlign w:val="bottom"/>
            <w:tcBorders>
              <w:bottom w:val="single" w:sz="8" w:color="0077C0"/>
            </w:tcBorders>
          </w:tcPr>
          <w:p>
            <w:pPr>
              <w:spacing w:after="0"/>
              <w:rPr>
                <w:sz w:val="2"/>
                <w:szCs w:val="2"/>
                <w:color w:val="auto"/>
              </w:rPr>
            </w:pPr>
          </w:p>
        </w:tc>
        <w:tc>
          <w:tcPr>
            <w:tcW w:w="1280" w:type="dxa"/>
            <w:vAlign w:val="bottom"/>
            <w:tcBorders>
              <w:bottom w:val="single" w:sz="8" w:color="0077C0"/>
            </w:tcBorders>
          </w:tcPr>
          <w:p>
            <w:pPr>
              <w:spacing w:after="0"/>
              <w:rPr>
                <w:sz w:val="2"/>
                <w:szCs w:val="2"/>
                <w:color w:val="auto"/>
              </w:rPr>
            </w:pPr>
          </w:p>
        </w:tc>
        <w:tc>
          <w:tcPr>
            <w:tcW w:w="760" w:type="dxa"/>
            <w:vAlign w:val="bottom"/>
            <w:tcBorders>
              <w:bottom w:val="single" w:sz="8" w:color="0077C0"/>
            </w:tcBorders>
          </w:tcPr>
          <w:p>
            <w:pPr>
              <w:spacing w:after="0"/>
              <w:rPr>
                <w:sz w:val="2"/>
                <w:szCs w:val="2"/>
                <w:color w:val="auto"/>
              </w:rPr>
            </w:pPr>
          </w:p>
        </w:tc>
      </w:tr>
      <w:tr>
        <w:trPr>
          <w:trHeight w:val="189"/>
        </w:trPr>
        <w:tc>
          <w:tcPr>
            <w:tcW w:w="46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color w:val="auto"/>
              </w:rPr>
              <w:t>Net Change for 2022</w:t>
            </w:r>
          </w:p>
        </w:tc>
        <w:tc>
          <w:tcPr>
            <w:tcW w:w="1540" w:type="dxa"/>
            <w:vAlign w:val="bottom"/>
            <w:tcBorders>
              <w:bottom w:val="single" w:sz="8" w:color="0077C0"/>
            </w:tcBorders>
          </w:tcPr>
          <w:p>
            <w:pPr>
              <w:spacing w:after="0"/>
              <w:rPr>
                <w:sz w:val="16"/>
                <w:szCs w:val="16"/>
                <w:color w:val="auto"/>
              </w:rPr>
            </w:pPr>
          </w:p>
        </w:tc>
        <w:tc>
          <w:tcPr>
            <w:tcW w:w="7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66,588</w:t>
            </w:r>
          </w:p>
        </w:tc>
        <w:tc>
          <w:tcPr>
            <w:tcW w:w="120" w:type="dxa"/>
            <w:vAlign w:val="bottom"/>
            <w:tcBorders>
              <w:bottom w:val="single" w:sz="8" w:color="0077C0"/>
            </w:tcBorders>
          </w:tcPr>
          <w:p>
            <w:pPr>
              <w:spacing w:after="0"/>
              <w:rPr>
                <w:sz w:val="16"/>
                <w:szCs w:val="16"/>
                <w:color w:val="auto"/>
              </w:rPr>
            </w:pPr>
          </w:p>
        </w:tc>
        <w:tc>
          <w:tcPr>
            <w:tcW w:w="1300" w:type="dxa"/>
            <w:vAlign w:val="bottom"/>
            <w:tcBorders>
              <w:bottom w:val="single" w:sz="8" w:color="0077C0"/>
            </w:tcBorders>
          </w:tcPr>
          <w:p>
            <w:pPr>
              <w:spacing w:after="0"/>
              <w:rPr>
                <w:sz w:val="16"/>
                <w:szCs w:val="16"/>
                <w:color w:val="auto"/>
              </w:rPr>
            </w:pPr>
          </w:p>
        </w:tc>
        <w:tc>
          <w:tcPr>
            <w:tcW w:w="7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16,475</w:t>
            </w:r>
          </w:p>
        </w:tc>
        <w:tc>
          <w:tcPr>
            <w:tcW w:w="100" w:type="dxa"/>
            <w:vAlign w:val="bottom"/>
            <w:tcBorders>
              <w:bottom w:val="single" w:sz="8" w:color="0077C0"/>
            </w:tcBorders>
          </w:tcPr>
          <w:p>
            <w:pPr>
              <w:spacing w:after="0"/>
              <w:rPr>
                <w:sz w:val="16"/>
                <w:szCs w:val="16"/>
                <w:color w:val="auto"/>
              </w:rPr>
            </w:pPr>
          </w:p>
        </w:tc>
        <w:tc>
          <w:tcPr>
            <w:tcW w:w="1280" w:type="dxa"/>
            <w:vAlign w:val="bottom"/>
            <w:tcBorders>
              <w:bottom w:val="single" w:sz="8" w:color="0077C0"/>
            </w:tcBorders>
          </w:tcPr>
          <w:p>
            <w:pPr>
              <w:spacing w:after="0"/>
              <w:rPr>
                <w:sz w:val="16"/>
                <w:szCs w:val="16"/>
                <w:color w:val="auto"/>
              </w:rPr>
            </w:pPr>
          </w:p>
        </w:tc>
        <w:tc>
          <w:tcPr>
            <w:tcW w:w="7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83,063</w:t>
            </w:r>
          </w:p>
        </w:tc>
      </w:tr>
      <w:tr>
        <w:trPr>
          <w:trHeight w:val="190"/>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0077C0"/>
              </w:rPr>
              <w:t>Present Value at December 31, 2022</w:t>
            </w:r>
          </w:p>
        </w:tc>
        <w:tc>
          <w:tcPr>
            <w:tcW w:w="15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170,472</w:t>
            </w:r>
          </w:p>
        </w:tc>
        <w:tc>
          <w:tcPr>
            <w:tcW w:w="120" w:type="dxa"/>
            <w:vAlign w:val="bottom"/>
          </w:tcPr>
          <w:p>
            <w:pPr>
              <w:spacing w:after="0"/>
              <w:rPr>
                <w:sz w:val="16"/>
                <w:szCs w:val="16"/>
                <w:color w:val="auto"/>
              </w:rPr>
            </w:pPr>
          </w:p>
        </w:tc>
        <w:tc>
          <w:tcPr>
            <w:tcW w:w="1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41,466</w:t>
            </w:r>
          </w:p>
        </w:tc>
        <w:tc>
          <w:tcPr>
            <w:tcW w:w="10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211,938</w:t>
            </w:r>
          </w:p>
        </w:tc>
      </w:tr>
      <w:tr>
        <w:trPr>
          <w:trHeight w:val="191"/>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transfers of oil and gas produced net of production costs</w:t>
            </w:r>
          </w:p>
        </w:tc>
        <w:tc>
          <w:tcPr>
            <w:tcW w:w="15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(38,638)</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(6,350)</w:t>
            </w: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(44,988)</w:t>
            </w:r>
          </w:p>
        </w:tc>
      </w:tr>
      <w:tr>
        <w:trPr>
          <w:trHeight w:val="203"/>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Development costs incurred</w:t>
            </w:r>
          </w:p>
        </w:tc>
        <w:tc>
          <w:tcPr>
            <w:tcW w:w="15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11,381</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2,281</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13,662</w:t>
            </w:r>
          </w:p>
        </w:tc>
      </w:tr>
      <w:tr>
        <w:trPr>
          <w:trHeight w:val="203"/>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reserves</w:t>
            </w:r>
          </w:p>
        </w:tc>
        <w:tc>
          <w:tcPr>
            <w:tcW w:w="15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9,628</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9,628</w:t>
            </w:r>
          </w:p>
        </w:tc>
      </w:tr>
      <w:tr>
        <w:trPr>
          <w:trHeight w:val="203"/>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of reserves</w:t>
            </w:r>
          </w:p>
        </w:tc>
        <w:tc>
          <w:tcPr>
            <w:tcW w:w="15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203"/>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Extensions, discoveries and improved recovery less related costs</w:t>
            </w:r>
          </w:p>
        </w:tc>
        <w:tc>
          <w:tcPr>
            <w:tcW w:w="15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7,262</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7,262</w:t>
            </w:r>
          </w:p>
        </w:tc>
      </w:tr>
      <w:tr>
        <w:trPr>
          <w:trHeight w:val="203"/>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Revisions of previous quantity estimates</w:t>
            </w:r>
          </w:p>
        </w:tc>
        <w:tc>
          <w:tcPr>
            <w:tcW w:w="15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(14,389)</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(14,882)</w:t>
            </w:r>
          </w:p>
        </w:tc>
      </w:tr>
      <w:tr>
        <w:trPr>
          <w:trHeight w:val="203"/>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changes in prices, development and production costs</w:t>
            </w:r>
          </w:p>
        </w:tc>
        <w:tc>
          <w:tcPr>
            <w:tcW w:w="15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(80,284)</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(23,517)</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(103,801)</w:t>
            </w:r>
          </w:p>
        </w:tc>
      </w:tr>
      <w:tr>
        <w:trPr>
          <w:trHeight w:val="203"/>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Accretion of discount</w:t>
            </w:r>
          </w:p>
        </w:tc>
        <w:tc>
          <w:tcPr>
            <w:tcW w:w="15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23,306</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5,722</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29,028</w:t>
            </w:r>
          </w:p>
        </w:tc>
      </w:tr>
      <w:tr>
        <w:trPr>
          <w:trHeight w:val="203"/>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income tax</w:t>
            </w:r>
          </w:p>
        </w:tc>
        <w:tc>
          <w:tcPr>
            <w:tcW w:w="15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30,070</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7,142</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37,212</w:t>
            </w:r>
          </w:p>
        </w:tc>
      </w:tr>
      <w:tr>
        <w:trPr>
          <w:trHeight w:val="23"/>
        </w:trPr>
        <w:tc>
          <w:tcPr>
            <w:tcW w:w="4660" w:type="dxa"/>
            <w:vAlign w:val="bottom"/>
            <w:tcBorders>
              <w:bottom w:val="single" w:sz="8" w:color="0077C0"/>
            </w:tcBorders>
          </w:tcPr>
          <w:p>
            <w:pPr>
              <w:spacing w:after="0"/>
              <w:rPr>
                <w:sz w:val="2"/>
                <w:szCs w:val="2"/>
                <w:color w:val="auto"/>
              </w:rPr>
            </w:pPr>
          </w:p>
        </w:tc>
        <w:tc>
          <w:tcPr>
            <w:tcW w:w="1540" w:type="dxa"/>
            <w:vAlign w:val="bottom"/>
            <w:tcBorders>
              <w:bottom w:val="single" w:sz="8" w:color="0077C0"/>
            </w:tcBorders>
          </w:tcPr>
          <w:p>
            <w:pPr>
              <w:spacing w:after="0"/>
              <w:rPr>
                <w:sz w:val="2"/>
                <w:szCs w:val="2"/>
                <w:color w:val="auto"/>
              </w:rPr>
            </w:pPr>
          </w:p>
        </w:tc>
        <w:tc>
          <w:tcPr>
            <w:tcW w:w="740" w:type="dxa"/>
            <w:vAlign w:val="bottom"/>
            <w:tcBorders>
              <w:bottom w:val="single" w:sz="8" w:color="0077C0"/>
            </w:tcBorders>
          </w:tcPr>
          <w:p>
            <w:pPr>
              <w:spacing w:after="0"/>
              <w:rPr>
                <w:sz w:val="2"/>
                <w:szCs w:val="2"/>
                <w:color w:val="auto"/>
              </w:rPr>
            </w:pPr>
          </w:p>
        </w:tc>
        <w:tc>
          <w:tcPr>
            <w:tcW w:w="120" w:type="dxa"/>
            <w:vAlign w:val="bottom"/>
            <w:tcBorders>
              <w:bottom w:val="single" w:sz="8" w:color="0077C0"/>
            </w:tcBorders>
          </w:tcPr>
          <w:p>
            <w:pPr>
              <w:spacing w:after="0"/>
              <w:rPr>
                <w:sz w:val="2"/>
                <w:szCs w:val="2"/>
                <w:color w:val="auto"/>
              </w:rPr>
            </w:pPr>
          </w:p>
        </w:tc>
        <w:tc>
          <w:tcPr>
            <w:tcW w:w="1300" w:type="dxa"/>
            <w:vAlign w:val="bottom"/>
            <w:tcBorders>
              <w:bottom w:val="single" w:sz="8" w:color="0077C0"/>
            </w:tcBorders>
          </w:tcPr>
          <w:p>
            <w:pPr>
              <w:spacing w:after="0"/>
              <w:rPr>
                <w:sz w:val="2"/>
                <w:szCs w:val="2"/>
                <w:color w:val="auto"/>
              </w:rPr>
            </w:pPr>
          </w:p>
        </w:tc>
        <w:tc>
          <w:tcPr>
            <w:tcW w:w="740" w:type="dxa"/>
            <w:vAlign w:val="bottom"/>
            <w:tcBorders>
              <w:bottom w:val="single" w:sz="8" w:color="0077C0"/>
            </w:tcBorders>
          </w:tcPr>
          <w:p>
            <w:pPr>
              <w:spacing w:after="0"/>
              <w:rPr>
                <w:sz w:val="2"/>
                <w:szCs w:val="2"/>
                <w:color w:val="auto"/>
              </w:rPr>
            </w:pPr>
          </w:p>
        </w:tc>
        <w:tc>
          <w:tcPr>
            <w:tcW w:w="100" w:type="dxa"/>
            <w:vAlign w:val="bottom"/>
            <w:tcBorders>
              <w:bottom w:val="single" w:sz="8" w:color="0077C0"/>
            </w:tcBorders>
          </w:tcPr>
          <w:p>
            <w:pPr>
              <w:spacing w:after="0"/>
              <w:rPr>
                <w:sz w:val="2"/>
                <w:szCs w:val="2"/>
                <w:color w:val="auto"/>
              </w:rPr>
            </w:pPr>
          </w:p>
        </w:tc>
        <w:tc>
          <w:tcPr>
            <w:tcW w:w="1280" w:type="dxa"/>
            <w:vAlign w:val="bottom"/>
            <w:tcBorders>
              <w:bottom w:val="single" w:sz="8" w:color="0077C0"/>
            </w:tcBorders>
          </w:tcPr>
          <w:p>
            <w:pPr>
              <w:spacing w:after="0"/>
              <w:rPr>
                <w:sz w:val="2"/>
                <w:szCs w:val="2"/>
                <w:color w:val="auto"/>
              </w:rPr>
            </w:pPr>
          </w:p>
        </w:tc>
        <w:tc>
          <w:tcPr>
            <w:tcW w:w="760" w:type="dxa"/>
            <w:vAlign w:val="bottom"/>
            <w:tcBorders>
              <w:bottom w:val="single" w:sz="8" w:color="0077C0"/>
            </w:tcBorders>
          </w:tcPr>
          <w:p>
            <w:pPr>
              <w:spacing w:after="0"/>
              <w:rPr>
                <w:sz w:val="2"/>
                <w:szCs w:val="2"/>
                <w:color w:val="auto"/>
              </w:rPr>
            </w:pPr>
          </w:p>
        </w:tc>
      </w:tr>
      <w:tr>
        <w:trPr>
          <w:trHeight w:val="190"/>
        </w:trPr>
        <w:tc>
          <w:tcPr>
            <w:tcW w:w="46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color w:val="auto"/>
              </w:rPr>
              <w:t>Net Change for 2023</w:t>
            </w:r>
          </w:p>
        </w:tc>
        <w:tc>
          <w:tcPr>
            <w:tcW w:w="1540" w:type="dxa"/>
            <w:vAlign w:val="bottom"/>
            <w:tcBorders>
              <w:bottom w:val="single" w:sz="8" w:color="0077C0"/>
            </w:tcBorders>
          </w:tcPr>
          <w:p>
            <w:pPr>
              <w:spacing w:after="0"/>
              <w:rPr>
                <w:sz w:val="16"/>
                <w:szCs w:val="16"/>
                <w:color w:val="auto"/>
              </w:rPr>
            </w:pPr>
          </w:p>
        </w:tc>
        <w:tc>
          <w:tcPr>
            <w:tcW w:w="7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(51,715)</w:t>
            </w:r>
          </w:p>
        </w:tc>
        <w:tc>
          <w:tcPr>
            <w:tcW w:w="120" w:type="dxa"/>
            <w:vAlign w:val="bottom"/>
            <w:tcBorders>
              <w:bottom w:val="single" w:sz="8" w:color="0077C0"/>
            </w:tcBorders>
          </w:tcPr>
          <w:p>
            <w:pPr>
              <w:spacing w:after="0"/>
              <w:rPr>
                <w:sz w:val="16"/>
                <w:szCs w:val="16"/>
                <w:color w:val="auto"/>
              </w:rPr>
            </w:pPr>
          </w:p>
        </w:tc>
        <w:tc>
          <w:tcPr>
            <w:tcW w:w="1300" w:type="dxa"/>
            <w:vAlign w:val="bottom"/>
            <w:tcBorders>
              <w:bottom w:val="single" w:sz="8" w:color="0077C0"/>
            </w:tcBorders>
          </w:tcPr>
          <w:p>
            <w:pPr>
              <w:spacing w:after="0"/>
              <w:rPr>
                <w:sz w:val="16"/>
                <w:szCs w:val="16"/>
                <w:color w:val="auto"/>
              </w:rPr>
            </w:pPr>
          </w:p>
        </w:tc>
        <w:tc>
          <w:tcPr>
            <w:tcW w:w="7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(15,215)</w:t>
            </w:r>
          </w:p>
        </w:tc>
        <w:tc>
          <w:tcPr>
            <w:tcW w:w="100" w:type="dxa"/>
            <w:vAlign w:val="bottom"/>
            <w:tcBorders>
              <w:bottom w:val="single" w:sz="8" w:color="0077C0"/>
            </w:tcBorders>
          </w:tcPr>
          <w:p>
            <w:pPr>
              <w:spacing w:after="0"/>
              <w:rPr>
                <w:sz w:val="16"/>
                <w:szCs w:val="16"/>
                <w:color w:val="auto"/>
              </w:rPr>
            </w:pPr>
          </w:p>
        </w:tc>
        <w:tc>
          <w:tcPr>
            <w:tcW w:w="1280" w:type="dxa"/>
            <w:vAlign w:val="bottom"/>
            <w:tcBorders>
              <w:bottom w:val="single" w:sz="8" w:color="0077C0"/>
            </w:tcBorders>
          </w:tcPr>
          <w:p>
            <w:pPr>
              <w:spacing w:after="0"/>
              <w:rPr>
                <w:sz w:val="16"/>
                <w:szCs w:val="16"/>
                <w:color w:val="auto"/>
              </w:rPr>
            </w:pPr>
          </w:p>
        </w:tc>
        <w:tc>
          <w:tcPr>
            <w:tcW w:w="7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(66,930)</w:t>
            </w:r>
          </w:p>
        </w:tc>
      </w:tr>
      <w:tr>
        <w:trPr>
          <w:trHeight w:val="190"/>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0077C0"/>
              </w:rPr>
              <w:t>Present Value at December 31, 2023</w:t>
            </w:r>
          </w:p>
        </w:tc>
        <w:tc>
          <w:tcPr>
            <w:tcW w:w="15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118,757</w:t>
            </w:r>
          </w:p>
        </w:tc>
        <w:tc>
          <w:tcPr>
            <w:tcW w:w="120" w:type="dxa"/>
            <w:vAlign w:val="bottom"/>
          </w:tcPr>
          <w:p>
            <w:pPr>
              <w:spacing w:after="0"/>
              <w:rPr>
                <w:sz w:val="16"/>
                <w:szCs w:val="16"/>
                <w:color w:val="auto"/>
              </w:rPr>
            </w:pPr>
          </w:p>
        </w:tc>
        <w:tc>
          <w:tcPr>
            <w:tcW w:w="1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26,251</w:t>
            </w:r>
          </w:p>
        </w:tc>
        <w:tc>
          <w:tcPr>
            <w:tcW w:w="10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145,008</w:t>
            </w:r>
          </w:p>
        </w:tc>
      </w:tr>
      <w:tr>
        <w:trPr>
          <w:trHeight w:val="191"/>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transfers of oil and gas produced net of production costs</w:t>
            </w:r>
          </w:p>
        </w:tc>
        <w:tc>
          <w:tcPr>
            <w:tcW w:w="15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(38,457)</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(6,242)</w:t>
            </w: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(44,699)</w:t>
            </w:r>
          </w:p>
        </w:tc>
      </w:tr>
      <w:tr>
        <w:trPr>
          <w:trHeight w:val="203"/>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Development costs incurred</w:t>
            </w:r>
          </w:p>
        </w:tc>
        <w:tc>
          <w:tcPr>
            <w:tcW w:w="15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12,809</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1,487</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14,296</w:t>
            </w:r>
          </w:p>
        </w:tc>
      </w:tr>
      <w:tr>
        <w:trPr>
          <w:trHeight w:val="203"/>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reserves</w:t>
            </w:r>
          </w:p>
        </w:tc>
        <w:tc>
          <w:tcPr>
            <w:tcW w:w="15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1,607</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1,607</w:t>
            </w:r>
          </w:p>
        </w:tc>
      </w:tr>
      <w:tr>
        <w:trPr>
          <w:trHeight w:val="203"/>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of reserves</w:t>
            </w:r>
          </w:p>
        </w:tc>
        <w:tc>
          <w:tcPr>
            <w:tcW w:w="15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(8,904)</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(8,904)</w:t>
            </w:r>
          </w:p>
        </w:tc>
      </w:tr>
      <w:tr>
        <w:trPr>
          <w:trHeight w:val="203"/>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Extensions, discoveries and improved recovery less related costs</w:t>
            </w:r>
          </w:p>
        </w:tc>
        <w:tc>
          <w:tcPr>
            <w:tcW w:w="15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7,328</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7,328</w:t>
            </w:r>
          </w:p>
        </w:tc>
      </w:tr>
      <w:tr>
        <w:trPr>
          <w:trHeight w:val="203"/>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Revisions of previous quantity estimates</w:t>
            </w:r>
          </w:p>
        </w:tc>
        <w:tc>
          <w:tcPr>
            <w:tcW w:w="15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2,897</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(154)</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2,743</w:t>
            </w:r>
          </w:p>
        </w:tc>
      </w:tr>
      <w:tr>
        <w:trPr>
          <w:trHeight w:val="203"/>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changes in prices, development and production costs</w:t>
            </w:r>
          </w:p>
        </w:tc>
        <w:tc>
          <w:tcPr>
            <w:tcW w:w="15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(17,755)</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(1,898)</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(19,653)</w:t>
            </w:r>
          </w:p>
        </w:tc>
      </w:tr>
      <w:tr>
        <w:trPr>
          <w:trHeight w:val="203"/>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Accretion of discount</w:t>
            </w:r>
          </w:p>
        </w:tc>
        <w:tc>
          <w:tcPr>
            <w:tcW w:w="15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15,867</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3,601</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19,468</w:t>
            </w:r>
          </w:p>
        </w:tc>
      </w:tr>
      <w:tr>
        <w:trPr>
          <w:trHeight w:val="203"/>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income tax</w:t>
            </w:r>
          </w:p>
        </w:tc>
        <w:tc>
          <w:tcPr>
            <w:tcW w:w="15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1,739</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1,007</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2,746</w:t>
            </w:r>
          </w:p>
        </w:tc>
      </w:tr>
      <w:tr>
        <w:trPr>
          <w:trHeight w:val="23"/>
        </w:trPr>
        <w:tc>
          <w:tcPr>
            <w:tcW w:w="4660" w:type="dxa"/>
            <w:vAlign w:val="bottom"/>
            <w:tcBorders>
              <w:bottom w:val="single" w:sz="8" w:color="0077C0"/>
            </w:tcBorders>
          </w:tcPr>
          <w:p>
            <w:pPr>
              <w:spacing w:after="0"/>
              <w:rPr>
                <w:sz w:val="2"/>
                <w:szCs w:val="2"/>
                <w:color w:val="auto"/>
              </w:rPr>
            </w:pPr>
          </w:p>
        </w:tc>
        <w:tc>
          <w:tcPr>
            <w:tcW w:w="1540" w:type="dxa"/>
            <w:vAlign w:val="bottom"/>
            <w:tcBorders>
              <w:bottom w:val="single" w:sz="8" w:color="0077C0"/>
            </w:tcBorders>
          </w:tcPr>
          <w:p>
            <w:pPr>
              <w:spacing w:after="0"/>
              <w:rPr>
                <w:sz w:val="2"/>
                <w:szCs w:val="2"/>
                <w:color w:val="auto"/>
              </w:rPr>
            </w:pPr>
          </w:p>
        </w:tc>
        <w:tc>
          <w:tcPr>
            <w:tcW w:w="740" w:type="dxa"/>
            <w:vAlign w:val="bottom"/>
            <w:tcBorders>
              <w:bottom w:val="single" w:sz="8" w:color="0077C0"/>
            </w:tcBorders>
          </w:tcPr>
          <w:p>
            <w:pPr>
              <w:spacing w:after="0"/>
              <w:rPr>
                <w:sz w:val="2"/>
                <w:szCs w:val="2"/>
                <w:color w:val="auto"/>
              </w:rPr>
            </w:pPr>
          </w:p>
        </w:tc>
        <w:tc>
          <w:tcPr>
            <w:tcW w:w="120" w:type="dxa"/>
            <w:vAlign w:val="bottom"/>
            <w:tcBorders>
              <w:bottom w:val="single" w:sz="8" w:color="0077C0"/>
            </w:tcBorders>
          </w:tcPr>
          <w:p>
            <w:pPr>
              <w:spacing w:after="0"/>
              <w:rPr>
                <w:sz w:val="2"/>
                <w:szCs w:val="2"/>
                <w:color w:val="auto"/>
              </w:rPr>
            </w:pPr>
          </w:p>
        </w:tc>
        <w:tc>
          <w:tcPr>
            <w:tcW w:w="1300" w:type="dxa"/>
            <w:vAlign w:val="bottom"/>
            <w:tcBorders>
              <w:bottom w:val="single" w:sz="8" w:color="0077C0"/>
            </w:tcBorders>
          </w:tcPr>
          <w:p>
            <w:pPr>
              <w:spacing w:after="0"/>
              <w:rPr>
                <w:sz w:val="2"/>
                <w:szCs w:val="2"/>
                <w:color w:val="auto"/>
              </w:rPr>
            </w:pPr>
          </w:p>
        </w:tc>
        <w:tc>
          <w:tcPr>
            <w:tcW w:w="740" w:type="dxa"/>
            <w:vAlign w:val="bottom"/>
            <w:tcBorders>
              <w:bottom w:val="single" w:sz="8" w:color="0077C0"/>
            </w:tcBorders>
          </w:tcPr>
          <w:p>
            <w:pPr>
              <w:spacing w:after="0"/>
              <w:rPr>
                <w:sz w:val="2"/>
                <w:szCs w:val="2"/>
                <w:color w:val="auto"/>
              </w:rPr>
            </w:pPr>
          </w:p>
        </w:tc>
        <w:tc>
          <w:tcPr>
            <w:tcW w:w="100" w:type="dxa"/>
            <w:vAlign w:val="bottom"/>
            <w:tcBorders>
              <w:bottom w:val="single" w:sz="8" w:color="0077C0"/>
            </w:tcBorders>
          </w:tcPr>
          <w:p>
            <w:pPr>
              <w:spacing w:after="0"/>
              <w:rPr>
                <w:sz w:val="2"/>
                <w:szCs w:val="2"/>
                <w:color w:val="auto"/>
              </w:rPr>
            </w:pPr>
          </w:p>
        </w:tc>
        <w:tc>
          <w:tcPr>
            <w:tcW w:w="1280" w:type="dxa"/>
            <w:vAlign w:val="bottom"/>
            <w:tcBorders>
              <w:bottom w:val="single" w:sz="8" w:color="0077C0"/>
            </w:tcBorders>
          </w:tcPr>
          <w:p>
            <w:pPr>
              <w:spacing w:after="0"/>
              <w:rPr>
                <w:sz w:val="2"/>
                <w:szCs w:val="2"/>
                <w:color w:val="auto"/>
              </w:rPr>
            </w:pPr>
          </w:p>
        </w:tc>
        <w:tc>
          <w:tcPr>
            <w:tcW w:w="760" w:type="dxa"/>
            <w:vAlign w:val="bottom"/>
            <w:tcBorders>
              <w:bottom w:val="single" w:sz="8" w:color="0077C0"/>
            </w:tcBorders>
          </w:tcPr>
          <w:p>
            <w:pPr>
              <w:spacing w:after="0"/>
              <w:rPr>
                <w:sz w:val="2"/>
                <w:szCs w:val="2"/>
                <w:color w:val="auto"/>
              </w:rPr>
            </w:pPr>
          </w:p>
        </w:tc>
      </w:tr>
      <w:tr>
        <w:trPr>
          <w:trHeight w:val="190"/>
        </w:trPr>
        <w:tc>
          <w:tcPr>
            <w:tcW w:w="46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color w:val="auto"/>
              </w:rPr>
              <w:t>Net Change for 2024</w:t>
            </w:r>
          </w:p>
        </w:tc>
        <w:tc>
          <w:tcPr>
            <w:tcW w:w="1540" w:type="dxa"/>
            <w:vAlign w:val="bottom"/>
            <w:tcBorders>
              <w:bottom w:val="single" w:sz="8" w:color="0077C0"/>
            </w:tcBorders>
          </w:tcPr>
          <w:p>
            <w:pPr>
              <w:spacing w:after="0"/>
              <w:rPr>
                <w:sz w:val="16"/>
                <w:szCs w:val="16"/>
                <w:color w:val="auto"/>
              </w:rPr>
            </w:pPr>
          </w:p>
        </w:tc>
        <w:tc>
          <w:tcPr>
            <w:tcW w:w="7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(22,869)</w:t>
            </w:r>
          </w:p>
        </w:tc>
        <w:tc>
          <w:tcPr>
            <w:tcW w:w="120" w:type="dxa"/>
            <w:vAlign w:val="bottom"/>
            <w:tcBorders>
              <w:bottom w:val="single" w:sz="8" w:color="0077C0"/>
            </w:tcBorders>
          </w:tcPr>
          <w:p>
            <w:pPr>
              <w:spacing w:after="0"/>
              <w:rPr>
                <w:sz w:val="16"/>
                <w:szCs w:val="16"/>
                <w:color w:val="auto"/>
              </w:rPr>
            </w:pPr>
          </w:p>
        </w:tc>
        <w:tc>
          <w:tcPr>
            <w:tcW w:w="1300" w:type="dxa"/>
            <w:vAlign w:val="bottom"/>
            <w:tcBorders>
              <w:bottom w:val="single" w:sz="8" w:color="0077C0"/>
            </w:tcBorders>
          </w:tcPr>
          <w:p>
            <w:pPr>
              <w:spacing w:after="0"/>
              <w:rPr>
                <w:sz w:val="16"/>
                <w:szCs w:val="16"/>
                <w:color w:val="auto"/>
              </w:rPr>
            </w:pPr>
          </w:p>
        </w:tc>
        <w:tc>
          <w:tcPr>
            <w:tcW w:w="7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(2,199)</w:t>
            </w:r>
          </w:p>
        </w:tc>
        <w:tc>
          <w:tcPr>
            <w:tcW w:w="100" w:type="dxa"/>
            <w:vAlign w:val="bottom"/>
            <w:tcBorders>
              <w:bottom w:val="single" w:sz="8" w:color="0077C0"/>
            </w:tcBorders>
          </w:tcPr>
          <w:p>
            <w:pPr>
              <w:spacing w:after="0"/>
              <w:rPr>
                <w:sz w:val="16"/>
                <w:szCs w:val="16"/>
                <w:color w:val="auto"/>
              </w:rPr>
            </w:pPr>
          </w:p>
        </w:tc>
        <w:tc>
          <w:tcPr>
            <w:tcW w:w="1280" w:type="dxa"/>
            <w:vAlign w:val="bottom"/>
            <w:tcBorders>
              <w:bottom w:val="single" w:sz="8" w:color="0077C0"/>
            </w:tcBorders>
          </w:tcPr>
          <w:p>
            <w:pPr>
              <w:spacing w:after="0"/>
              <w:rPr>
                <w:sz w:val="16"/>
                <w:szCs w:val="16"/>
                <w:color w:val="auto"/>
              </w:rPr>
            </w:pPr>
          </w:p>
        </w:tc>
        <w:tc>
          <w:tcPr>
            <w:tcW w:w="7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(25,068)</w:t>
            </w:r>
          </w:p>
        </w:tc>
      </w:tr>
      <w:tr>
        <w:trPr>
          <w:trHeight w:val="196"/>
        </w:trPr>
        <w:tc>
          <w:tcPr>
            <w:tcW w:w="466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0077C0"/>
              </w:rPr>
              <w:t>Present Value at December 31, 2024</w:t>
            </w:r>
          </w:p>
        </w:tc>
        <w:tc>
          <w:tcPr>
            <w:tcW w:w="1540" w:type="dxa"/>
            <w:vAlign w:val="bottom"/>
            <w:tcBorders>
              <w:bottom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95,888</w:t>
            </w:r>
          </w:p>
        </w:tc>
        <w:tc>
          <w:tcPr>
            <w:tcW w:w="120" w:type="dxa"/>
            <w:vAlign w:val="bottom"/>
            <w:tcBorders>
              <w:bottom w:val="single" w:sz="8" w:color="0077C0"/>
            </w:tcBorders>
          </w:tcPr>
          <w:p>
            <w:pPr>
              <w:spacing w:after="0"/>
              <w:rPr>
                <w:sz w:val="17"/>
                <w:szCs w:val="17"/>
                <w:color w:val="auto"/>
              </w:rPr>
            </w:pPr>
          </w:p>
        </w:tc>
        <w:tc>
          <w:tcPr>
            <w:tcW w:w="1300" w:type="dxa"/>
            <w:vAlign w:val="bottom"/>
            <w:tcBorders>
              <w:bottom w:val="single" w:sz="8" w:color="0077C0"/>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24,052</w:t>
            </w:r>
          </w:p>
        </w:tc>
        <w:tc>
          <w:tcPr>
            <w:tcW w:w="100" w:type="dxa"/>
            <w:vAlign w:val="bottom"/>
            <w:tcBorders>
              <w:bottom w:val="single" w:sz="8" w:color="0077C0"/>
            </w:tcBorders>
          </w:tcPr>
          <w:p>
            <w:pPr>
              <w:spacing w:after="0"/>
              <w:rPr>
                <w:sz w:val="17"/>
                <w:szCs w:val="17"/>
                <w:color w:val="auto"/>
              </w:rPr>
            </w:pPr>
          </w:p>
        </w:tc>
        <w:tc>
          <w:tcPr>
            <w:tcW w:w="1280" w:type="dxa"/>
            <w:vAlign w:val="bottom"/>
            <w:tcBorders>
              <w:bottom w:val="single" w:sz="8" w:color="0077C0"/>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119,940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17" w:name="page118"/>
    <w:bookmarkEnd w:id="117"/>
    <w:p>
      <w:pPr>
        <w:ind w:left="10100"/>
        <w:spacing w:after="0"/>
        <w:rPr>
          <w:sz w:val="20"/>
          <w:szCs w:val="20"/>
          <w:color w:val="auto"/>
        </w:rPr>
      </w:pPr>
      <w:r>
        <w:rPr>
          <w:rFonts w:ascii="Arial" w:cs="Arial" w:eastAsia="Arial" w:hAnsi="Arial"/>
          <w:sz w:val="14"/>
          <w:szCs w:val="14"/>
          <w:color w:val="0077C0"/>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IV</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9320" w:type="dxa"/>
            <w:vAlign w:val="bottom"/>
          </w:tcPr>
          <w:p>
            <w:pPr>
              <w:spacing w:after="0"/>
              <w:rPr>
                <w:sz w:val="20"/>
                <w:szCs w:val="20"/>
                <w:color w:val="auto"/>
              </w:rPr>
            </w:pPr>
            <w:r>
              <w:rPr>
                <w:rFonts w:ascii="Arial" w:cs="Arial" w:eastAsia="Arial" w:hAnsi="Arial"/>
                <w:sz w:val="18"/>
                <w:szCs w:val="18"/>
                <w:b w:val="1"/>
                <w:bCs w:val="1"/>
                <w:color w:val="0077C0"/>
              </w:rPr>
              <w:t>Item 15. Exhibit and Financial Statement Schedules</w:t>
            </w:r>
          </w:p>
        </w:tc>
        <w:tc>
          <w:tcPr>
            <w:tcW w:w="1920" w:type="dxa"/>
            <w:vAlign w:val="bottom"/>
          </w:tcPr>
          <w:p>
            <w:pPr>
              <w:spacing w:after="0"/>
              <w:rPr>
                <w:sz w:val="21"/>
                <w:szCs w:val="21"/>
                <w:color w:val="auto"/>
              </w:rPr>
            </w:pPr>
          </w:p>
        </w:tc>
      </w:tr>
      <w:tr>
        <w:trPr>
          <w:trHeight w:val="326"/>
        </w:trPr>
        <w:tc>
          <w:tcPr>
            <w:tcW w:w="9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 The following documents are filed as part of this report:</w:t>
            </w:r>
          </w:p>
        </w:tc>
        <w:tc>
          <w:tcPr>
            <w:tcW w:w="1920" w:type="dxa"/>
            <w:vAlign w:val="bottom"/>
          </w:tcPr>
          <w:p>
            <w:pPr>
              <w:spacing w:after="0"/>
              <w:rPr>
                <w:sz w:val="24"/>
                <w:szCs w:val="24"/>
                <w:color w:val="auto"/>
              </w:rPr>
            </w:pPr>
          </w:p>
        </w:tc>
      </w:tr>
      <w:tr>
        <w:trPr>
          <w:trHeight w:val="324"/>
        </w:trPr>
        <w:tc>
          <w:tcPr>
            <w:tcW w:w="9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 Financial Statements:</w:t>
            </w:r>
          </w:p>
        </w:tc>
        <w:tc>
          <w:tcPr>
            <w:tcW w:w="1920" w:type="dxa"/>
            <w:vAlign w:val="bottom"/>
          </w:tcPr>
          <w:p>
            <w:pPr>
              <w:spacing w:after="0"/>
              <w:rPr>
                <w:sz w:val="24"/>
                <w:szCs w:val="24"/>
                <w:color w:val="auto"/>
              </w:rPr>
            </w:pPr>
          </w:p>
        </w:tc>
      </w:tr>
      <w:tr>
        <w:trPr>
          <w:trHeight w:val="351"/>
        </w:trPr>
        <w:tc>
          <w:tcPr>
            <w:tcW w:w="9320" w:type="dxa"/>
            <w:vAlign w:val="bottom"/>
          </w:tcPr>
          <w:p>
            <w:pPr>
              <w:spacing w:after="0"/>
              <w:rPr>
                <w:sz w:val="24"/>
                <w:szCs w:val="24"/>
                <w:color w:val="auto"/>
              </w:rPr>
            </w:pPr>
          </w:p>
        </w:tc>
        <w:tc>
          <w:tcPr>
            <w:tcW w:w="1920" w:type="dxa"/>
            <w:vAlign w:val="bottom"/>
            <w:tcBorders>
              <w:bottom w:val="single" w:sz="8" w:color="0077C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Page(s)</w:t>
            </w:r>
          </w:p>
        </w:tc>
      </w:tr>
      <w:tr>
        <w:trPr>
          <w:trHeight w:val="218"/>
        </w:trPr>
        <w:tc>
          <w:tcPr>
            <w:tcW w:w="9320" w:type="dxa"/>
            <w:vAlign w:val="bottom"/>
          </w:tcPr>
          <w:p>
            <w:pPr>
              <w:ind w:left="20"/>
              <w:spacing w:after="0"/>
              <w:rPr>
                <w:sz w:val="20"/>
                <w:szCs w:val="20"/>
                <w:color w:val="auto"/>
              </w:rPr>
            </w:pPr>
            <w:r>
              <w:rPr>
                <w:rFonts w:ascii="Times New Roman" w:cs="Times New Roman" w:eastAsia="Times New Roman" w:hAnsi="Times New Roman"/>
                <w:sz w:val="18"/>
                <w:szCs w:val="18"/>
                <w:color w:val="0077C0"/>
              </w:rPr>
              <w:t>Report of Independent Registered Public Accounting Firm — PricewaterhouseCoopers LLP</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0077C0"/>
                <w:w w:val="99"/>
              </w:rPr>
              <w:t>62</w:t>
            </w:r>
          </w:p>
        </w:tc>
      </w:tr>
      <w:tr>
        <w:trPr>
          <w:trHeight w:val="230"/>
        </w:trPr>
        <w:tc>
          <w:tcPr>
            <w:tcW w:w="9320" w:type="dxa"/>
            <w:vAlign w:val="bottom"/>
          </w:tcPr>
          <w:p>
            <w:pPr>
              <w:ind w:left="20"/>
              <w:spacing w:after="0"/>
              <w:rPr>
                <w:sz w:val="20"/>
                <w:szCs w:val="20"/>
                <w:color w:val="auto"/>
              </w:rPr>
            </w:pPr>
            <w:r>
              <w:rPr>
                <w:rFonts w:ascii="Times New Roman" w:cs="Times New Roman" w:eastAsia="Times New Roman" w:hAnsi="Times New Roman"/>
                <w:sz w:val="18"/>
                <w:szCs w:val="18"/>
                <w:color w:val="0077C0"/>
              </w:rPr>
              <w:t>Consolidated Statement of Income for the three years ended December 31, 2024</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0077C0"/>
                <w:w w:val="99"/>
              </w:rPr>
              <w:t>64</w:t>
            </w:r>
          </w:p>
        </w:tc>
      </w:tr>
      <w:tr>
        <w:trPr>
          <w:trHeight w:val="229"/>
        </w:trPr>
        <w:tc>
          <w:tcPr>
            <w:tcW w:w="9320" w:type="dxa"/>
            <w:vAlign w:val="bottom"/>
          </w:tcPr>
          <w:p>
            <w:pPr>
              <w:ind w:left="20"/>
              <w:spacing w:after="0"/>
              <w:rPr>
                <w:sz w:val="20"/>
                <w:szCs w:val="20"/>
                <w:color w:val="auto"/>
              </w:rPr>
            </w:pPr>
            <w:r>
              <w:rPr>
                <w:rFonts w:ascii="Times New Roman" w:cs="Times New Roman" w:eastAsia="Times New Roman" w:hAnsi="Times New Roman"/>
                <w:sz w:val="18"/>
                <w:szCs w:val="18"/>
                <w:color w:val="0077C0"/>
              </w:rPr>
              <w:t>Consolidated Statement of Comprehensive Income for the three years ended December 31, 2024</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0077C0"/>
                <w:w w:val="99"/>
              </w:rPr>
              <w:t>65</w:t>
            </w:r>
          </w:p>
        </w:tc>
      </w:tr>
      <w:tr>
        <w:trPr>
          <w:trHeight w:val="230"/>
        </w:trPr>
        <w:tc>
          <w:tcPr>
            <w:tcW w:w="9320" w:type="dxa"/>
            <w:vAlign w:val="bottom"/>
          </w:tcPr>
          <w:p>
            <w:pPr>
              <w:ind w:left="20"/>
              <w:spacing w:after="0"/>
              <w:rPr>
                <w:sz w:val="20"/>
                <w:szCs w:val="20"/>
                <w:color w:val="auto"/>
              </w:rPr>
            </w:pPr>
            <w:r>
              <w:rPr>
                <w:rFonts w:ascii="Times New Roman" w:cs="Times New Roman" w:eastAsia="Times New Roman" w:hAnsi="Times New Roman"/>
                <w:sz w:val="18"/>
                <w:szCs w:val="18"/>
                <w:color w:val="0077C0"/>
              </w:rPr>
              <w:t>Consolidated Balance Sheet at December 31, 2024 and 2023</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0077C0"/>
                <w:w w:val="99"/>
              </w:rPr>
              <w:t>66</w:t>
            </w:r>
          </w:p>
        </w:tc>
      </w:tr>
      <w:tr>
        <w:trPr>
          <w:trHeight w:val="229"/>
        </w:trPr>
        <w:tc>
          <w:tcPr>
            <w:tcW w:w="9320" w:type="dxa"/>
            <w:vAlign w:val="bottom"/>
          </w:tcPr>
          <w:p>
            <w:pPr>
              <w:ind w:left="20"/>
              <w:spacing w:after="0"/>
              <w:rPr>
                <w:sz w:val="20"/>
                <w:szCs w:val="20"/>
                <w:color w:val="auto"/>
              </w:rPr>
            </w:pPr>
            <w:r>
              <w:rPr>
                <w:rFonts w:ascii="Times New Roman" w:cs="Times New Roman" w:eastAsia="Times New Roman" w:hAnsi="Times New Roman"/>
                <w:sz w:val="18"/>
                <w:szCs w:val="18"/>
                <w:color w:val="0077C0"/>
              </w:rPr>
              <w:t>Consolidated Statement of Cash Flows for the three years ended December 31, 2024</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0077C0"/>
                <w:w w:val="99"/>
              </w:rPr>
              <w:t>67</w:t>
            </w:r>
          </w:p>
        </w:tc>
      </w:tr>
      <w:tr>
        <w:trPr>
          <w:trHeight w:val="229"/>
        </w:trPr>
        <w:tc>
          <w:tcPr>
            <w:tcW w:w="9320" w:type="dxa"/>
            <w:vAlign w:val="bottom"/>
          </w:tcPr>
          <w:p>
            <w:pPr>
              <w:ind w:left="20"/>
              <w:spacing w:after="0"/>
              <w:rPr>
                <w:sz w:val="20"/>
                <w:szCs w:val="20"/>
                <w:color w:val="auto"/>
              </w:rPr>
            </w:pPr>
            <w:r>
              <w:rPr>
                <w:rFonts w:ascii="Times New Roman" w:cs="Times New Roman" w:eastAsia="Times New Roman" w:hAnsi="Times New Roman"/>
                <w:sz w:val="18"/>
                <w:szCs w:val="18"/>
                <w:color w:val="0077C0"/>
              </w:rPr>
              <w:t>Consolidated Statement of Equity for the three years ended December 31, 2024</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0077C0"/>
                <w:w w:val="99"/>
              </w:rPr>
              <w:t>68</w:t>
            </w:r>
          </w:p>
        </w:tc>
      </w:tr>
      <w:tr>
        <w:trPr>
          <w:trHeight w:val="234"/>
        </w:trPr>
        <w:tc>
          <w:tcPr>
            <w:tcW w:w="9320" w:type="dxa"/>
            <w:vAlign w:val="bottom"/>
          </w:tcPr>
          <w:p>
            <w:pPr>
              <w:ind w:left="20"/>
              <w:spacing w:after="0"/>
              <w:rPr>
                <w:sz w:val="20"/>
                <w:szCs w:val="20"/>
                <w:color w:val="auto"/>
              </w:rPr>
            </w:pPr>
            <w:r>
              <w:rPr>
                <w:rFonts w:ascii="Times New Roman" w:cs="Times New Roman" w:eastAsia="Times New Roman" w:hAnsi="Times New Roman"/>
                <w:sz w:val="18"/>
                <w:szCs w:val="18"/>
                <w:color w:val="0077C0"/>
              </w:rPr>
              <w:t>Notes to the Consolidated Financial Statements</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0077C0"/>
                <w:w w:val="99"/>
              </w:rPr>
              <w:t>69 to 103</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Included below is Schedule II - Valuation and Qualifying Accounts for each of the three years in the period ended December 31, 2024.</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(3) Exhibits: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Exhibit Index on the following pages lists the exhibits that are filed as part of this report.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Schedule II — Valuation and Qualifying Accounts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Year ended December 31</w:t>
            </w:r>
          </w:p>
        </w:tc>
        <w:tc>
          <w:tcPr>
            <w:tcW w:w="0" w:type="dxa"/>
            <w:vAlign w:val="bottom"/>
          </w:tcPr>
          <w:p>
            <w:pPr>
              <w:spacing w:after="0"/>
              <w:rPr>
                <w:sz w:val="1"/>
                <w:szCs w:val="1"/>
                <w:color w:val="auto"/>
              </w:rPr>
            </w:pPr>
          </w:p>
        </w:tc>
      </w:tr>
      <w:tr>
        <w:trPr>
          <w:trHeight w:val="23"/>
        </w:trPr>
        <w:tc>
          <w:tcPr>
            <w:tcW w:w="6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54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96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80" w:type="dxa"/>
            <w:vAlign w:val="bottom"/>
            <w:tcBorders>
              <w:bottom w:val="single" w:sz="8" w:color="0077C0"/>
            </w:tcBorders>
            <w:vMerge w:val="continue"/>
          </w:tcPr>
          <w:p>
            <w:pPr>
              <w:spacing w:after="0"/>
              <w:rPr>
                <w:sz w:val="16"/>
                <w:szCs w:val="16"/>
                <w:color w:val="auto"/>
              </w:rPr>
            </w:pPr>
          </w:p>
        </w:tc>
        <w:tc>
          <w:tcPr>
            <w:tcW w:w="540" w:type="dxa"/>
            <w:vAlign w:val="bottom"/>
            <w:tcBorders>
              <w:bottom w:val="single" w:sz="8" w:color="0077C0"/>
            </w:tcBorders>
          </w:tcPr>
          <w:p>
            <w:pPr>
              <w:spacing w:after="0"/>
              <w:rPr>
                <w:sz w:val="16"/>
                <w:szCs w:val="16"/>
                <w:color w:val="auto"/>
              </w:rPr>
            </w:pPr>
          </w:p>
        </w:tc>
        <w:tc>
          <w:tcPr>
            <w:tcW w:w="9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0077C0"/>
            </w:tcBorders>
          </w:tcPr>
          <w:p>
            <w:pPr>
              <w:spacing w:after="0"/>
              <w:rPr>
                <w:sz w:val="16"/>
                <w:szCs w:val="16"/>
                <w:color w:val="auto"/>
              </w:rPr>
            </w:pPr>
          </w:p>
        </w:tc>
        <w:tc>
          <w:tcPr>
            <w:tcW w:w="96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600" w:type="dxa"/>
            <w:vAlign w:val="bottom"/>
            <w:tcBorders>
              <w:bottom w:val="single" w:sz="8" w:color="0077C0"/>
            </w:tcBorders>
          </w:tcPr>
          <w:p>
            <w:pPr>
              <w:spacing w:after="0"/>
              <w:rPr>
                <w:sz w:val="16"/>
                <w:szCs w:val="16"/>
                <w:color w:val="auto"/>
              </w:rPr>
            </w:pPr>
          </w:p>
        </w:tc>
        <w:tc>
          <w:tcPr>
            <w:tcW w:w="9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188"/>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Termination Benefits</w:t>
            </w:r>
          </w:p>
        </w:tc>
        <w:tc>
          <w:tcPr>
            <w:tcW w:w="540" w:type="dxa"/>
            <w:vAlign w:val="bottom"/>
          </w:tcPr>
          <w:p>
            <w:pPr>
              <w:spacing w:after="0"/>
              <w:rPr>
                <w:sz w:val="16"/>
                <w:szCs w:val="16"/>
                <w:color w:val="auto"/>
              </w:rPr>
            </w:pPr>
          </w:p>
        </w:tc>
        <w:tc>
          <w:tcPr>
            <w:tcW w:w="920" w:type="dxa"/>
            <w:vAlign w:val="bottom"/>
            <w:tcBorders>
              <w:right w:val="single" w:sz="8" w:color="0077C0"/>
            </w:tcBorders>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January 1</w:t>
            </w:r>
          </w:p>
        </w:tc>
        <w:tc>
          <w:tcPr>
            <w:tcW w:w="54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w:t>
            </w:r>
          </w:p>
        </w:tc>
        <w:tc>
          <w:tcPr>
            <w:tcW w:w="6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c>
          <w:tcPr>
            <w:tcW w:w="6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203"/>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 (reductions) charged to expense</w:t>
            </w:r>
          </w:p>
        </w:tc>
        <w:tc>
          <w:tcPr>
            <w:tcW w:w="540" w:type="dxa"/>
            <w:vAlign w:val="bottom"/>
          </w:tcPr>
          <w:p>
            <w:pPr>
              <w:spacing w:after="0"/>
              <w:rPr>
                <w:sz w:val="17"/>
                <w:szCs w:val="17"/>
                <w:color w:val="auto"/>
              </w:rPr>
            </w:pPr>
          </w:p>
        </w:tc>
        <w:tc>
          <w:tcPr>
            <w:tcW w:w="92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987</w:t>
            </w:r>
          </w:p>
        </w:tc>
        <w:tc>
          <w:tcPr>
            <w:tcW w:w="62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3"/>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w:t>
            </w:r>
          </w:p>
        </w:tc>
        <w:tc>
          <w:tcPr>
            <w:tcW w:w="540" w:type="dxa"/>
            <w:vAlign w:val="bottom"/>
          </w:tcPr>
          <w:p>
            <w:pPr>
              <w:spacing w:after="0"/>
              <w:rPr>
                <w:sz w:val="17"/>
                <w:szCs w:val="17"/>
                <w:color w:val="auto"/>
              </w:rPr>
            </w:pPr>
          </w:p>
        </w:tc>
        <w:tc>
          <w:tcPr>
            <w:tcW w:w="92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62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3"/>
        </w:trPr>
        <w:tc>
          <w:tcPr>
            <w:tcW w:w="6680" w:type="dxa"/>
            <w:vAlign w:val="bottom"/>
            <w:tcBorders>
              <w:bottom w:val="single" w:sz="8" w:color="0077C0"/>
            </w:tcBorders>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920" w:type="dxa"/>
            <w:vAlign w:val="bottom"/>
            <w:tcBorders>
              <w:bottom w:val="single" w:sz="8" w:color="0077C0"/>
              <w:right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96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8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w:t>
            </w:r>
          </w:p>
        </w:tc>
        <w:tc>
          <w:tcPr>
            <w:tcW w:w="540" w:type="dxa"/>
            <w:vAlign w:val="bottom"/>
            <w:tcBorders>
              <w:bottom w:val="single" w:sz="8" w:color="0077C0"/>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990</w:t>
            </w:r>
          </w:p>
        </w:tc>
        <w:tc>
          <w:tcPr>
            <w:tcW w:w="620" w:type="dxa"/>
            <w:vAlign w:val="bottom"/>
            <w:tcBorders>
              <w:bottom w:val="single" w:sz="8" w:color="0077C0"/>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c>
          <w:tcPr>
            <w:tcW w:w="600" w:type="dxa"/>
            <w:vAlign w:val="bottom"/>
            <w:tcBorders>
              <w:bottom w:val="single" w:sz="8" w:color="0077C0"/>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8"/>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Credit Losses</w:t>
            </w:r>
          </w:p>
        </w:tc>
        <w:tc>
          <w:tcPr>
            <w:tcW w:w="540" w:type="dxa"/>
            <w:vAlign w:val="bottom"/>
          </w:tcPr>
          <w:p>
            <w:pPr>
              <w:spacing w:after="0"/>
              <w:rPr>
                <w:sz w:val="16"/>
                <w:szCs w:val="16"/>
                <w:color w:val="auto"/>
              </w:rPr>
            </w:pPr>
          </w:p>
        </w:tc>
        <w:tc>
          <w:tcPr>
            <w:tcW w:w="920" w:type="dxa"/>
            <w:vAlign w:val="bottom"/>
            <w:tcBorders>
              <w:right w:val="single" w:sz="8" w:color="0077C0"/>
            </w:tcBorders>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Beginning allowance balance for expected credit losses</w:t>
            </w:r>
          </w:p>
        </w:tc>
        <w:tc>
          <w:tcPr>
            <w:tcW w:w="54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641</w:t>
            </w:r>
          </w:p>
        </w:tc>
        <w:tc>
          <w:tcPr>
            <w:tcW w:w="6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1,008</w:t>
            </w:r>
          </w:p>
        </w:tc>
        <w:tc>
          <w:tcPr>
            <w:tcW w:w="6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0" w:type="dxa"/>
            <w:vAlign w:val="bottom"/>
          </w:tcPr>
          <w:p>
            <w:pPr>
              <w:spacing w:after="0"/>
              <w:rPr>
                <w:sz w:val="1"/>
                <w:szCs w:val="1"/>
                <w:color w:val="auto"/>
              </w:rPr>
            </w:pPr>
          </w:p>
        </w:tc>
      </w:tr>
      <w:tr>
        <w:trPr>
          <w:trHeight w:val="203"/>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provision</w:t>
            </w:r>
          </w:p>
        </w:tc>
        <w:tc>
          <w:tcPr>
            <w:tcW w:w="540" w:type="dxa"/>
            <w:vAlign w:val="bottom"/>
          </w:tcPr>
          <w:p>
            <w:pPr>
              <w:spacing w:after="0"/>
              <w:rPr>
                <w:sz w:val="17"/>
                <w:szCs w:val="17"/>
                <w:color w:val="auto"/>
              </w:rPr>
            </w:pPr>
          </w:p>
        </w:tc>
        <w:tc>
          <w:tcPr>
            <w:tcW w:w="92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c>
          <w:tcPr>
            <w:tcW w:w="62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(367)</w:t>
            </w: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0" w:type="dxa"/>
            <w:vAlign w:val="bottom"/>
          </w:tcPr>
          <w:p>
            <w:pPr>
              <w:spacing w:after="0"/>
              <w:rPr>
                <w:sz w:val="1"/>
                <w:szCs w:val="1"/>
                <w:color w:val="auto"/>
              </w:rPr>
            </w:pPr>
          </w:p>
        </w:tc>
      </w:tr>
      <w:tr>
        <w:trPr>
          <w:trHeight w:val="203"/>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Write-offs charged against the allowance, if any</w:t>
            </w:r>
          </w:p>
        </w:tc>
        <w:tc>
          <w:tcPr>
            <w:tcW w:w="540" w:type="dxa"/>
            <w:vAlign w:val="bottom"/>
          </w:tcPr>
          <w:p>
            <w:pPr>
              <w:spacing w:after="0"/>
              <w:rPr>
                <w:sz w:val="17"/>
                <w:szCs w:val="17"/>
                <w:color w:val="auto"/>
              </w:rPr>
            </w:pPr>
          </w:p>
        </w:tc>
        <w:tc>
          <w:tcPr>
            <w:tcW w:w="92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6680" w:type="dxa"/>
            <w:vAlign w:val="bottom"/>
            <w:tcBorders>
              <w:bottom w:val="single" w:sz="8" w:color="0077C0"/>
            </w:tcBorders>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920" w:type="dxa"/>
            <w:vAlign w:val="bottom"/>
            <w:tcBorders>
              <w:bottom w:val="single" w:sz="8" w:color="0077C0"/>
              <w:right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96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8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w:t>
            </w:r>
          </w:p>
        </w:tc>
        <w:tc>
          <w:tcPr>
            <w:tcW w:w="540" w:type="dxa"/>
            <w:vAlign w:val="bottom"/>
            <w:tcBorders>
              <w:bottom w:val="single" w:sz="8" w:color="0077C0"/>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611</w:t>
            </w:r>
          </w:p>
        </w:tc>
        <w:tc>
          <w:tcPr>
            <w:tcW w:w="620" w:type="dxa"/>
            <w:vAlign w:val="bottom"/>
            <w:tcBorders>
              <w:bottom w:val="single" w:sz="8" w:color="0077C0"/>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641</w:t>
            </w:r>
          </w:p>
        </w:tc>
        <w:tc>
          <w:tcPr>
            <w:tcW w:w="600" w:type="dxa"/>
            <w:vAlign w:val="bottom"/>
            <w:tcBorders>
              <w:bottom w:val="single" w:sz="8" w:color="0077C0"/>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1,008</w:t>
            </w:r>
          </w:p>
        </w:tc>
        <w:tc>
          <w:tcPr>
            <w:tcW w:w="0" w:type="dxa"/>
            <w:vAlign w:val="bottom"/>
          </w:tcPr>
          <w:p>
            <w:pPr>
              <w:spacing w:after="0"/>
              <w:rPr>
                <w:sz w:val="1"/>
                <w:szCs w:val="1"/>
                <w:color w:val="auto"/>
              </w:rPr>
            </w:pPr>
          </w:p>
        </w:tc>
      </w:tr>
      <w:tr>
        <w:trPr>
          <w:trHeight w:val="191"/>
        </w:trPr>
        <w:tc>
          <w:tcPr>
            <w:tcW w:w="6680" w:type="dxa"/>
            <w:vAlign w:val="bottom"/>
          </w:tcPr>
          <w:p>
            <w:pPr>
              <w:ind w:left="20"/>
              <w:spacing w:after="0" w:line="191" w:lineRule="exact"/>
              <w:rPr>
                <w:sz w:val="20"/>
                <w:szCs w:val="20"/>
                <w:color w:val="auto"/>
              </w:rPr>
            </w:pPr>
            <w:r>
              <w:rPr>
                <w:rFonts w:ascii="Times New Roman" w:cs="Times New Roman" w:eastAsia="Times New Roman" w:hAnsi="Times New Roman"/>
                <w:sz w:val="14"/>
                <w:szCs w:val="14"/>
                <w:color w:val="auto"/>
              </w:rPr>
              <w:t>Deferred Income Tax Valuation Allowance</w:t>
            </w:r>
            <w:r>
              <w:rPr>
                <w:rFonts w:ascii="Times New Roman" w:cs="Times New Roman" w:eastAsia="Times New Roman" w:hAnsi="Times New Roman"/>
                <w:sz w:val="18"/>
                <w:szCs w:val="18"/>
                <w:color w:val="auto"/>
                <w:vertAlign w:val="superscript"/>
              </w:rPr>
              <w:t>*</w:t>
            </w:r>
          </w:p>
        </w:tc>
        <w:tc>
          <w:tcPr>
            <w:tcW w:w="540" w:type="dxa"/>
            <w:vAlign w:val="bottom"/>
          </w:tcPr>
          <w:p>
            <w:pPr>
              <w:spacing w:after="0"/>
              <w:rPr>
                <w:sz w:val="16"/>
                <w:szCs w:val="16"/>
                <w:color w:val="auto"/>
              </w:rPr>
            </w:pPr>
          </w:p>
        </w:tc>
        <w:tc>
          <w:tcPr>
            <w:tcW w:w="920" w:type="dxa"/>
            <w:vAlign w:val="bottom"/>
            <w:tcBorders>
              <w:right w:val="single" w:sz="8" w:color="0077C0"/>
            </w:tcBorders>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January 1</w:t>
            </w:r>
          </w:p>
        </w:tc>
        <w:tc>
          <w:tcPr>
            <w:tcW w:w="54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20,416</w:t>
            </w:r>
          </w:p>
        </w:tc>
        <w:tc>
          <w:tcPr>
            <w:tcW w:w="6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19,532</w:t>
            </w:r>
          </w:p>
        </w:tc>
        <w:tc>
          <w:tcPr>
            <w:tcW w:w="6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17,651</w:t>
            </w:r>
          </w:p>
        </w:tc>
        <w:tc>
          <w:tcPr>
            <w:tcW w:w="0" w:type="dxa"/>
            <w:vAlign w:val="bottom"/>
          </w:tcPr>
          <w:p>
            <w:pPr>
              <w:spacing w:after="0"/>
              <w:rPr>
                <w:sz w:val="1"/>
                <w:szCs w:val="1"/>
                <w:color w:val="auto"/>
              </w:rPr>
            </w:pPr>
          </w:p>
        </w:tc>
      </w:tr>
      <w:tr>
        <w:trPr>
          <w:trHeight w:val="203"/>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 to deferred income tax expense</w:t>
            </w:r>
          </w:p>
        </w:tc>
        <w:tc>
          <w:tcPr>
            <w:tcW w:w="540" w:type="dxa"/>
            <w:vAlign w:val="bottom"/>
          </w:tcPr>
          <w:p>
            <w:pPr>
              <w:spacing w:after="0"/>
              <w:rPr>
                <w:sz w:val="17"/>
                <w:szCs w:val="17"/>
                <w:color w:val="auto"/>
              </w:rPr>
            </w:pPr>
          </w:p>
        </w:tc>
        <w:tc>
          <w:tcPr>
            <w:tcW w:w="920" w:type="dxa"/>
            <w:vAlign w:val="bottom"/>
            <w:tcBorders>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1,881</w:t>
            </w:r>
          </w:p>
        </w:tc>
        <w:tc>
          <w:tcPr>
            <w:tcW w:w="6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2,348</w:t>
            </w: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3,533</w:t>
            </w:r>
          </w:p>
        </w:tc>
        <w:tc>
          <w:tcPr>
            <w:tcW w:w="0" w:type="dxa"/>
            <w:vAlign w:val="bottom"/>
          </w:tcPr>
          <w:p>
            <w:pPr>
              <w:spacing w:after="0"/>
              <w:rPr>
                <w:sz w:val="1"/>
                <w:szCs w:val="1"/>
                <w:color w:val="auto"/>
              </w:rPr>
            </w:pPr>
          </w:p>
        </w:tc>
      </w:tr>
      <w:tr>
        <w:trPr>
          <w:trHeight w:val="202"/>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Reduction of deferred income tax expense</w:t>
            </w:r>
          </w:p>
        </w:tc>
        <w:tc>
          <w:tcPr>
            <w:tcW w:w="540" w:type="dxa"/>
            <w:vAlign w:val="bottom"/>
          </w:tcPr>
          <w:p>
            <w:pPr>
              <w:spacing w:after="0"/>
              <w:rPr>
                <w:sz w:val="17"/>
                <w:szCs w:val="17"/>
                <w:color w:val="auto"/>
              </w:rPr>
            </w:pPr>
          </w:p>
        </w:tc>
        <w:tc>
          <w:tcPr>
            <w:tcW w:w="920" w:type="dxa"/>
            <w:vAlign w:val="bottom"/>
            <w:tcBorders>
              <w:right w:val="single" w:sz="8" w:color="0077C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(984)</w:t>
            </w:r>
          </w:p>
        </w:tc>
        <w:tc>
          <w:tcPr>
            <w:tcW w:w="62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(1,464)</w:t>
            </w: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(1,652)</w:t>
            </w:r>
          </w:p>
        </w:tc>
        <w:tc>
          <w:tcPr>
            <w:tcW w:w="0" w:type="dxa"/>
            <w:vAlign w:val="bottom"/>
          </w:tcPr>
          <w:p>
            <w:pPr>
              <w:spacing w:after="0"/>
              <w:rPr>
                <w:sz w:val="1"/>
                <w:szCs w:val="1"/>
                <w:color w:val="auto"/>
              </w:rPr>
            </w:pPr>
          </w:p>
        </w:tc>
      </w:tr>
      <w:tr>
        <w:trPr>
          <w:trHeight w:val="23"/>
        </w:trPr>
        <w:tc>
          <w:tcPr>
            <w:tcW w:w="6680" w:type="dxa"/>
            <w:vAlign w:val="bottom"/>
            <w:tcBorders>
              <w:bottom w:val="single" w:sz="8" w:color="0077C0"/>
            </w:tcBorders>
          </w:tcPr>
          <w:p>
            <w:pPr>
              <w:spacing w:after="0"/>
              <w:rPr>
                <w:sz w:val="2"/>
                <w:szCs w:val="2"/>
                <w:color w:val="auto"/>
              </w:rPr>
            </w:pPr>
          </w:p>
        </w:tc>
        <w:tc>
          <w:tcPr>
            <w:tcW w:w="540" w:type="dxa"/>
            <w:vAlign w:val="bottom"/>
            <w:tcBorders>
              <w:bottom w:val="single" w:sz="8" w:color="0077C0"/>
            </w:tcBorders>
          </w:tcPr>
          <w:p>
            <w:pPr>
              <w:spacing w:after="0"/>
              <w:rPr>
                <w:sz w:val="2"/>
                <w:szCs w:val="2"/>
                <w:color w:val="auto"/>
              </w:rPr>
            </w:pPr>
          </w:p>
        </w:tc>
        <w:tc>
          <w:tcPr>
            <w:tcW w:w="920" w:type="dxa"/>
            <w:vAlign w:val="bottom"/>
            <w:tcBorders>
              <w:bottom w:val="single" w:sz="8" w:color="0077C0"/>
              <w:right w:val="single" w:sz="8" w:color="0077C0"/>
            </w:tcBorders>
          </w:tcPr>
          <w:p>
            <w:pPr>
              <w:spacing w:after="0"/>
              <w:rPr>
                <w:sz w:val="2"/>
                <w:szCs w:val="2"/>
                <w:color w:val="auto"/>
              </w:rPr>
            </w:pPr>
          </w:p>
        </w:tc>
        <w:tc>
          <w:tcPr>
            <w:tcW w:w="620" w:type="dxa"/>
            <w:vAlign w:val="bottom"/>
            <w:tcBorders>
              <w:bottom w:val="single" w:sz="8" w:color="0077C0"/>
            </w:tcBorders>
          </w:tcPr>
          <w:p>
            <w:pPr>
              <w:spacing w:after="0"/>
              <w:rPr>
                <w:sz w:val="2"/>
                <w:szCs w:val="2"/>
                <w:color w:val="auto"/>
              </w:rPr>
            </w:pPr>
          </w:p>
        </w:tc>
        <w:tc>
          <w:tcPr>
            <w:tcW w:w="96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920" w:type="dxa"/>
            <w:vAlign w:val="bottom"/>
            <w:tcBorders>
              <w:bottom w:val="single" w:sz="8" w:color="0077C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80" w:type="dxa"/>
            <w:vAlign w:val="bottom"/>
            <w:tcBorders>
              <w:bottom w:val="single" w:sz="8" w:color="0077C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w:t>
            </w:r>
          </w:p>
        </w:tc>
        <w:tc>
          <w:tcPr>
            <w:tcW w:w="540" w:type="dxa"/>
            <w:vAlign w:val="bottom"/>
            <w:tcBorders>
              <w:bottom w:val="single" w:sz="8" w:color="0077C0"/>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bottom w:val="single" w:sz="8" w:color="0077C0"/>
              <w:right w:val="single" w:sz="8" w:color="0077C0"/>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21,313</w:t>
            </w:r>
          </w:p>
        </w:tc>
        <w:tc>
          <w:tcPr>
            <w:tcW w:w="620" w:type="dxa"/>
            <w:vAlign w:val="bottom"/>
            <w:tcBorders>
              <w:bottom w:val="single" w:sz="8" w:color="0077C0"/>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0077C0"/>
            </w:tcBorders>
          </w:tcPr>
          <w:p>
            <w:pPr>
              <w:jc w:val="right"/>
              <w:ind w:right="28"/>
              <w:spacing w:after="0"/>
              <w:rPr>
                <w:sz w:val="20"/>
                <w:szCs w:val="20"/>
                <w:color w:val="auto"/>
              </w:rPr>
            </w:pPr>
            <w:r>
              <w:rPr>
                <w:rFonts w:ascii="Times New Roman" w:cs="Times New Roman" w:eastAsia="Times New Roman" w:hAnsi="Times New Roman"/>
                <w:sz w:val="14"/>
                <w:szCs w:val="14"/>
                <w:color w:val="auto"/>
              </w:rPr>
              <w:t>20,416</w:t>
            </w:r>
          </w:p>
        </w:tc>
        <w:tc>
          <w:tcPr>
            <w:tcW w:w="600" w:type="dxa"/>
            <w:vAlign w:val="bottom"/>
            <w:tcBorders>
              <w:bottom w:val="single" w:sz="8" w:color="0077C0"/>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0077C0"/>
            </w:tcBorders>
          </w:tcPr>
          <w:p>
            <w:pPr>
              <w:jc w:val="right"/>
              <w:spacing w:after="0"/>
              <w:rPr>
                <w:sz w:val="20"/>
                <w:szCs w:val="20"/>
                <w:color w:val="auto"/>
              </w:rPr>
            </w:pPr>
            <w:r>
              <w:rPr>
                <w:rFonts w:ascii="Times New Roman" w:cs="Times New Roman" w:eastAsia="Times New Roman" w:hAnsi="Times New Roman"/>
                <w:sz w:val="14"/>
                <w:szCs w:val="14"/>
                <w:color w:val="auto"/>
              </w:rPr>
              <w:t>19,532</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100" w:hanging="92"/>
        <w:spacing w:after="0"/>
        <w:tabs>
          <w:tab w:leader="none" w:pos="10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See also </w:t>
      </w:r>
      <w:r>
        <w:rPr>
          <w:rFonts w:ascii="Times New Roman" w:cs="Times New Roman" w:eastAsia="Times New Roman" w:hAnsi="Times New Roman"/>
          <w:sz w:val="13"/>
          <w:szCs w:val="13"/>
          <w:u w:val="single" w:color="auto"/>
          <w:color w:val="0000FF"/>
        </w:rPr>
        <w:t>Note 17 Taxes</w:t>
      </w:r>
      <w:r>
        <w:rPr>
          <w:rFonts w:ascii="Times New Roman" w:cs="Times New Roman" w:eastAsia="Times New Roman" w:hAnsi="Times New Roman"/>
          <w:sz w:val="13"/>
          <w:szCs w:val="13"/>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Item 16. Form 10-K Summary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4"/>
          <w:szCs w:val="14"/>
          <w:color w:val="0077C0"/>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47" w:lineRule="exact"/>
        <w:rPr>
          <w:sz w:val="20"/>
          <w:szCs w:val="20"/>
          <w:color w:val="auto"/>
        </w:rPr>
      </w:pPr>
    </w:p>
    <w:p>
      <w:pPr>
        <w:spacing w:after="0"/>
        <w:tabs>
          <w:tab w:leader="none" w:pos="558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33655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1" w:lineRule="exact"/>
        <w:rPr>
          <w:sz w:val="20"/>
          <w:szCs w:val="20"/>
          <w:color w:val="auto"/>
        </w:rPr>
      </w:pPr>
    </w:p>
    <w:p>
      <w:pPr>
        <w:ind w:left="900" w:hanging="683"/>
        <w:spacing w:after="0" w:line="256" w:lineRule="auto"/>
        <w:tabs>
          <w:tab w:leader="none" w:pos="88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2.1</w:t>
      </w:r>
      <w:r>
        <w:rPr>
          <w:sz w:val="20"/>
          <w:szCs w:val="20"/>
          <w:color w:val="auto"/>
        </w:rPr>
        <w:tab/>
      </w:r>
      <w:hyperlink r:id="rId168">
        <w:r>
          <w:rPr>
            <w:rFonts w:ascii="Times New Roman" w:cs="Times New Roman" w:eastAsia="Times New Roman" w:hAnsi="Times New Roman"/>
            <w:sz w:val="17"/>
            <w:szCs w:val="17"/>
            <w:color w:val="auto"/>
          </w:rPr>
          <w:t>Agreement and Plan of Merger, dated as of October 22, 2023 among Chevron Corporation, Yankee Merger Sub Inc., and Hess Corporation,</w:t>
        </w:r>
      </w:hyperlink>
      <w:r>
        <w:rPr>
          <w:rFonts w:ascii="Times New Roman" w:cs="Times New Roman" w:eastAsia="Times New Roman" w:hAnsi="Times New Roman"/>
          <w:sz w:val="17"/>
          <w:szCs w:val="17"/>
          <w:color w:val="auto"/>
        </w:rPr>
        <w:t xml:space="preserve"> </w:t>
      </w:r>
      <w:hyperlink r:id="rId168">
        <w:r>
          <w:rPr>
            <w:rFonts w:ascii="Times New Roman" w:cs="Times New Roman" w:eastAsia="Times New Roman" w:hAnsi="Times New Roman"/>
            <w:sz w:val="17"/>
            <w:szCs w:val="17"/>
            <w:color w:val="auto"/>
          </w:rPr>
          <w:t>filed as Exhibit 2.1 to Chevron Corporation’s Current Report on Form 8-K filed October 23, 2023, and incorporated herein by reference.</w:t>
        </w:r>
      </w:hyperlink>
    </w:p>
    <w:p>
      <w:pPr>
        <w:spacing w:after="0" w:line="1" w:lineRule="exact"/>
        <w:rPr>
          <w:sz w:val="20"/>
          <w:szCs w:val="20"/>
          <w:color w:val="auto"/>
        </w:rPr>
      </w:pPr>
    </w:p>
    <w:p>
      <w:pPr>
        <w:ind w:left="900" w:hanging="683"/>
        <w:spacing w:after="0" w:line="237" w:lineRule="auto"/>
        <w:tabs>
          <w:tab w:leader="none" w:pos="88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w:t>
      </w:r>
      <w:r>
        <w:rPr>
          <w:sz w:val="20"/>
          <w:szCs w:val="20"/>
          <w:color w:val="auto"/>
        </w:rPr>
        <w:tab/>
      </w:r>
      <w:hyperlink r:id="rId169">
        <w:r>
          <w:rPr>
            <w:rFonts w:ascii="Times New Roman" w:cs="Times New Roman" w:eastAsia="Times New Roman" w:hAnsi="Times New Roman"/>
            <w:sz w:val="18"/>
            <w:szCs w:val="18"/>
            <w:color w:val="auto"/>
          </w:rPr>
          <w:t>Restated Certificate of Incorporation of Chevron Corporation, dated May 30, 2008, filed as Exhibit 3.1 to Chevron Corporation’s Quarterly</w:t>
        </w:r>
      </w:hyperlink>
      <w:r>
        <w:rPr>
          <w:rFonts w:ascii="Times New Roman" w:cs="Times New Roman" w:eastAsia="Times New Roman" w:hAnsi="Times New Roman"/>
          <w:sz w:val="18"/>
          <w:szCs w:val="18"/>
          <w:color w:val="auto"/>
        </w:rPr>
        <w:t xml:space="preserve"> </w:t>
      </w:r>
      <w:hyperlink r:id="rId169">
        <w:r>
          <w:rPr>
            <w:rFonts w:ascii="Times New Roman" w:cs="Times New Roman" w:eastAsia="Times New Roman" w:hAnsi="Times New Roman"/>
            <w:sz w:val="18"/>
            <w:szCs w:val="18"/>
            <w:color w:val="auto"/>
          </w:rPr>
          <w:t>Report on Form 10-Q for the quarter ended June 30, 2008, and incorporated herein by reference.</w:t>
        </w:r>
      </w:hyperlink>
    </w:p>
    <w:p>
      <w:pPr>
        <w:spacing w:after="0" w:line="10" w:lineRule="exact"/>
        <w:rPr>
          <w:sz w:val="20"/>
          <w:szCs w:val="20"/>
          <w:color w:val="auto"/>
        </w:rPr>
      </w:pPr>
    </w:p>
    <w:p>
      <w:pPr>
        <w:ind w:left="900" w:hanging="683"/>
        <w:spacing w:after="0" w:line="237" w:lineRule="auto"/>
        <w:tabs>
          <w:tab w:leader="none" w:pos="88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w:t>
      </w:r>
      <w:r>
        <w:rPr>
          <w:sz w:val="20"/>
          <w:szCs w:val="20"/>
          <w:color w:val="auto"/>
        </w:rPr>
        <w:tab/>
      </w:r>
      <w:hyperlink r:id="rId170">
        <w:r>
          <w:rPr>
            <w:rFonts w:ascii="Times New Roman" w:cs="Times New Roman" w:eastAsia="Times New Roman" w:hAnsi="Times New Roman"/>
            <w:sz w:val="18"/>
            <w:szCs w:val="18"/>
            <w:color w:val="auto"/>
          </w:rPr>
          <w:t>By-Laws of Chevron Corporation, as amended and restated December 4, 2024, filed as Exhibit 3.2 to Chevron Corporation’s Current</w:t>
        </w:r>
      </w:hyperlink>
      <w:r>
        <w:rPr>
          <w:rFonts w:ascii="Times New Roman" w:cs="Times New Roman" w:eastAsia="Times New Roman" w:hAnsi="Times New Roman"/>
          <w:sz w:val="18"/>
          <w:szCs w:val="18"/>
          <w:color w:val="auto"/>
        </w:rPr>
        <w:t xml:space="preserve"> </w:t>
      </w:r>
      <w:hyperlink r:id="rId170">
        <w:r>
          <w:rPr>
            <w:rFonts w:ascii="Times New Roman" w:cs="Times New Roman" w:eastAsia="Times New Roman" w:hAnsi="Times New Roman"/>
            <w:sz w:val="18"/>
            <w:szCs w:val="18"/>
            <w:color w:val="auto"/>
          </w:rPr>
          <w:t>Report on Form 8-K filed December 10, 2024, and incorporated herein by reference.</w:t>
        </w:r>
      </w:hyperlink>
    </w:p>
    <w:p>
      <w:pPr>
        <w:spacing w:after="0" w:line="10" w:lineRule="exact"/>
        <w:rPr>
          <w:sz w:val="20"/>
          <w:szCs w:val="20"/>
          <w:color w:val="auto"/>
        </w:rPr>
      </w:pPr>
    </w:p>
    <w:p>
      <w:pPr>
        <w:ind w:left="900" w:hanging="683"/>
        <w:spacing w:after="0" w:line="237" w:lineRule="auto"/>
        <w:tabs>
          <w:tab w:leader="none" w:pos="88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w:t>
      </w:r>
      <w:r>
        <w:rPr>
          <w:sz w:val="20"/>
          <w:szCs w:val="20"/>
          <w:color w:val="auto"/>
        </w:rPr>
        <w:tab/>
      </w:r>
      <w:hyperlink r:id="rId171">
        <w:r>
          <w:rPr>
            <w:rFonts w:ascii="Times New Roman" w:cs="Times New Roman" w:eastAsia="Times New Roman" w:hAnsi="Times New Roman"/>
            <w:sz w:val="18"/>
            <w:szCs w:val="18"/>
            <w:color w:val="auto"/>
          </w:rPr>
          <w:t>Indenture, dated as of June 15, 1995, filed as Exhibit 4.1 to Chevron Corporation’s Amendment Number 1 to Registration Statement on</w:t>
        </w:r>
      </w:hyperlink>
      <w:r>
        <w:rPr>
          <w:rFonts w:ascii="Times New Roman" w:cs="Times New Roman" w:eastAsia="Times New Roman" w:hAnsi="Times New Roman"/>
          <w:sz w:val="18"/>
          <w:szCs w:val="18"/>
          <w:color w:val="auto"/>
        </w:rPr>
        <w:t xml:space="preserve"> </w:t>
      </w:r>
      <w:hyperlink r:id="rId171">
        <w:r>
          <w:rPr>
            <w:rFonts w:ascii="Times New Roman" w:cs="Times New Roman" w:eastAsia="Times New Roman" w:hAnsi="Times New Roman"/>
            <w:sz w:val="18"/>
            <w:szCs w:val="18"/>
            <w:color w:val="auto"/>
          </w:rPr>
          <w:t>Form S-3 filed June 14, 1995, and incorporated herein by reference.</w:t>
        </w:r>
      </w:hyperlink>
    </w:p>
    <w:p>
      <w:pPr>
        <w:spacing w:after="0" w:line="10" w:lineRule="exact"/>
        <w:rPr>
          <w:sz w:val="20"/>
          <w:szCs w:val="20"/>
          <w:color w:val="auto"/>
        </w:rPr>
      </w:pPr>
    </w:p>
    <w:p>
      <w:pPr>
        <w:ind w:left="900" w:right="20" w:hanging="683"/>
        <w:spacing w:after="0" w:line="237" w:lineRule="auto"/>
        <w:tabs>
          <w:tab w:leader="none" w:pos="88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w:t>
      </w:r>
      <w:r>
        <w:rPr>
          <w:sz w:val="20"/>
          <w:szCs w:val="20"/>
          <w:color w:val="auto"/>
        </w:rPr>
        <w:tab/>
      </w:r>
      <w:hyperlink r:id="rId172">
        <w:r>
          <w:rPr>
            <w:rFonts w:ascii="Times New Roman" w:cs="Times New Roman" w:eastAsia="Times New Roman" w:hAnsi="Times New Roman"/>
            <w:sz w:val="18"/>
            <w:szCs w:val="18"/>
            <w:color w:val="auto"/>
          </w:rPr>
          <w:t>Indenture, dated as of May 11, 2020, between Chevron Corporation and Deutsche Bank Trust Company Americas, as trustee, filed as</w:t>
        </w:r>
      </w:hyperlink>
      <w:r>
        <w:rPr>
          <w:rFonts w:ascii="Times New Roman" w:cs="Times New Roman" w:eastAsia="Times New Roman" w:hAnsi="Times New Roman"/>
          <w:sz w:val="18"/>
          <w:szCs w:val="18"/>
          <w:color w:val="auto"/>
        </w:rPr>
        <w:t xml:space="preserve"> </w:t>
      </w:r>
      <w:hyperlink r:id="rId172">
        <w:r>
          <w:rPr>
            <w:rFonts w:ascii="Times New Roman" w:cs="Times New Roman" w:eastAsia="Times New Roman" w:hAnsi="Times New Roman"/>
            <w:sz w:val="18"/>
            <w:szCs w:val="18"/>
            <w:color w:val="auto"/>
          </w:rPr>
          <w:t>Exhibit 4.1 to Chevron Corporation’s Current Report on Form 8-K filed May 12, 2020, and incorporated herein by reference.</w:t>
        </w:r>
      </w:hyperlink>
    </w:p>
    <w:p>
      <w:pPr>
        <w:spacing w:after="0" w:line="10" w:lineRule="exact"/>
        <w:rPr>
          <w:sz w:val="20"/>
          <w:szCs w:val="20"/>
          <w:color w:val="auto"/>
        </w:rPr>
      </w:pPr>
    </w:p>
    <w:p>
      <w:pPr>
        <w:jc w:val="right"/>
        <w:ind w:left="200"/>
        <w:spacing w:after="0" w:line="22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4.3     </w:t>
      </w:r>
      <w:hyperlink r:id="rId173">
        <w:r>
          <w:rPr>
            <w:rFonts w:ascii="Times New Roman" w:cs="Times New Roman" w:eastAsia="Times New Roman" w:hAnsi="Times New Roman"/>
            <w:sz w:val="18"/>
            <w:szCs w:val="18"/>
            <w:color w:val="auto"/>
          </w:rPr>
          <w:t>Indenture, dated as of August 12, 2020, among Chevron U.S.A. Inc., Chevron Corporation, as guarantor, and Deutsche Bank Trust</w:t>
        </w:r>
      </w:hyperlink>
      <w:r>
        <w:rPr>
          <w:rFonts w:ascii="Times New Roman" w:cs="Times New Roman" w:eastAsia="Times New Roman" w:hAnsi="Times New Roman"/>
          <w:sz w:val="18"/>
          <w:szCs w:val="18"/>
          <w:color w:val="auto"/>
        </w:rPr>
        <w:t xml:space="preserve"> </w:t>
      </w:r>
      <w:hyperlink r:id="rId173">
        <w:r>
          <w:rPr>
            <w:rFonts w:ascii="Times New Roman" w:cs="Times New Roman" w:eastAsia="Times New Roman" w:hAnsi="Times New Roman"/>
            <w:sz w:val="18"/>
            <w:szCs w:val="18"/>
            <w:color w:val="auto"/>
          </w:rPr>
          <w:t>Company Americas, as trustee, filed as Exhibit 4.1 to Chevron Corporation’s Current Report on Form 8-K filed August 13, 2020, and</w:t>
        </w:r>
      </w:hyperlink>
    </w:p>
    <w:p>
      <w:pPr>
        <w:spacing w:after="0" w:line="2" w:lineRule="exact"/>
        <w:rPr>
          <w:sz w:val="20"/>
          <w:szCs w:val="20"/>
          <w:color w:val="auto"/>
        </w:rPr>
      </w:pPr>
    </w:p>
    <w:p>
      <w:pPr>
        <w:ind w:left="900"/>
        <w:spacing w:after="0"/>
        <w:rPr>
          <w:rFonts w:ascii="Times New Roman" w:cs="Times New Roman" w:eastAsia="Times New Roman" w:hAnsi="Times New Roman"/>
          <w:sz w:val="18"/>
          <w:szCs w:val="18"/>
          <w:color w:val="auto"/>
        </w:rPr>
      </w:pPr>
      <w:hyperlink r:id="rId173">
        <w:r>
          <w:rPr>
            <w:rFonts w:ascii="Times New Roman" w:cs="Times New Roman" w:eastAsia="Times New Roman" w:hAnsi="Times New Roman"/>
            <w:sz w:val="18"/>
            <w:szCs w:val="18"/>
            <w:color w:val="auto"/>
          </w:rPr>
          <w:t>incorporated herein by reference.</w:t>
        </w:r>
      </w:hyperlink>
    </w:p>
    <w:p>
      <w:pPr>
        <w:spacing w:after="0" w:line="7" w:lineRule="exact"/>
        <w:rPr>
          <w:sz w:val="20"/>
          <w:szCs w:val="20"/>
          <w:color w:val="auto"/>
        </w:rPr>
      </w:pPr>
    </w:p>
    <w:p>
      <w:pPr>
        <w:ind w:left="900" w:hanging="683"/>
        <w:spacing w:after="0" w:line="234" w:lineRule="auto"/>
        <w:tabs>
          <w:tab w:leader="none" w:pos="88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w:t>
      </w:r>
      <w:r>
        <w:rPr>
          <w:sz w:val="20"/>
          <w:szCs w:val="20"/>
          <w:color w:val="auto"/>
        </w:rPr>
        <w:tab/>
      </w:r>
      <w:hyperlink r:id="rId174">
        <w:r>
          <w:rPr>
            <w:rFonts w:ascii="Times New Roman" w:cs="Times New Roman" w:eastAsia="Times New Roman" w:hAnsi="Times New Roman"/>
            <w:sz w:val="18"/>
            <w:szCs w:val="18"/>
            <w:color w:val="auto"/>
          </w:rPr>
          <w:t>Confidential Stockholder Voting Policy of Chevron Corporation, filed as Exhibit 4.2 to Chevron Corporation’s Annual Report on Form 10-</w:t>
        </w:r>
      </w:hyperlink>
      <w:hyperlink r:id="rId174">
        <w:r>
          <w:rPr>
            <w:rFonts w:ascii="Times New Roman" w:cs="Times New Roman" w:eastAsia="Times New Roman" w:hAnsi="Times New Roman"/>
            <w:sz w:val="18"/>
            <w:szCs w:val="18"/>
            <w:color w:val="auto"/>
          </w:rPr>
          <w:t>K for the year ended December 31, 2008, and incorporated herein by reference.</w:t>
        </w:r>
      </w:hyperlink>
    </w:p>
    <w:p>
      <w:pPr>
        <w:spacing w:after="0" w:line="10" w:lineRule="exact"/>
        <w:rPr>
          <w:sz w:val="20"/>
          <w:szCs w:val="20"/>
          <w:color w:val="auto"/>
        </w:rPr>
      </w:pPr>
    </w:p>
    <w:p>
      <w:pPr>
        <w:ind w:left="900" w:hanging="683"/>
        <w:spacing w:after="0" w:line="237" w:lineRule="auto"/>
        <w:tabs>
          <w:tab w:leader="none" w:pos="88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w:t>
      </w:r>
      <w:r>
        <w:rPr>
          <w:sz w:val="20"/>
          <w:szCs w:val="20"/>
          <w:color w:val="auto"/>
        </w:rPr>
        <w:tab/>
      </w:r>
      <w:hyperlink r:id="rId175">
        <w:r>
          <w:rPr>
            <w:rFonts w:ascii="Times New Roman" w:cs="Times New Roman" w:eastAsia="Times New Roman" w:hAnsi="Times New Roman"/>
            <w:sz w:val="18"/>
            <w:szCs w:val="18"/>
            <w:color w:val="auto"/>
          </w:rPr>
          <w:t>Description of Securities Registered under Section 12 of the Exchange Act, filed as Exhibit 4.4 to Chevron Corporation’s Annual Report on</w:t>
        </w:r>
      </w:hyperlink>
      <w:r>
        <w:rPr>
          <w:rFonts w:ascii="Times New Roman" w:cs="Times New Roman" w:eastAsia="Times New Roman" w:hAnsi="Times New Roman"/>
          <w:sz w:val="18"/>
          <w:szCs w:val="18"/>
          <w:color w:val="auto"/>
        </w:rPr>
        <w:t xml:space="preserve"> </w:t>
      </w:r>
      <w:hyperlink r:id="rId175">
        <w:r>
          <w:rPr>
            <w:rFonts w:ascii="Times New Roman" w:cs="Times New Roman" w:eastAsia="Times New Roman" w:hAnsi="Times New Roman"/>
            <w:sz w:val="18"/>
            <w:szCs w:val="18"/>
            <w:color w:val="auto"/>
          </w:rPr>
          <w:t>Form 10-K for the year ended December 31, 2019, and incorporated herein by reference.</w:t>
        </w:r>
      </w:hyperlink>
    </w:p>
    <w:p>
      <w:pPr>
        <w:spacing w:after="0" w:line="10" w:lineRule="exact"/>
        <w:rPr>
          <w:sz w:val="20"/>
          <w:szCs w:val="20"/>
          <w:color w:val="auto"/>
        </w:rPr>
      </w:pPr>
    </w:p>
    <w:p>
      <w:pPr>
        <w:ind w:left="900" w:hanging="839"/>
        <w:spacing w:after="0" w:line="237" w:lineRule="auto"/>
        <w:tabs>
          <w:tab w:leader="none" w:pos="88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w:t>
      </w:r>
      <w:r>
        <w:rPr>
          <w:sz w:val="20"/>
          <w:szCs w:val="20"/>
          <w:color w:val="auto"/>
        </w:rPr>
        <w:tab/>
      </w:r>
      <w:hyperlink r:id="rId176">
        <w:r>
          <w:rPr>
            <w:rFonts w:ascii="Times New Roman" w:cs="Times New Roman" w:eastAsia="Times New Roman" w:hAnsi="Times New Roman"/>
            <w:sz w:val="18"/>
            <w:szCs w:val="18"/>
            <w:color w:val="auto"/>
          </w:rPr>
          <w:t>Chevron Corporation Non-Employee Directors’ Equity Compensation and Deferral Plan, filed as Exhibit 10.1 to Chevron Corporation’s</w:t>
        </w:r>
      </w:hyperlink>
      <w:r>
        <w:rPr>
          <w:rFonts w:ascii="Times New Roman" w:cs="Times New Roman" w:eastAsia="Times New Roman" w:hAnsi="Times New Roman"/>
          <w:sz w:val="18"/>
          <w:szCs w:val="18"/>
          <w:color w:val="auto"/>
        </w:rPr>
        <w:t xml:space="preserve"> </w:t>
      </w:r>
      <w:hyperlink r:id="rId176">
        <w:r>
          <w:rPr>
            <w:rFonts w:ascii="Times New Roman" w:cs="Times New Roman" w:eastAsia="Times New Roman" w:hAnsi="Times New Roman"/>
            <w:sz w:val="18"/>
            <w:szCs w:val="18"/>
            <w:color w:val="auto"/>
          </w:rPr>
          <w:t>Annual Report on Form 10-K for the year ended December 31, 2008, and incorporated herein by reference.</w:t>
        </w:r>
      </w:hyperlink>
    </w:p>
    <w:p>
      <w:pPr>
        <w:spacing w:after="0" w:line="10" w:lineRule="exact"/>
        <w:rPr>
          <w:sz w:val="20"/>
          <w:szCs w:val="20"/>
          <w:color w:val="auto"/>
        </w:rPr>
      </w:pPr>
    </w:p>
    <w:p>
      <w:pPr>
        <w:jc w:val="right"/>
        <w:ind w:left="60"/>
        <w:spacing w:after="0" w:line="22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     </w:t>
      </w:r>
      <w:hyperlink r:id="rId177">
        <w:r>
          <w:rPr>
            <w:rFonts w:ascii="Times New Roman" w:cs="Times New Roman" w:eastAsia="Times New Roman" w:hAnsi="Times New Roman"/>
            <w:sz w:val="18"/>
            <w:szCs w:val="18"/>
            <w:color w:val="auto"/>
          </w:rPr>
          <w:t>Amendment Number One to the Chevron Corporation Non-Employee Directors’ Equity Compensation and Deferral Plan, filed as</w:t>
        </w:r>
      </w:hyperlink>
      <w:r>
        <w:rPr>
          <w:rFonts w:ascii="Times New Roman" w:cs="Times New Roman" w:eastAsia="Times New Roman" w:hAnsi="Times New Roman"/>
          <w:sz w:val="18"/>
          <w:szCs w:val="18"/>
          <w:color w:val="auto"/>
        </w:rPr>
        <w:t xml:space="preserve"> </w:t>
      </w:r>
      <w:hyperlink r:id="rId177">
        <w:r>
          <w:rPr>
            <w:rFonts w:ascii="Times New Roman" w:cs="Times New Roman" w:eastAsia="Times New Roman" w:hAnsi="Times New Roman"/>
            <w:sz w:val="18"/>
            <w:szCs w:val="18"/>
            <w:color w:val="auto"/>
          </w:rPr>
          <w:t>Exhibit 10.1 to Chevron Corporation’s Quarterly Report on Form 10-Q for the quarter ended June 30, 2016, and incorporated herein by</w:t>
        </w:r>
      </w:hyperlink>
    </w:p>
    <w:p>
      <w:pPr>
        <w:spacing w:after="0" w:line="2" w:lineRule="exact"/>
        <w:rPr>
          <w:sz w:val="20"/>
          <w:szCs w:val="20"/>
          <w:color w:val="auto"/>
        </w:rPr>
      </w:pPr>
    </w:p>
    <w:p>
      <w:pPr>
        <w:ind w:left="900"/>
        <w:spacing w:after="0"/>
        <w:rPr>
          <w:rFonts w:ascii="Times New Roman" w:cs="Times New Roman" w:eastAsia="Times New Roman" w:hAnsi="Times New Roman"/>
          <w:sz w:val="18"/>
          <w:szCs w:val="18"/>
          <w:color w:val="auto"/>
        </w:rPr>
      </w:pPr>
      <w:hyperlink r:id="rId177">
        <w:r>
          <w:rPr>
            <w:rFonts w:ascii="Times New Roman" w:cs="Times New Roman" w:eastAsia="Times New Roman" w:hAnsi="Times New Roman"/>
            <w:sz w:val="18"/>
            <w:szCs w:val="18"/>
            <w:color w:val="auto"/>
          </w:rPr>
          <w:t>reference.</w:t>
        </w:r>
      </w:hyperlink>
    </w:p>
    <w:p>
      <w:pPr>
        <w:spacing w:after="0" w:line="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color w:val="auto"/>
        </w:rPr>
        <w:t>Amendment Number Two to the Chevron Corporation Non-Employee Directors’ Equity Compensation and Deferral Plan.</w:t>
      </w:r>
    </w:p>
    <w:p>
      <w:pPr>
        <w:spacing w:after="0" w:line="23" w:lineRule="exact"/>
        <w:rPr>
          <w:sz w:val="20"/>
          <w:szCs w:val="20"/>
          <w:color w:val="auto"/>
        </w:rPr>
      </w:pPr>
    </w:p>
    <w:p>
      <w:pPr>
        <w:jc w:val="right"/>
        <w:ind w:left="60"/>
        <w:spacing w:after="0" w:line="22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10.4+     </w:t>
      </w:r>
      <w:hyperlink r:id="rId178">
        <w:r>
          <w:rPr>
            <w:rFonts w:ascii="Times New Roman" w:cs="Times New Roman" w:eastAsia="Times New Roman" w:hAnsi="Times New Roman"/>
            <w:sz w:val="18"/>
            <w:szCs w:val="18"/>
            <w:color w:val="auto"/>
          </w:rPr>
          <w:t>Form of Retainer Stock Option Agreement under the Chevron Corporation Non-Employee Directors’ Equity Compensation and Deferral</w:t>
        </w:r>
      </w:hyperlink>
      <w:r>
        <w:rPr>
          <w:rFonts w:ascii="Times New Roman" w:cs="Times New Roman" w:eastAsia="Times New Roman" w:hAnsi="Times New Roman"/>
          <w:sz w:val="18"/>
          <w:szCs w:val="18"/>
          <w:color w:val="auto"/>
        </w:rPr>
        <w:t xml:space="preserve"> </w:t>
      </w:r>
      <w:hyperlink r:id="rId178">
        <w:r>
          <w:rPr>
            <w:rFonts w:ascii="Times New Roman" w:cs="Times New Roman" w:eastAsia="Times New Roman" w:hAnsi="Times New Roman"/>
            <w:sz w:val="18"/>
            <w:szCs w:val="18"/>
            <w:color w:val="auto"/>
          </w:rPr>
          <w:t>Plan, filed as Exhibit 10.17 to Chevron Corporation’s Annual Report on Form 10-K for the year ended December 31, 2009, and</w:t>
        </w:r>
      </w:hyperlink>
    </w:p>
    <w:p>
      <w:pPr>
        <w:ind w:left="900"/>
        <w:spacing w:after="0"/>
        <w:rPr>
          <w:rFonts w:ascii="Times New Roman" w:cs="Times New Roman" w:eastAsia="Times New Roman" w:hAnsi="Times New Roman"/>
          <w:sz w:val="18"/>
          <w:szCs w:val="18"/>
          <w:color w:val="auto"/>
        </w:rPr>
      </w:pPr>
      <w:hyperlink r:id="rId178">
        <w:r>
          <w:rPr>
            <w:rFonts w:ascii="Times New Roman" w:cs="Times New Roman" w:eastAsia="Times New Roman" w:hAnsi="Times New Roman"/>
            <w:sz w:val="18"/>
            <w:szCs w:val="18"/>
            <w:color w:val="auto"/>
          </w:rPr>
          <w:t>incorporated herein by reference.</w:t>
        </w:r>
      </w:hyperlink>
    </w:p>
    <w:p>
      <w:pPr>
        <w:spacing w:after="0" w:line="7" w:lineRule="exact"/>
        <w:rPr>
          <w:sz w:val="20"/>
          <w:szCs w:val="20"/>
          <w:color w:val="auto"/>
        </w:rPr>
      </w:pPr>
    </w:p>
    <w:p>
      <w:pPr>
        <w:jc w:val="right"/>
        <w:ind w:left="60"/>
        <w:spacing w:after="0" w:line="22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10.5+     </w:t>
      </w:r>
      <w:hyperlink r:id="rId179">
        <w:r>
          <w:rPr>
            <w:rFonts w:ascii="Times New Roman" w:cs="Times New Roman" w:eastAsia="Times New Roman" w:hAnsi="Times New Roman"/>
            <w:sz w:val="18"/>
            <w:szCs w:val="18"/>
            <w:color w:val="auto"/>
          </w:rPr>
          <w:t>Form of Stock Units Agreement under the Chevron Corporation Non-Employee Directors’ Equity Compensation and Deferral Plan, filed as</w:t>
        </w:r>
      </w:hyperlink>
      <w:r>
        <w:rPr>
          <w:rFonts w:ascii="Times New Roman" w:cs="Times New Roman" w:eastAsia="Times New Roman" w:hAnsi="Times New Roman"/>
          <w:sz w:val="18"/>
          <w:szCs w:val="18"/>
          <w:color w:val="auto"/>
        </w:rPr>
        <w:t xml:space="preserve"> </w:t>
      </w:r>
      <w:hyperlink r:id="rId179">
        <w:r>
          <w:rPr>
            <w:rFonts w:ascii="Times New Roman" w:cs="Times New Roman" w:eastAsia="Times New Roman" w:hAnsi="Times New Roman"/>
            <w:sz w:val="18"/>
            <w:szCs w:val="18"/>
            <w:color w:val="auto"/>
          </w:rPr>
          <w:t>Exhibit 10.19 to Chevron Corporation’s Annual Report on Form 10-K for the year ended December 31, 2008, and incorporated herein by</w:t>
        </w:r>
      </w:hyperlink>
    </w:p>
    <w:p>
      <w:pPr>
        <w:ind w:left="900"/>
        <w:spacing w:after="0"/>
        <w:rPr>
          <w:rFonts w:ascii="Times New Roman" w:cs="Times New Roman" w:eastAsia="Times New Roman" w:hAnsi="Times New Roman"/>
          <w:sz w:val="18"/>
          <w:szCs w:val="18"/>
          <w:color w:val="auto"/>
        </w:rPr>
      </w:pPr>
      <w:hyperlink r:id="rId179">
        <w:r>
          <w:rPr>
            <w:rFonts w:ascii="Times New Roman" w:cs="Times New Roman" w:eastAsia="Times New Roman" w:hAnsi="Times New Roman"/>
            <w:sz w:val="18"/>
            <w:szCs w:val="18"/>
            <w:color w:val="auto"/>
          </w:rPr>
          <w:t>reference.</w:t>
        </w:r>
      </w:hyperlink>
    </w:p>
    <w:p>
      <w:pPr>
        <w:spacing w:after="0" w:line="7" w:lineRule="exact"/>
        <w:rPr>
          <w:sz w:val="20"/>
          <w:szCs w:val="20"/>
          <w:color w:val="auto"/>
        </w:rPr>
      </w:pPr>
    </w:p>
    <w:p>
      <w:pPr>
        <w:ind w:left="900" w:hanging="839"/>
        <w:spacing w:after="0" w:line="234" w:lineRule="auto"/>
        <w:tabs>
          <w:tab w:leader="none" w:pos="88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w:t>
      </w:r>
      <w:r>
        <w:rPr>
          <w:sz w:val="20"/>
          <w:szCs w:val="20"/>
          <w:color w:val="auto"/>
        </w:rPr>
        <w:tab/>
      </w:r>
      <w:hyperlink r:id="rId180">
        <w:r>
          <w:rPr>
            <w:rFonts w:ascii="Times New Roman" w:cs="Times New Roman" w:eastAsia="Times New Roman" w:hAnsi="Times New Roman"/>
            <w:sz w:val="18"/>
            <w:szCs w:val="18"/>
            <w:color w:val="auto"/>
          </w:rPr>
          <w:t>Chevron Incentive Plan, amended and restated effective October 2, 2023, filed as Exhibit 10.1 to Chevron Corporation’s Quarterly Report</w:t>
        </w:r>
      </w:hyperlink>
      <w:r>
        <w:rPr>
          <w:rFonts w:ascii="Times New Roman" w:cs="Times New Roman" w:eastAsia="Times New Roman" w:hAnsi="Times New Roman"/>
          <w:sz w:val="18"/>
          <w:szCs w:val="18"/>
          <w:color w:val="auto"/>
        </w:rPr>
        <w:t xml:space="preserve"> </w:t>
      </w:r>
      <w:hyperlink r:id="rId180">
        <w:r>
          <w:rPr>
            <w:rFonts w:ascii="Times New Roman" w:cs="Times New Roman" w:eastAsia="Times New Roman" w:hAnsi="Times New Roman"/>
            <w:sz w:val="18"/>
            <w:szCs w:val="18"/>
            <w:color w:val="auto"/>
          </w:rPr>
          <w:t>on Form 10-Q for the quarter ended September 30, 2024, and incorporated herein by reference.</w:t>
        </w:r>
      </w:hyperlink>
    </w:p>
    <w:p>
      <w:pPr>
        <w:spacing w:after="0" w:line="10" w:lineRule="exact"/>
        <w:rPr>
          <w:sz w:val="20"/>
          <w:szCs w:val="20"/>
          <w:color w:val="auto"/>
        </w:rPr>
      </w:pPr>
    </w:p>
    <w:p>
      <w:pPr>
        <w:ind w:left="900" w:hanging="839"/>
        <w:spacing w:after="0" w:line="237" w:lineRule="auto"/>
        <w:tabs>
          <w:tab w:leader="none" w:pos="88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w:t>
      </w:r>
      <w:r>
        <w:rPr>
          <w:sz w:val="20"/>
          <w:szCs w:val="20"/>
          <w:color w:val="auto"/>
        </w:rPr>
        <w:tab/>
      </w:r>
      <w:hyperlink r:id="rId181">
        <w:r>
          <w:rPr>
            <w:rFonts w:ascii="Times New Roman" w:cs="Times New Roman" w:eastAsia="Times New Roman" w:hAnsi="Times New Roman"/>
            <w:sz w:val="18"/>
            <w:szCs w:val="18"/>
            <w:color w:val="auto"/>
          </w:rPr>
          <w:t xml:space="preserve">Summary </w:t>
        </w:r>
      </w:hyperlink>
      <w:r>
        <w:rPr>
          <w:rFonts w:ascii="Times New Roman" w:cs="Times New Roman" w:eastAsia="Times New Roman" w:hAnsi="Times New Roman"/>
          <w:sz w:val="18"/>
          <w:szCs w:val="18"/>
          <w:color w:val="auto"/>
        </w:rPr>
        <w:t>of Chevron Incentive Plan Award Criteria, filed as Exhibit 10.6 to Chevron Corporation's Annual Report on Form 10-K for the year ended December 31, 2022, and incorporated herein by reference.</w:t>
      </w:r>
    </w:p>
    <w:p>
      <w:pPr>
        <w:spacing w:after="0" w:line="10" w:lineRule="exact"/>
        <w:rPr>
          <w:sz w:val="20"/>
          <w:szCs w:val="20"/>
          <w:color w:val="auto"/>
        </w:rPr>
      </w:pPr>
    </w:p>
    <w:p>
      <w:pPr>
        <w:jc w:val="center"/>
        <w:ind w:left="620"/>
        <w:spacing w:after="0" w:line="23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10.8+     </w:t>
      </w:r>
      <w:hyperlink r:id="rId182">
        <w:r>
          <w:rPr>
            <w:rFonts w:ascii="Times New Roman" w:cs="Times New Roman" w:eastAsia="Times New Roman" w:hAnsi="Times New Roman"/>
            <w:sz w:val="18"/>
            <w:szCs w:val="18"/>
            <w:color w:val="auto"/>
          </w:rPr>
          <w:t>Long-Term Incentive Plan of Chevron Corporation, amended and restated effective October 2, 2023, filed as Exhibit 10.5 to Chevron</w:t>
        </w:r>
      </w:hyperlink>
      <w:r>
        <w:rPr>
          <w:rFonts w:ascii="Times New Roman" w:cs="Times New Roman" w:eastAsia="Times New Roman" w:hAnsi="Times New Roman"/>
          <w:sz w:val="18"/>
          <w:szCs w:val="18"/>
          <w:color w:val="auto"/>
        </w:rPr>
        <w:t xml:space="preserve"> </w:t>
      </w:r>
      <w:hyperlink r:id="rId182">
        <w:r>
          <w:rPr>
            <w:rFonts w:ascii="Times New Roman" w:cs="Times New Roman" w:eastAsia="Times New Roman" w:hAnsi="Times New Roman"/>
            <w:sz w:val="18"/>
            <w:szCs w:val="18"/>
            <w:color w:val="auto"/>
          </w:rPr>
          <w:t>Corporation’s Quarterly Report on Form 10-Q for the quarter ended September 30, 2023, and incorporated herein by reference.</w:t>
        </w:r>
      </w:hyperlink>
    </w:p>
    <w:p>
      <w:pPr>
        <w:spacing w:after="0" w:line="10" w:lineRule="exact"/>
        <w:rPr>
          <w:sz w:val="20"/>
          <w:szCs w:val="20"/>
          <w:color w:val="auto"/>
        </w:rPr>
      </w:pPr>
    </w:p>
    <w:p>
      <w:pPr>
        <w:ind w:left="900" w:hanging="839"/>
        <w:spacing w:after="0" w:line="237" w:lineRule="auto"/>
        <w:tabs>
          <w:tab w:leader="none" w:pos="88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10.9+</w:t>
      </w:r>
      <w:r>
        <w:rPr>
          <w:sz w:val="20"/>
          <w:szCs w:val="20"/>
          <w:color w:val="auto"/>
        </w:rPr>
        <w:tab/>
      </w:r>
      <w:hyperlink r:id="rId183">
        <w:r>
          <w:rPr>
            <w:rFonts w:ascii="Times New Roman" w:cs="Times New Roman" w:eastAsia="Times New Roman" w:hAnsi="Times New Roman"/>
            <w:sz w:val="18"/>
            <w:szCs w:val="18"/>
            <w:color w:val="auto"/>
          </w:rPr>
          <w:t>Form of Non-Qualified Stock Option Award Agreement under the Long-Term Incentive Plan of Chevron Corporation, filed as Exhibit 10.8</w:t>
        </w:r>
      </w:hyperlink>
      <w:r>
        <w:rPr>
          <w:rFonts w:ascii="Times New Roman" w:cs="Times New Roman" w:eastAsia="Times New Roman" w:hAnsi="Times New Roman"/>
          <w:sz w:val="18"/>
          <w:szCs w:val="18"/>
          <w:color w:val="auto"/>
        </w:rPr>
        <w:t xml:space="preserve"> </w:t>
      </w:r>
      <w:hyperlink r:id="rId183">
        <w:r>
          <w:rPr>
            <w:rFonts w:ascii="Times New Roman" w:cs="Times New Roman" w:eastAsia="Times New Roman" w:hAnsi="Times New Roman"/>
            <w:sz w:val="18"/>
            <w:szCs w:val="18"/>
            <w:color w:val="auto"/>
          </w:rPr>
          <w:t>to Chevron Corporation’s Annual Report on Form 10-K for the year ended December 31, 2014, and incorporated herein by reference.</w:t>
        </w:r>
      </w:hyperlink>
    </w:p>
    <w:p>
      <w:pPr>
        <w:spacing w:after="0" w:line="10" w:lineRule="exact"/>
        <w:rPr>
          <w:sz w:val="20"/>
          <w:szCs w:val="20"/>
          <w:color w:val="auto"/>
        </w:rPr>
      </w:pPr>
    </w:p>
    <w:p>
      <w:pPr>
        <w:ind w:left="900" w:hanging="884"/>
        <w:spacing w:after="0" w:line="237" w:lineRule="auto"/>
        <w:tabs>
          <w:tab w:leader="none" w:pos="88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10.10+</w:t>
      </w:r>
      <w:r>
        <w:rPr>
          <w:sz w:val="20"/>
          <w:szCs w:val="20"/>
          <w:color w:val="auto"/>
        </w:rPr>
        <w:tab/>
      </w:r>
      <w:hyperlink r:id="rId184">
        <w:r>
          <w:rPr>
            <w:rFonts w:ascii="Times New Roman" w:cs="Times New Roman" w:eastAsia="Times New Roman" w:hAnsi="Times New Roman"/>
            <w:sz w:val="18"/>
            <w:szCs w:val="18"/>
            <w:color w:val="auto"/>
          </w:rPr>
          <w:t>Form of Non-Qualified Stock Option Award Agreement under the Long-Term Incentive Plan of Chevron Corporation, filed as Exhibit 10.1</w:t>
        </w:r>
      </w:hyperlink>
      <w:r>
        <w:rPr>
          <w:rFonts w:ascii="Times New Roman" w:cs="Times New Roman" w:eastAsia="Times New Roman" w:hAnsi="Times New Roman"/>
          <w:sz w:val="18"/>
          <w:szCs w:val="18"/>
          <w:color w:val="auto"/>
        </w:rPr>
        <w:t xml:space="preserve"> </w:t>
      </w:r>
      <w:hyperlink r:id="rId184">
        <w:r>
          <w:rPr>
            <w:rFonts w:ascii="Times New Roman" w:cs="Times New Roman" w:eastAsia="Times New Roman" w:hAnsi="Times New Roman"/>
            <w:sz w:val="18"/>
            <w:szCs w:val="18"/>
            <w:color w:val="auto"/>
          </w:rPr>
          <w:t>to Chevron Corporation’s Current Report on Form 8-K filed January 30, 2017, and incorporated herein by reference.</w:t>
        </w:r>
      </w:hyperlink>
    </w:p>
    <w:p>
      <w:pPr>
        <w:spacing w:after="0" w:line="10" w:lineRule="exact"/>
        <w:rPr>
          <w:sz w:val="20"/>
          <w:szCs w:val="20"/>
          <w:color w:val="auto"/>
        </w:rPr>
      </w:pPr>
    </w:p>
    <w:p>
      <w:pPr>
        <w:ind w:left="900" w:hanging="881"/>
        <w:spacing w:after="0" w:line="237" w:lineRule="auto"/>
        <w:tabs>
          <w:tab w:leader="none" w:pos="88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10.11+</w:t>
      </w:r>
      <w:r>
        <w:rPr>
          <w:sz w:val="20"/>
          <w:szCs w:val="20"/>
          <w:color w:val="auto"/>
        </w:rPr>
        <w:tab/>
      </w:r>
      <w:hyperlink r:id="rId185">
        <w:r>
          <w:rPr>
            <w:rFonts w:ascii="Times New Roman" w:cs="Times New Roman" w:eastAsia="Times New Roman" w:hAnsi="Times New Roman"/>
            <w:sz w:val="18"/>
            <w:szCs w:val="18"/>
            <w:color w:val="auto"/>
          </w:rPr>
          <w:t>Form of Non-Qualified Stock Option Award Agreement under the Long-Term Incentive Plan of Chevron Corporation, filed as Exhibit 10.1</w:t>
        </w:r>
      </w:hyperlink>
      <w:r>
        <w:rPr>
          <w:rFonts w:ascii="Times New Roman" w:cs="Times New Roman" w:eastAsia="Times New Roman" w:hAnsi="Times New Roman"/>
          <w:sz w:val="18"/>
          <w:szCs w:val="18"/>
          <w:color w:val="auto"/>
        </w:rPr>
        <w:t xml:space="preserve"> </w:t>
      </w:r>
      <w:hyperlink r:id="rId185">
        <w:r>
          <w:rPr>
            <w:rFonts w:ascii="Times New Roman" w:cs="Times New Roman" w:eastAsia="Times New Roman" w:hAnsi="Times New Roman"/>
            <w:sz w:val="18"/>
            <w:szCs w:val="18"/>
            <w:color w:val="auto"/>
          </w:rPr>
          <w:t>to Chevron Corporation’s Current Report on Form 8-K filed February 2, 2018, and incorporated herein by reference.</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230505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560" w:top="171" w:right="359" w:bottom="1440" w:gutter="0" w:footer="0" w:header="0"/>
        </w:sectPr>
      </w:pPr>
    </w:p>
    <w:bookmarkStart w:id="119" w:name="page120"/>
    <w:bookmarkEnd w:id="119"/>
    <w:p>
      <w:pPr>
        <w:jc w:val="right"/>
        <w:spacing w:after="0"/>
        <w:rPr>
          <w:sz w:val="20"/>
          <w:szCs w:val="20"/>
          <w:color w:val="auto"/>
        </w:rPr>
      </w:pPr>
      <w:r>
        <w:rPr>
          <w:rFonts w:ascii="Arial" w:cs="Arial" w:eastAsia="Arial" w:hAnsi="Arial"/>
          <w:sz w:val="14"/>
          <w:szCs w:val="14"/>
          <w:color w:val="0077C0"/>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33655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 w:lineRule="exact"/>
        <w:rPr>
          <w:sz w:val="20"/>
          <w:szCs w:val="20"/>
          <w:color w:val="auto"/>
        </w:rPr>
      </w:pPr>
    </w:p>
    <w:p>
      <w:pPr>
        <w:ind w:left="40"/>
        <w:spacing w:after="0"/>
        <w:tabs>
          <w:tab w:leader="none" w:pos="92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10.12+</w:t>
      </w:r>
      <w:r>
        <w:rPr>
          <w:sz w:val="20"/>
          <w:szCs w:val="20"/>
          <w:color w:val="auto"/>
        </w:rPr>
        <w:tab/>
      </w:r>
      <w:hyperlink r:id="rId188">
        <w:r>
          <w:rPr>
            <w:rFonts w:ascii="Times New Roman" w:cs="Times New Roman" w:eastAsia="Times New Roman" w:hAnsi="Times New Roman"/>
            <w:sz w:val="18"/>
            <w:szCs w:val="18"/>
            <w:color w:val="auto"/>
          </w:rPr>
          <w:t>Form of Standard Restricted Stock Unit Award Agreement under the Long-Term Incentive Plan of Chevron Corporation, filed as Exhibit</w:t>
        </w:r>
      </w:hyperlink>
    </w:p>
    <w:p>
      <w:pPr>
        <w:ind w:left="940"/>
        <w:spacing w:after="0"/>
        <w:rPr>
          <w:rFonts w:ascii="Times New Roman" w:cs="Times New Roman" w:eastAsia="Times New Roman" w:hAnsi="Times New Roman"/>
          <w:sz w:val="18"/>
          <w:szCs w:val="18"/>
          <w:color w:val="auto"/>
        </w:rPr>
      </w:pPr>
      <w:hyperlink r:id="rId188">
        <w:r>
          <w:rPr>
            <w:rFonts w:ascii="Times New Roman" w:cs="Times New Roman" w:eastAsia="Times New Roman" w:hAnsi="Times New Roman"/>
            <w:sz w:val="18"/>
            <w:szCs w:val="18"/>
            <w:color w:val="auto"/>
          </w:rPr>
          <w:t>10.3 to Chevron Corporation’s Current Report on Form 8-K filed February 3, 2020, and incorporated herein by reference.</w:t>
        </w:r>
      </w:hyperlink>
    </w:p>
    <w:p>
      <w:pPr>
        <w:spacing w:after="0" w:line="16" w:lineRule="exact"/>
        <w:rPr>
          <w:sz w:val="20"/>
          <w:szCs w:val="20"/>
          <w:color w:val="auto"/>
        </w:rPr>
      </w:pPr>
    </w:p>
    <w:p>
      <w:pPr>
        <w:ind w:left="940" w:hanging="884"/>
        <w:spacing w:after="0" w:line="237" w:lineRule="auto"/>
        <w:tabs>
          <w:tab w:leader="none" w:pos="92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10.13+</w:t>
      </w:r>
      <w:r>
        <w:rPr>
          <w:sz w:val="20"/>
          <w:szCs w:val="20"/>
          <w:color w:val="auto"/>
        </w:rPr>
        <w:tab/>
      </w:r>
      <w:hyperlink r:id="rId189">
        <w:r>
          <w:rPr>
            <w:rFonts w:ascii="Times New Roman" w:cs="Times New Roman" w:eastAsia="Times New Roman" w:hAnsi="Times New Roman"/>
            <w:sz w:val="18"/>
            <w:szCs w:val="18"/>
            <w:color w:val="auto"/>
          </w:rPr>
          <w:t>Form of Non-Qualified Stock Option Award Agreement under the Long-Term Incentive Plan of Chevron Corporation, filed as Exhibit 10.2</w:t>
        </w:r>
      </w:hyperlink>
      <w:r>
        <w:rPr>
          <w:rFonts w:ascii="Times New Roman" w:cs="Times New Roman" w:eastAsia="Times New Roman" w:hAnsi="Times New Roman"/>
          <w:sz w:val="18"/>
          <w:szCs w:val="18"/>
          <w:color w:val="auto"/>
        </w:rPr>
        <w:t xml:space="preserve"> </w:t>
      </w:r>
      <w:hyperlink r:id="rId189">
        <w:r>
          <w:rPr>
            <w:rFonts w:ascii="Times New Roman" w:cs="Times New Roman" w:eastAsia="Times New Roman" w:hAnsi="Times New Roman"/>
            <w:sz w:val="18"/>
            <w:szCs w:val="18"/>
            <w:color w:val="auto"/>
          </w:rPr>
          <w:t>to Chevron Corporation’s Current Report on Form 8-K filed February 3, 2020, and incorporated herein by reference.</w:t>
        </w:r>
      </w:hyperlink>
    </w:p>
    <w:p>
      <w:pPr>
        <w:spacing w:after="0" w:line="10" w:lineRule="exact"/>
        <w:rPr>
          <w:sz w:val="20"/>
          <w:szCs w:val="20"/>
          <w:color w:val="auto"/>
        </w:rPr>
      </w:pPr>
    </w:p>
    <w:p>
      <w:pPr>
        <w:ind w:left="940" w:hanging="884"/>
        <w:spacing w:after="0" w:line="237" w:lineRule="auto"/>
        <w:tabs>
          <w:tab w:leader="none" w:pos="92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10.14+</w:t>
      </w:r>
      <w:r>
        <w:rPr>
          <w:sz w:val="20"/>
          <w:szCs w:val="20"/>
          <w:color w:val="auto"/>
        </w:rPr>
        <w:tab/>
      </w:r>
      <w:hyperlink r:id="rId190">
        <w:r>
          <w:rPr>
            <w:rFonts w:ascii="Times New Roman" w:cs="Times New Roman" w:eastAsia="Times New Roman" w:hAnsi="Times New Roman"/>
            <w:sz w:val="18"/>
            <w:szCs w:val="18"/>
            <w:color w:val="auto"/>
          </w:rPr>
          <w:t>Form of Performance Share Award Agreement under the Long-Term Incentive Plan of Chevron Corporation, filed as Exhibit 10.1 to</w:t>
        </w:r>
      </w:hyperlink>
      <w:r>
        <w:rPr>
          <w:rFonts w:ascii="Times New Roman" w:cs="Times New Roman" w:eastAsia="Times New Roman" w:hAnsi="Times New Roman"/>
          <w:sz w:val="18"/>
          <w:szCs w:val="18"/>
          <w:color w:val="auto"/>
        </w:rPr>
        <w:t xml:space="preserve"> </w:t>
      </w:r>
      <w:hyperlink r:id="rId190">
        <w:r>
          <w:rPr>
            <w:rFonts w:ascii="Times New Roman" w:cs="Times New Roman" w:eastAsia="Times New Roman" w:hAnsi="Times New Roman"/>
            <w:sz w:val="18"/>
            <w:szCs w:val="18"/>
            <w:color w:val="auto"/>
          </w:rPr>
          <w:t>Chevron Corporation’s Current Report on Form 8-K filed February 1, 2021, and incorporated herein by reference.</w:t>
        </w:r>
      </w:hyperlink>
    </w:p>
    <w:p>
      <w:pPr>
        <w:spacing w:after="0" w:line="10" w:lineRule="exact"/>
        <w:rPr>
          <w:sz w:val="20"/>
          <w:szCs w:val="20"/>
          <w:color w:val="auto"/>
        </w:rPr>
      </w:pPr>
    </w:p>
    <w:p>
      <w:pPr>
        <w:ind w:left="940" w:right="20" w:hanging="884"/>
        <w:spacing w:after="0" w:line="237" w:lineRule="auto"/>
        <w:tabs>
          <w:tab w:leader="none" w:pos="92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10.15+</w:t>
      </w:r>
      <w:r>
        <w:rPr>
          <w:sz w:val="20"/>
          <w:szCs w:val="20"/>
          <w:color w:val="auto"/>
        </w:rPr>
        <w:tab/>
      </w:r>
      <w:hyperlink r:id="rId191">
        <w:r>
          <w:rPr>
            <w:rFonts w:ascii="Times New Roman" w:cs="Times New Roman" w:eastAsia="Times New Roman" w:hAnsi="Times New Roman"/>
            <w:sz w:val="18"/>
            <w:szCs w:val="18"/>
            <w:color w:val="auto"/>
          </w:rPr>
          <w:t>Chevron Corporation Deferred Compensation Plan for Management Employees, filed as Exhibit 10.5 to Chevron Corporation’s Current</w:t>
        </w:r>
      </w:hyperlink>
      <w:r>
        <w:rPr>
          <w:rFonts w:ascii="Times New Roman" w:cs="Times New Roman" w:eastAsia="Times New Roman" w:hAnsi="Times New Roman"/>
          <w:sz w:val="18"/>
          <w:szCs w:val="18"/>
          <w:color w:val="auto"/>
        </w:rPr>
        <w:t xml:space="preserve"> </w:t>
      </w:r>
      <w:hyperlink r:id="rId191">
        <w:r>
          <w:rPr>
            <w:rFonts w:ascii="Times New Roman" w:cs="Times New Roman" w:eastAsia="Times New Roman" w:hAnsi="Times New Roman"/>
            <w:sz w:val="18"/>
            <w:szCs w:val="18"/>
            <w:color w:val="auto"/>
          </w:rPr>
          <w:t>Report on Form 8-K filed December 13, 2005, and incorporated herein by reference.</w:t>
        </w:r>
      </w:hyperlink>
    </w:p>
    <w:p>
      <w:pPr>
        <w:spacing w:after="0" w:line="10" w:lineRule="exact"/>
        <w:rPr>
          <w:sz w:val="20"/>
          <w:szCs w:val="20"/>
          <w:color w:val="auto"/>
        </w:rPr>
      </w:pPr>
    </w:p>
    <w:p>
      <w:pPr>
        <w:jc w:val="right"/>
        <w:ind w:left="40"/>
        <w:spacing w:after="0" w:line="22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10.16+    </w:t>
      </w:r>
      <w:hyperlink r:id="rId192">
        <w:r>
          <w:rPr>
            <w:rFonts w:ascii="Times New Roman" w:cs="Times New Roman" w:eastAsia="Times New Roman" w:hAnsi="Times New Roman"/>
            <w:sz w:val="18"/>
            <w:szCs w:val="18"/>
            <w:color w:val="auto"/>
          </w:rPr>
          <w:t>Chevron Corporation Deferred Compensation Plan for Management Employees II, amended and restated effective October 2, 2023, filed as</w:t>
        </w:r>
      </w:hyperlink>
      <w:r>
        <w:rPr>
          <w:rFonts w:ascii="Times New Roman" w:cs="Times New Roman" w:eastAsia="Times New Roman" w:hAnsi="Times New Roman"/>
          <w:sz w:val="18"/>
          <w:szCs w:val="18"/>
          <w:color w:val="auto"/>
        </w:rPr>
        <w:t xml:space="preserve"> </w:t>
      </w:r>
      <w:hyperlink r:id="rId192">
        <w:r>
          <w:rPr>
            <w:rFonts w:ascii="Times New Roman" w:cs="Times New Roman" w:eastAsia="Times New Roman" w:hAnsi="Times New Roman"/>
            <w:sz w:val="18"/>
            <w:szCs w:val="18"/>
            <w:color w:val="auto"/>
          </w:rPr>
          <w:t>Exhibit 10.1 to Chevron Corporation’s Quarterly Report on Form 10-Q for the quarter ended September 30, 2023, and incorporated herein</w:t>
        </w:r>
      </w:hyperlink>
    </w:p>
    <w:p>
      <w:pPr>
        <w:spacing w:after="0" w:line="2" w:lineRule="exact"/>
        <w:rPr>
          <w:sz w:val="20"/>
          <w:szCs w:val="20"/>
          <w:color w:val="auto"/>
        </w:rPr>
      </w:pPr>
    </w:p>
    <w:p>
      <w:pPr>
        <w:ind w:left="940"/>
        <w:spacing w:after="0"/>
        <w:rPr>
          <w:rFonts w:ascii="Times New Roman" w:cs="Times New Roman" w:eastAsia="Times New Roman" w:hAnsi="Times New Roman"/>
          <w:sz w:val="18"/>
          <w:szCs w:val="18"/>
          <w:color w:val="auto"/>
        </w:rPr>
      </w:pPr>
      <w:hyperlink r:id="rId192">
        <w:r>
          <w:rPr>
            <w:rFonts w:ascii="Times New Roman" w:cs="Times New Roman" w:eastAsia="Times New Roman" w:hAnsi="Times New Roman"/>
            <w:sz w:val="18"/>
            <w:szCs w:val="18"/>
            <w:color w:val="auto"/>
          </w:rPr>
          <w:t>by reference.</w:t>
        </w:r>
      </w:hyperlink>
    </w:p>
    <w:p>
      <w:pPr>
        <w:spacing w:after="0" w:line="7" w:lineRule="exact"/>
        <w:rPr>
          <w:sz w:val="20"/>
          <w:szCs w:val="20"/>
          <w:color w:val="auto"/>
        </w:rPr>
      </w:pPr>
    </w:p>
    <w:p>
      <w:pPr>
        <w:ind w:left="940" w:right="600" w:hanging="884"/>
        <w:spacing w:after="0" w:line="253" w:lineRule="auto"/>
        <w:tabs>
          <w:tab w:leader="none" w:pos="92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10.17+</w:t>
      </w:r>
      <w:r>
        <w:rPr>
          <w:sz w:val="20"/>
          <w:szCs w:val="20"/>
          <w:color w:val="auto"/>
        </w:rPr>
        <w:tab/>
      </w:r>
      <w:hyperlink r:id="rId193">
        <w:r>
          <w:rPr>
            <w:rFonts w:ascii="Times New Roman" w:cs="Times New Roman" w:eastAsia="Times New Roman" w:hAnsi="Times New Roman"/>
            <w:sz w:val="17"/>
            <w:szCs w:val="17"/>
            <w:color w:val="auto"/>
          </w:rPr>
          <w:t>Chevron Corporation Retirement Restoration Plan, amended and restated effective August 1, 2024, filed as Exhibit 10.2 to Chevron</w:t>
        </w:r>
      </w:hyperlink>
      <w:r>
        <w:rPr>
          <w:rFonts w:ascii="Times New Roman" w:cs="Times New Roman" w:eastAsia="Times New Roman" w:hAnsi="Times New Roman"/>
          <w:sz w:val="17"/>
          <w:szCs w:val="17"/>
          <w:color w:val="auto"/>
        </w:rPr>
        <w:t xml:space="preserve"> </w:t>
      </w:r>
      <w:hyperlink r:id="rId193">
        <w:r>
          <w:rPr>
            <w:rFonts w:ascii="Times New Roman" w:cs="Times New Roman" w:eastAsia="Times New Roman" w:hAnsi="Times New Roman"/>
            <w:sz w:val="17"/>
            <w:szCs w:val="17"/>
            <w:color w:val="auto"/>
          </w:rPr>
          <w:t>Corporation’s Quarterly Report on Form 10-Q for the quarter ended September 30, 2024, and incorporated herein by reference.</w:t>
        </w:r>
      </w:hyperlink>
    </w:p>
    <w:p>
      <w:pPr>
        <w:spacing w:after="0" w:line="2" w:lineRule="exact"/>
        <w:rPr>
          <w:sz w:val="20"/>
          <w:szCs w:val="20"/>
          <w:color w:val="auto"/>
        </w:rPr>
      </w:pPr>
    </w:p>
    <w:p>
      <w:pPr>
        <w:ind w:left="940" w:hanging="884"/>
        <w:spacing w:after="0" w:line="237" w:lineRule="auto"/>
        <w:tabs>
          <w:tab w:leader="none" w:pos="92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10.18+</w:t>
      </w:r>
      <w:r>
        <w:rPr>
          <w:sz w:val="20"/>
          <w:szCs w:val="20"/>
          <w:color w:val="auto"/>
        </w:rPr>
        <w:tab/>
      </w:r>
      <w:hyperlink r:id="rId194">
        <w:r>
          <w:rPr>
            <w:rFonts w:ascii="Times New Roman" w:cs="Times New Roman" w:eastAsia="Times New Roman" w:hAnsi="Times New Roman"/>
            <w:sz w:val="18"/>
            <w:szCs w:val="18"/>
            <w:color w:val="auto"/>
          </w:rPr>
          <w:t>Chevron Corporation ESIP Restoration Plan, Amended and Restated as of August 1, 2024, filed as Exhibit 10.3 to Chevron Corporation’s</w:t>
        </w:r>
      </w:hyperlink>
      <w:r>
        <w:rPr>
          <w:rFonts w:ascii="Times New Roman" w:cs="Times New Roman" w:eastAsia="Times New Roman" w:hAnsi="Times New Roman"/>
          <w:sz w:val="18"/>
          <w:szCs w:val="18"/>
          <w:color w:val="auto"/>
        </w:rPr>
        <w:t xml:space="preserve"> </w:t>
      </w:r>
      <w:hyperlink r:id="rId194">
        <w:r>
          <w:rPr>
            <w:rFonts w:ascii="Times New Roman" w:cs="Times New Roman" w:eastAsia="Times New Roman" w:hAnsi="Times New Roman"/>
            <w:sz w:val="18"/>
            <w:szCs w:val="18"/>
            <w:color w:val="auto"/>
          </w:rPr>
          <w:t>Quarterly Report on Form 10-Q for the quarter ended September 30, 2024, and incorporated herein by reference.</w:t>
        </w:r>
      </w:hyperlink>
    </w:p>
    <w:p>
      <w:pPr>
        <w:spacing w:after="0" w:line="10" w:lineRule="exact"/>
        <w:rPr>
          <w:sz w:val="20"/>
          <w:szCs w:val="20"/>
          <w:color w:val="auto"/>
        </w:rPr>
      </w:pPr>
    </w:p>
    <w:p>
      <w:pPr>
        <w:ind w:left="940" w:hanging="884"/>
        <w:spacing w:after="0" w:line="237" w:lineRule="auto"/>
        <w:tabs>
          <w:tab w:leader="none" w:pos="92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10.19+</w:t>
      </w:r>
      <w:r>
        <w:rPr>
          <w:sz w:val="20"/>
          <w:szCs w:val="20"/>
          <w:color w:val="auto"/>
        </w:rPr>
        <w:tab/>
      </w:r>
      <w:hyperlink r:id="rId195">
        <w:r>
          <w:rPr>
            <w:rFonts w:ascii="Times New Roman" w:cs="Times New Roman" w:eastAsia="Times New Roman" w:hAnsi="Times New Roman"/>
            <w:sz w:val="18"/>
            <w:szCs w:val="18"/>
            <w:color w:val="auto"/>
          </w:rPr>
          <w:t>Agreement between Chevron Corporation and R. Hewitt Pate, dated February 21, 2012, filed as Exhibit 10.16 to Chevron Corporation’s</w:t>
        </w:r>
      </w:hyperlink>
      <w:r>
        <w:rPr>
          <w:rFonts w:ascii="Times New Roman" w:cs="Times New Roman" w:eastAsia="Times New Roman" w:hAnsi="Times New Roman"/>
          <w:sz w:val="18"/>
          <w:szCs w:val="18"/>
          <w:color w:val="auto"/>
        </w:rPr>
        <w:t xml:space="preserve"> </w:t>
      </w:r>
      <w:hyperlink r:id="rId195">
        <w:r>
          <w:rPr>
            <w:rFonts w:ascii="Times New Roman" w:cs="Times New Roman" w:eastAsia="Times New Roman" w:hAnsi="Times New Roman"/>
            <w:sz w:val="18"/>
            <w:szCs w:val="18"/>
            <w:color w:val="auto"/>
          </w:rPr>
          <w:t>Annual Report on Form 10-K for the year ended December 31, 2011, and incorporated herein by reference.</w:t>
        </w:r>
      </w:hyperlink>
    </w:p>
    <w:p>
      <w:pPr>
        <w:spacing w:after="0" w:line="10" w:lineRule="exact"/>
        <w:rPr>
          <w:sz w:val="20"/>
          <w:szCs w:val="20"/>
          <w:color w:val="auto"/>
        </w:rPr>
      </w:pPr>
    </w:p>
    <w:p>
      <w:pPr>
        <w:ind w:left="940" w:hanging="884"/>
        <w:spacing w:after="0" w:line="237" w:lineRule="auto"/>
        <w:tabs>
          <w:tab w:leader="none" w:pos="92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10.20+</w:t>
      </w:r>
      <w:r>
        <w:rPr>
          <w:sz w:val="20"/>
          <w:szCs w:val="20"/>
          <w:color w:val="auto"/>
        </w:rPr>
        <w:tab/>
      </w:r>
      <w:hyperlink r:id="rId196">
        <w:r>
          <w:rPr>
            <w:rFonts w:ascii="Times New Roman" w:cs="Times New Roman" w:eastAsia="Times New Roman" w:hAnsi="Times New Roman"/>
            <w:sz w:val="18"/>
            <w:szCs w:val="18"/>
            <w:color w:val="auto"/>
          </w:rPr>
          <w:t>Agreement between Chevron Corporation and R. Hewitt Pate, dated December 13, 2018, filed as Exhibit 10.19 to Chevron Corporation’s</w:t>
        </w:r>
      </w:hyperlink>
      <w:r>
        <w:rPr>
          <w:rFonts w:ascii="Times New Roman" w:cs="Times New Roman" w:eastAsia="Times New Roman" w:hAnsi="Times New Roman"/>
          <w:sz w:val="18"/>
          <w:szCs w:val="18"/>
          <w:color w:val="auto"/>
        </w:rPr>
        <w:t xml:space="preserve"> </w:t>
      </w:r>
      <w:hyperlink r:id="rId196">
        <w:r>
          <w:rPr>
            <w:rFonts w:ascii="Times New Roman" w:cs="Times New Roman" w:eastAsia="Times New Roman" w:hAnsi="Times New Roman"/>
            <w:sz w:val="18"/>
            <w:szCs w:val="18"/>
            <w:color w:val="auto"/>
          </w:rPr>
          <w:t>Annual Report on Form 10-K for the year ended December 31, 2023, and incorporated herein by reference.</w:t>
        </w:r>
      </w:hyperlink>
    </w:p>
    <w:p>
      <w:pPr>
        <w:spacing w:after="0" w:line="237" w:lineRule="auto"/>
        <w:tabs>
          <w:tab w:leader="none" w:pos="920" w:val="left"/>
        </w:tabs>
        <w:rPr>
          <w:sz w:val="20"/>
          <w:szCs w:val="20"/>
          <w:color w:val="auto"/>
        </w:rPr>
      </w:pPr>
      <w:r>
        <w:rPr>
          <w:rFonts w:ascii="Times New Roman" w:cs="Times New Roman" w:eastAsia="Times New Roman" w:hAnsi="Times New Roman"/>
          <w:sz w:val="18"/>
          <w:szCs w:val="18"/>
          <w:color w:val="auto"/>
        </w:rPr>
        <w:t>10.21+*</w:t>
      </w:r>
      <w:r>
        <w:rPr>
          <w:sz w:val="20"/>
          <w:szCs w:val="20"/>
          <w:color w:val="auto"/>
        </w:rPr>
        <w:tab/>
      </w:r>
      <w:r>
        <w:rPr>
          <w:rFonts w:ascii="Times New Roman" w:cs="Times New Roman" w:eastAsia="Times New Roman" w:hAnsi="Times New Roman"/>
          <w:sz w:val="18"/>
          <w:szCs w:val="18"/>
          <w:color w:val="auto"/>
        </w:rPr>
        <w:t>Amended and Restated Aircraft Time-Sharing Agreement, dated as of November 16, 2024, between Chevron U.S.A. Inc. and Michael K.</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Wirth.</w:t>
      </w:r>
    </w:p>
    <w:p>
      <w:pPr>
        <w:spacing w:after="0" w:line="5" w:lineRule="exact"/>
        <w:rPr>
          <w:sz w:val="20"/>
          <w:szCs w:val="20"/>
          <w:color w:val="auto"/>
        </w:rPr>
      </w:pPr>
    </w:p>
    <w:p>
      <w:pPr>
        <w:ind w:left="40"/>
        <w:spacing w:after="0"/>
        <w:tabs>
          <w:tab w:leader="none" w:pos="92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10.22+</w:t>
      </w:r>
      <w:r>
        <w:rPr>
          <w:sz w:val="20"/>
          <w:szCs w:val="20"/>
          <w:color w:val="auto"/>
        </w:rPr>
        <w:tab/>
      </w:r>
      <w:hyperlink r:id="rId197">
        <w:r>
          <w:rPr>
            <w:rFonts w:ascii="Times New Roman" w:cs="Times New Roman" w:eastAsia="Times New Roman" w:hAnsi="Times New Roman"/>
            <w:sz w:val="18"/>
            <w:szCs w:val="18"/>
            <w:color w:val="auto"/>
          </w:rPr>
          <w:t>2022 Long-Term Incentive Plan of Chevron Corporation, amended and restated effective October 2, 2023, filed as Exhibit 10.4 to Chevron</w:t>
        </w:r>
      </w:hyperlink>
    </w:p>
    <w:p>
      <w:pPr>
        <w:jc w:val="center"/>
        <w:spacing w:after="0"/>
        <w:rPr>
          <w:rFonts w:ascii="Times New Roman" w:cs="Times New Roman" w:eastAsia="Times New Roman" w:hAnsi="Times New Roman"/>
          <w:sz w:val="18"/>
          <w:szCs w:val="18"/>
          <w:color w:val="auto"/>
        </w:rPr>
      </w:pPr>
      <w:hyperlink r:id="rId197">
        <w:r>
          <w:rPr>
            <w:rFonts w:ascii="Times New Roman" w:cs="Times New Roman" w:eastAsia="Times New Roman" w:hAnsi="Times New Roman"/>
            <w:sz w:val="18"/>
            <w:szCs w:val="18"/>
            <w:color w:val="auto"/>
          </w:rPr>
          <w:t>Corporation’s Quarterly Report on Form 10-Q for the quarter ended September 30, 2023, and incorporated herein by reference.</w:t>
        </w:r>
      </w:hyperlink>
    </w:p>
    <w:p>
      <w:pPr>
        <w:spacing w:after="0" w:line="16" w:lineRule="exact"/>
        <w:rPr>
          <w:sz w:val="20"/>
          <w:szCs w:val="20"/>
          <w:color w:val="auto"/>
        </w:rPr>
      </w:pPr>
    </w:p>
    <w:p>
      <w:pPr>
        <w:ind w:left="940" w:hanging="884"/>
        <w:spacing w:after="0" w:line="237" w:lineRule="auto"/>
        <w:tabs>
          <w:tab w:leader="none" w:pos="92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10.23+</w:t>
      </w:r>
      <w:r>
        <w:rPr>
          <w:sz w:val="20"/>
          <w:szCs w:val="20"/>
          <w:color w:val="auto"/>
        </w:rPr>
        <w:tab/>
      </w:r>
      <w:hyperlink r:id="rId198">
        <w:r>
          <w:rPr>
            <w:rFonts w:ascii="Times New Roman" w:cs="Times New Roman" w:eastAsia="Times New Roman" w:hAnsi="Times New Roman"/>
            <w:sz w:val="18"/>
            <w:szCs w:val="18"/>
            <w:color w:val="auto"/>
          </w:rPr>
          <w:t>Form of Performance Share Award Agreement under the 2022 Long-Term Incentive Plan of Chevron Corporation, filed as Exhibit 10.1 to</w:t>
        </w:r>
      </w:hyperlink>
      <w:r>
        <w:rPr>
          <w:rFonts w:ascii="Times New Roman" w:cs="Times New Roman" w:eastAsia="Times New Roman" w:hAnsi="Times New Roman"/>
          <w:sz w:val="18"/>
          <w:szCs w:val="18"/>
          <w:color w:val="auto"/>
        </w:rPr>
        <w:t xml:space="preserve"> </w:t>
      </w:r>
      <w:hyperlink r:id="rId198">
        <w:r>
          <w:rPr>
            <w:rFonts w:ascii="Times New Roman" w:cs="Times New Roman" w:eastAsia="Times New Roman" w:hAnsi="Times New Roman"/>
            <w:sz w:val="18"/>
            <w:szCs w:val="18"/>
            <w:color w:val="auto"/>
          </w:rPr>
          <w:t>Chevron Corporation’s Current Report on Form 8-K filed January 27, 2023, and incorporated herein by reference.</w:t>
        </w:r>
      </w:hyperlink>
    </w:p>
    <w:p>
      <w:pPr>
        <w:spacing w:after="0" w:line="10" w:lineRule="exact"/>
        <w:rPr>
          <w:sz w:val="20"/>
          <w:szCs w:val="20"/>
          <w:color w:val="auto"/>
        </w:rPr>
      </w:pPr>
    </w:p>
    <w:p>
      <w:pPr>
        <w:jc w:val="right"/>
        <w:ind w:left="40"/>
        <w:spacing w:after="0" w:line="22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10.24+    </w:t>
      </w:r>
      <w:hyperlink r:id="rId199">
        <w:r>
          <w:rPr>
            <w:rFonts w:ascii="Times New Roman" w:cs="Times New Roman" w:eastAsia="Times New Roman" w:hAnsi="Times New Roman"/>
            <w:sz w:val="18"/>
            <w:szCs w:val="18"/>
            <w:color w:val="auto"/>
          </w:rPr>
          <w:t>Form of Standard Restricted Stock Unit Award Agreement (share settled) under the 2022 Long-Term Incentive Plan of Chevron</w:t>
        </w:r>
      </w:hyperlink>
      <w:r>
        <w:rPr>
          <w:rFonts w:ascii="Times New Roman" w:cs="Times New Roman" w:eastAsia="Times New Roman" w:hAnsi="Times New Roman"/>
          <w:sz w:val="18"/>
          <w:szCs w:val="18"/>
          <w:color w:val="auto"/>
        </w:rPr>
        <w:t xml:space="preserve"> </w:t>
      </w:r>
      <w:hyperlink r:id="rId199">
        <w:r>
          <w:rPr>
            <w:rFonts w:ascii="Times New Roman" w:cs="Times New Roman" w:eastAsia="Times New Roman" w:hAnsi="Times New Roman"/>
            <w:sz w:val="18"/>
            <w:szCs w:val="18"/>
            <w:color w:val="auto"/>
          </w:rPr>
          <w:t>Corporation, filed as Exhibit 10.2 to Chevron Corporation’s Current Report on Form 8-K filed January 27, 2023, and incorporated herein</w:t>
        </w:r>
      </w:hyperlink>
    </w:p>
    <w:p>
      <w:pPr>
        <w:spacing w:after="0" w:line="2" w:lineRule="exact"/>
        <w:rPr>
          <w:sz w:val="20"/>
          <w:szCs w:val="20"/>
          <w:color w:val="auto"/>
        </w:rPr>
      </w:pPr>
    </w:p>
    <w:p>
      <w:pPr>
        <w:ind w:left="940"/>
        <w:spacing w:after="0"/>
        <w:rPr>
          <w:rFonts w:ascii="Times New Roman" w:cs="Times New Roman" w:eastAsia="Times New Roman" w:hAnsi="Times New Roman"/>
          <w:sz w:val="18"/>
          <w:szCs w:val="18"/>
          <w:color w:val="auto"/>
        </w:rPr>
      </w:pPr>
      <w:hyperlink r:id="rId199">
        <w:r>
          <w:rPr>
            <w:rFonts w:ascii="Times New Roman" w:cs="Times New Roman" w:eastAsia="Times New Roman" w:hAnsi="Times New Roman"/>
            <w:sz w:val="18"/>
            <w:szCs w:val="18"/>
            <w:color w:val="auto"/>
          </w:rPr>
          <w:t>by reference.</w:t>
        </w:r>
      </w:hyperlink>
    </w:p>
    <w:p>
      <w:pPr>
        <w:spacing w:after="0" w:line="7" w:lineRule="exact"/>
        <w:rPr>
          <w:sz w:val="20"/>
          <w:szCs w:val="20"/>
          <w:color w:val="auto"/>
        </w:rPr>
      </w:pPr>
    </w:p>
    <w:p>
      <w:pPr>
        <w:jc w:val="right"/>
        <w:ind w:left="40"/>
        <w:spacing w:after="0" w:line="22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10.25+    </w:t>
      </w:r>
      <w:hyperlink r:id="rId200">
        <w:r>
          <w:rPr>
            <w:rFonts w:ascii="Times New Roman" w:cs="Times New Roman" w:eastAsia="Times New Roman" w:hAnsi="Times New Roman"/>
            <w:sz w:val="18"/>
            <w:szCs w:val="18"/>
            <w:color w:val="auto"/>
          </w:rPr>
          <w:t>Form of Standard Restricted Stock Unit Award Agreement (cash settled) under the 2022 Long-Term Incentive Plan of Chevron</w:t>
        </w:r>
      </w:hyperlink>
      <w:r>
        <w:rPr>
          <w:rFonts w:ascii="Times New Roman" w:cs="Times New Roman" w:eastAsia="Times New Roman" w:hAnsi="Times New Roman"/>
          <w:sz w:val="18"/>
          <w:szCs w:val="18"/>
          <w:color w:val="auto"/>
        </w:rPr>
        <w:t xml:space="preserve"> </w:t>
      </w:r>
      <w:hyperlink r:id="rId200">
        <w:r>
          <w:rPr>
            <w:rFonts w:ascii="Times New Roman" w:cs="Times New Roman" w:eastAsia="Times New Roman" w:hAnsi="Times New Roman"/>
            <w:sz w:val="18"/>
            <w:szCs w:val="18"/>
            <w:color w:val="auto"/>
          </w:rPr>
          <w:t>Corporation, filed as Exhibit 10.3 to Chevron Corporation’s Current Report on Form 8-K filed January 27, 2023, and incorporated herein</w:t>
        </w:r>
      </w:hyperlink>
    </w:p>
    <w:p>
      <w:pPr>
        <w:ind w:left="940"/>
        <w:spacing w:after="0"/>
        <w:rPr>
          <w:rFonts w:ascii="Times New Roman" w:cs="Times New Roman" w:eastAsia="Times New Roman" w:hAnsi="Times New Roman"/>
          <w:sz w:val="18"/>
          <w:szCs w:val="18"/>
          <w:color w:val="auto"/>
        </w:rPr>
      </w:pPr>
      <w:hyperlink r:id="rId200">
        <w:r>
          <w:rPr>
            <w:rFonts w:ascii="Times New Roman" w:cs="Times New Roman" w:eastAsia="Times New Roman" w:hAnsi="Times New Roman"/>
            <w:sz w:val="18"/>
            <w:szCs w:val="18"/>
            <w:color w:val="auto"/>
          </w:rPr>
          <w:t>by reference.</w:t>
        </w:r>
      </w:hyperlink>
    </w:p>
    <w:p>
      <w:pPr>
        <w:spacing w:after="0" w:line="7" w:lineRule="exact"/>
        <w:rPr>
          <w:sz w:val="20"/>
          <w:szCs w:val="20"/>
          <w:color w:val="auto"/>
        </w:rPr>
      </w:pPr>
    </w:p>
    <w:p>
      <w:pPr>
        <w:ind w:left="940" w:hanging="884"/>
        <w:spacing w:after="0" w:line="234" w:lineRule="auto"/>
        <w:tabs>
          <w:tab w:leader="none" w:pos="92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10.26+</w:t>
      </w:r>
      <w:r>
        <w:rPr>
          <w:sz w:val="20"/>
          <w:szCs w:val="20"/>
          <w:color w:val="auto"/>
        </w:rPr>
        <w:tab/>
      </w:r>
      <w:hyperlink r:id="rId201">
        <w:r>
          <w:rPr>
            <w:rFonts w:ascii="Times New Roman" w:cs="Times New Roman" w:eastAsia="Times New Roman" w:hAnsi="Times New Roman"/>
            <w:sz w:val="18"/>
            <w:szCs w:val="18"/>
            <w:color w:val="auto"/>
          </w:rPr>
          <w:t>Form of Non-Qualified Stock Options Award Agreement under the 2022 Long-Term Incentive Plan of Chevron Corporation, filed as</w:t>
        </w:r>
      </w:hyperlink>
      <w:r>
        <w:rPr>
          <w:rFonts w:ascii="Times New Roman" w:cs="Times New Roman" w:eastAsia="Times New Roman" w:hAnsi="Times New Roman"/>
          <w:sz w:val="18"/>
          <w:szCs w:val="18"/>
          <w:color w:val="auto"/>
        </w:rPr>
        <w:t xml:space="preserve"> </w:t>
      </w:r>
      <w:hyperlink r:id="rId201">
        <w:r>
          <w:rPr>
            <w:rFonts w:ascii="Times New Roman" w:cs="Times New Roman" w:eastAsia="Times New Roman" w:hAnsi="Times New Roman"/>
            <w:sz w:val="18"/>
            <w:szCs w:val="18"/>
            <w:color w:val="auto"/>
          </w:rPr>
          <w:t>Exhibit 10.6 to Chevron Corporation’s Current Report on Form 8-K filed January 27, 2023, and incorporated herein by reference.</w:t>
        </w:r>
      </w:hyperlink>
    </w:p>
    <w:p>
      <w:pPr>
        <w:ind w:left="40"/>
        <w:spacing w:after="0" w:line="238" w:lineRule="auto"/>
        <w:tabs>
          <w:tab w:leader="none" w:pos="92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10.27+</w:t>
      </w:r>
      <w:r>
        <w:rPr>
          <w:sz w:val="20"/>
          <w:szCs w:val="20"/>
          <w:color w:val="auto"/>
        </w:rPr>
        <w:tab/>
      </w:r>
      <w:hyperlink r:id="rId202">
        <w:r>
          <w:rPr>
            <w:rFonts w:ascii="Times New Roman" w:cs="Times New Roman" w:eastAsia="Times New Roman" w:hAnsi="Times New Roman"/>
            <w:sz w:val="18"/>
            <w:szCs w:val="18"/>
            <w:color w:val="auto"/>
          </w:rPr>
          <w:t>Form of Stock Appreciation Right Award Agreement under the 2022 Long-Term Incentive Plan of Chevron Corporation, filed as Exhibit</w:t>
        </w:r>
      </w:hyperlink>
    </w:p>
    <w:p>
      <w:pPr>
        <w:ind w:left="940"/>
        <w:spacing w:after="0"/>
        <w:rPr>
          <w:rFonts w:ascii="Times New Roman" w:cs="Times New Roman" w:eastAsia="Times New Roman" w:hAnsi="Times New Roman"/>
          <w:sz w:val="18"/>
          <w:szCs w:val="18"/>
          <w:color w:val="auto"/>
        </w:rPr>
      </w:pPr>
      <w:hyperlink r:id="rId202">
        <w:r>
          <w:rPr>
            <w:rFonts w:ascii="Times New Roman" w:cs="Times New Roman" w:eastAsia="Times New Roman" w:hAnsi="Times New Roman"/>
            <w:sz w:val="18"/>
            <w:szCs w:val="18"/>
            <w:color w:val="auto"/>
          </w:rPr>
          <w:t>10.7 to Chevron Corporation’s Current Report on Form 8-K filed January 27, 2023, and incorporated herein by reference.</w:t>
        </w:r>
      </w:hyperlink>
    </w:p>
    <w:p>
      <w:pPr>
        <w:spacing w:after="0" w:line="16" w:lineRule="exact"/>
        <w:rPr>
          <w:sz w:val="20"/>
          <w:szCs w:val="20"/>
          <w:color w:val="auto"/>
        </w:rPr>
      </w:pPr>
    </w:p>
    <w:p>
      <w:pPr>
        <w:ind w:left="940" w:hanging="884"/>
        <w:spacing w:after="0" w:line="237" w:lineRule="auto"/>
        <w:tabs>
          <w:tab w:leader="none" w:pos="92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10.28+</w:t>
      </w:r>
      <w:r>
        <w:rPr>
          <w:sz w:val="20"/>
          <w:szCs w:val="20"/>
          <w:color w:val="auto"/>
        </w:rPr>
        <w:tab/>
      </w:r>
      <w:hyperlink r:id="rId203">
        <w:r>
          <w:rPr>
            <w:rFonts w:ascii="Times New Roman" w:cs="Times New Roman" w:eastAsia="Times New Roman" w:hAnsi="Times New Roman"/>
            <w:sz w:val="18"/>
            <w:szCs w:val="18"/>
            <w:color w:val="auto"/>
          </w:rPr>
          <w:t>Form of Performance Share Award Agreement (share settled) under the 2022 Long-Term Incentive Plan of Chevron Corporation, filed as</w:t>
        </w:r>
      </w:hyperlink>
      <w:r>
        <w:rPr>
          <w:rFonts w:ascii="Times New Roman" w:cs="Times New Roman" w:eastAsia="Times New Roman" w:hAnsi="Times New Roman"/>
          <w:sz w:val="18"/>
          <w:szCs w:val="18"/>
          <w:color w:val="auto"/>
        </w:rPr>
        <w:t xml:space="preserve"> </w:t>
      </w:r>
      <w:hyperlink r:id="rId203">
        <w:r>
          <w:rPr>
            <w:rFonts w:ascii="Times New Roman" w:cs="Times New Roman" w:eastAsia="Times New Roman" w:hAnsi="Times New Roman"/>
            <w:sz w:val="18"/>
            <w:szCs w:val="18"/>
            <w:color w:val="auto"/>
          </w:rPr>
          <w:t>Exhibit 10.1 to Chevron Corporation’s Current Report on Form 8-K filed February 2, 2024, and incorporated herein by reference.</w:t>
        </w:r>
      </w:hyperlink>
    </w:p>
    <w:p>
      <w:pPr>
        <w:spacing w:after="0" w:line="10" w:lineRule="exact"/>
        <w:rPr>
          <w:sz w:val="20"/>
          <w:szCs w:val="20"/>
          <w:color w:val="auto"/>
        </w:rPr>
      </w:pPr>
    </w:p>
    <w:p>
      <w:pPr>
        <w:ind w:left="940" w:hanging="884"/>
        <w:spacing w:after="0" w:line="237" w:lineRule="auto"/>
        <w:tabs>
          <w:tab w:leader="none" w:pos="92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10.29+</w:t>
      </w:r>
      <w:r>
        <w:rPr>
          <w:sz w:val="20"/>
          <w:szCs w:val="20"/>
          <w:color w:val="auto"/>
        </w:rPr>
        <w:tab/>
      </w:r>
      <w:hyperlink r:id="rId204">
        <w:r>
          <w:rPr>
            <w:rFonts w:ascii="Times New Roman" w:cs="Times New Roman" w:eastAsia="Times New Roman" w:hAnsi="Times New Roman"/>
            <w:sz w:val="18"/>
            <w:szCs w:val="18"/>
            <w:color w:val="auto"/>
          </w:rPr>
          <w:t>Form of Performance Share Award Agreement (cash settled) under the 2022 Long-Term Incentive Plan of Chevron Corporation, filed as</w:t>
        </w:r>
      </w:hyperlink>
      <w:r>
        <w:rPr>
          <w:rFonts w:ascii="Times New Roman" w:cs="Times New Roman" w:eastAsia="Times New Roman" w:hAnsi="Times New Roman"/>
          <w:sz w:val="18"/>
          <w:szCs w:val="18"/>
          <w:color w:val="auto"/>
        </w:rPr>
        <w:t xml:space="preserve"> </w:t>
      </w:r>
      <w:hyperlink r:id="rId204">
        <w:r>
          <w:rPr>
            <w:rFonts w:ascii="Times New Roman" w:cs="Times New Roman" w:eastAsia="Times New Roman" w:hAnsi="Times New Roman"/>
            <w:sz w:val="18"/>
            <w:szCs w:val="18"/>
            <w:color w:val="auto"/>
          </w:rPr>
          <w:t>Exhibit 10.2 to Chevron Corporation’s Current Report on Form 8-K filed February 2, 2024, and incorporated herein by reference.</w:t>
        </w:r>
      </w:hyperlink>
    </w:p>
    <w:p>
      <w:pPr>
        <w:spacing w:after="0" w:line="10" w:lineRule="exact"/>
        <w:rPr>
          <w:sz w:val="20"/>
          <w:szCs w:val="20"/>
          <w:color w:val="auto"/>
        </w:rPr>
      </w:pPr>
    </w:p>
    <w:p>
      <w:pPr>
        <w:jc w:val="right"/>
        <w:ind w:left="40"/>
        <w:spacing w:after="0" w:line="22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10.30+    </w:t>
      </w:r>
      <w:hyperlink r:id="rId205">
        <w:r>
          <w:rPr>
            <w:rFonts w:ascii="Times New Roman" w:cs="Times New Roman" w:eastAsia="Times New Roman" w:hAnsi="Times New Roman"/>
            <w:sz w:val="18"/>
            <w:szCs w:val="18"/>
            <w:color w:val="auto"/>
          </w:rPr>
          <w:t>Form of Standard Restricted Stock Unit Award Agreement (share settled) under the 2022 Long-Term Incentive Plan of Chevron</w:t>
        </w:r>
      </w:hyperlink>
      <w:r>
        <w:rPr>
          <w:rFonts w:ascii="Times New Roman" w:cs="Times New Roman" w:eastAsia="Times New Roman" w:hAnsi="Times New Roman"/>
          <w:sz w:val="18"/>
          <w:szCs w:val="18"/>
          <w:color w:val="auto"/>
        </w:rPr>
        <w:t xml:space="preserve"> </w:t>
      </w:r>
      <w:hyperlink r:id="rId205">
        <w:r>
          <w:rPr>
            <w:rFonts w:ascii="Times New Roman" w:cs="Times New Roman" w:eastAsia="Times New Roman" w:hAnsi="Times New Roman"/>
            <w:sz w:val="18"/>
            <w:szCs w:val="18"/>
            <w:color w:val="auto"/>
          </w:rPr>
          <w:t>Corporation, filed as Exhibit 10.3 to Chevron Corporation’s Current Report on Form 8-K filed February 2, 2024, and incorporated herein</w:t>
        </w:r>
      </w:hyperlink>
    </w:p>
    <w:p>
      <w:pPr>
        <w:spacing w:after="0" w:line="2" w:lineRule="exact"/>
        <w:rPr>
          <w:sz w:val="20"/>
          <w:szCs w:val="20"/>
          <w:color w:val="auto"/>
        </w:rPr>
      </w:pPr>
    </w:p>
    <w:p>
      <w:pPr>
        <w:ind w:left="940"/>
        <w:spacing w:after="0"/>
        <w:rPr>
          <w:rFonts w:ascii="Times New Roman" w:cs="Times New Roman" w:eastAsia="Times New Roman" w:hAnsi="Times New Roman"/>
          <w:sz w:val="18"/>
          <w:szCs w:val="18"/>
          <w:color w:val="auto"/>
        </w:rPr>
      </w:pPr>
      <w:hyperlink r:id="rId205">
        <w:r>
          <w:rPr>
            <w:rFonts w:ascii="Times New Roman" w:cs="Times New Roman" w:eastAsia="Times New Roman" w:hAnsi="Times New Roman"/>
            <w:sz w:val="18"/>
            <w:szCs w:val="18"/>
            <w:color w:val="auto"/>
          </w:rPr>
          <w:t>by reference.</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230505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520" w:top="171" w:right="359" w:bottom="1440" w:gutter="0" w:footer="0" w:header="0"/>
        </w:sectPr>
      </w:pPr>
    </w:p>
    <w:bookmarkStart w:id="120" w:name="page121"/>
    <w:bookmarkEnd w:id="120"/>
    <w:p>
      <w:pPr>
        <w:ind w:left="10100"/>
        <w:spacing w:after="0"/>
        <w:rPr>
          <w:sz w:val="20"/>
          <w:szCs w:val="20"/>
          <w:color w:val="auto"/>
        </w:rPr>
      </w:pPr>
      <w:r>
        <w:rPr>
          <w:rFonts w:ascii="Arial" w:cs="Arial" w:eastAsia="Arial" w:hAnsi="Arial"/>
          <w:sz w:val="14"/>
          <w:szCs w:val="14"/>
          <w:color w:val="0077C0"/>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220" w:type="dxa"/>
            <w:vAlign w:val="bottom"/>
          </w:tcPr>
          <w:p>
            <w:pPr>
              <w:ind w:left="48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020" w:type="dxa"/>
            <w:vAlign w:val="bottom"/>
            <w:tcBorders>
              <w:bottom w:val="single" w:sz="8" w:color="auto"/>
            </w:tcBorders>
          </w:tcPr>
          <w:p>
            <w:pPr>
              <w:spacing w:after="0"/>
              <w:rPr>
                <w:sz w:val="2"/>
                <w:szCs w:val="2"/>
                <w:color w:val="auto"/>
              </w:rPr>
            </w:pPr>
          </w:p>
        </w:tc>
        <w:tc>
          <w:tcPr>
            <w:tcW w:w="10220" w:type="dxa"/>
            <w:vAlign w:val="bottom"/>
            <w:tcBorders>
              <w:bottom w:val="single" w:sz="8" w:color="auto"/>
            </w:tcBorders>
          </w:tcPr>
          <w:p>
            <w:pPr>
              <w:spacing w:after="0"/>
              <w:rPr>
                <w:sz w:val="2"/>
                <w:szCs w:val="2"/>
                <w:color w:val="auto"/>
              </w:rPr>
            </w:pPr>
          </w:p>
        </w:tc>
      </w:tr>
      <w:tr>
        <w:trPr>
          <w:trHeight w:val="169"/>
        </w:trPr>
        <w:tc>
          <w:tcPr>
            <w:tcW w:w="10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10.31+</w:t>
            </w:r>
          </w:p>
        </w:tc>
        <w:tc>
          <w:tcPr>
            <w:tcW w:w="10220" w:type="dxa"/>
            <w:vAlign w:val="bottom"/>
          </w:tcPr>
          <w:p>
            <w:pPr>
              <w:ind w:left="120"/>
              <w:spacing w:after="0" w:line="169" w:lineRule="exact"/>
              <w:rPr>
                <w:rFonts w:ascii="Times New Roman" w:cs="Times New Roman" w:eastAsia="Times New Roman" w:hAnsi="Times New Roman"/>
                <w:sz w:val="18"/>
                <w:szCs w:val="18"/>
                <w:color w:val="auto"/>
              </w:rPr>
            </w:pPr>
            <w:hyperlink r:id="rId207">
              <w:r>
                <w:rPr>
                  <w:rFonts w:ascii="Times New Roman" w:cs="Times New Roman" w:eastAsia="Times New Roman" w:hAnsi="Times New Roman"/>
                  <w:sz w:val="18"/>
                  <w:szCs w:val="18"/>
                  <w:color w:val="auto"/>
                </w:rPr>
                <w:t>Form of Standard Restricted Stock Unit Award Agreement (cash settled) under the 2022 Long-Term Incentive Plan of Chevron</w:t>
              </w:r>
            </w:hyperlink>
          </w:p>
        </w:tc>
      </w:tr>
      <w:tr>
        <w:trPr>
          <w:trHeight w:val="184"/>
        </w:trPr>
        <w:tc>
          <w:tcPr>
            <w:tcW w:w="1020" w:type="dxa"/>
            <w:vAlign w:val="bottom"/>
          </w:tcPr>
          <w:p>
            <w:pPr>
              <w:spacing w:after="0"/>
              <w:rPr>
                <w:sz w:val="16"/>
                <w:szCs w:val="16"/>
                <w:color w:val="auto"/>
              </w:rPr>
            </w:pPr>
          </w:p>
        </w:tc>
        <w:tc>
          <w:tcPr>
            <w:tcW w:w="10220" w:type="dxa"/>
            <w:vAlign w:val="bottom"/>
          </w:tcPr>
          <w:p>
            <w:pPr>
              <w:ind w:left="120"/>
              <w:spacing w:after="0" w:line="184" w:lineRule="exact"/>
              <w:rPr>
                <w:rFonts w:ascii="Times New Roman" w:cs="Times New Roman" w:eastAsia="Times New Roman" w:hAnsi="Times New Roman"/>
                <w:sz w:val="18"/>
                <w:szCs w:val="18"/>
                <w:color w:val="auto"/>
              </w:rPr>
            </w:pPr>
            <w:hyperlink r:id="rId207">
              <w:r>
                <w:rPr>
                  <w:rFonts w:ascii="Times New Roman" w:cs="Times New Roman" w:eastAsia="Times New Roman" w:hAnsi="Times New Roman"/>
                  <w:sz w:val="18"/>
                  <w:szCs w:val="18"/>
                  <w:color w:val="auto"/>
                </w:rPr>
                <w:t>Corporation, filed as Exhibit 10.4 to Chevron Corporation’s Current Report on Form 8-K filed February 2, 2024, and incorporated herein</w:t>
              </w:r>
            </w:hyperlink>
          </w:p>
        </w:tc>
      </w:tr>
      <w:tr>
        <w:trPr>
          <w:trHeight w:val="230"/>
        </w:trPr>
        <w:tc>
          <w:tcPr>
            <w:tcW w:w="1020" w:type="dxa"/>
            <w:vAlign w:val="bottom"/>
          </w:tcPr>
          <w:p>
            <w:pPr>
              <w:spacing w:after="0"/>
              <w:rPr>
                <w:sz w:val="19"/>
                <w:szCs w:val="19"/>
                <w:color w:val="auto"/>
              </w:rPr>
            </w:pPr>
          </w:p>
        </w:tc>
        <w:tc>
          <w:tcPr>
            <w:tcW w:w="10220" w:type="dxa"/>
            <w:vAlign w:val="bottom"/>
          </w:tcPr>
          <w:p>
            <w:pPr>
              <w:ind w:left="120"/>
              <w:spacing w:after="0"/>
              <w:rPr>
                <w:rFonts w:ascii="Times New Roman" w:cs="Times New Roman" w:eastAsia="Times New Roman" w:hAnsi="Times New Roman"/>
                <w:sz w:val="18"/>
                <w:szCs w:val="18"/>
                <w:color w:val="auto"/>
              </w:rPr>
            </w:pPr>
            <w:hyperlink r:id="rId207">
              <w:r>
                <w:rPr>
                  <w:rFonts w:ascii="Times New Roman" w:cs="Times New Roman" w:eastAsia="Times New Roman" w:hAnsi="Times New Roman"/>
                  <w:sz w:val="18"/>
                  <w:szCs w:val="18"/>
                  <w:color w:val="auto"/>
                </w:rPr>
                <w:t>by reference.</w:t>
              </w:r>
            </w:hyperlink>
          </w:p>
        </w:tc>
      </w:tr>
      <w:tr>
        <w:trPr>
          <w:trHeight w:val="180"/>
        </w:trPr>
        <w:tc>
          <w:tcPr>
            <w:tcW w:w="10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10.32+</w:t>
            </w:r>
          </w:p>
        </w:tc>
        <w:tc>
          <w:tcPr>
            <w:tcW w:w="10220" w:type="dxa"/>
            <w:vAlign w:val="bottom"/>
          </w:tcPr>
          <w:p>
            <w:pPr>
              <w:ind w:left="120"/>
              <w:spacing w:after="0" w:line="181" w:lineRule="exact"/>
              <w:rPr>
                <w:rFonts w:ascii="Times New Roman" w:cs="Times New Roman" w:eastAsia="Times New Roman" w:hAnsi="Times New Roman"/>
                <w:sz w:val="18"/>
                <w:szCs w:val="18"/>
                <w:color w:val="auto"/>
                <w:w w:val="99"/>
              </w:rPr>
            </w:pPr>
            <w:hyperlink r:id="rId208">
              <w:r>
                <w:rPr>
                  <w:rFonts w:ascii="Times New Roman" w:cs="Times New Roman" w:eastAsia="Times New Roman" w:hAnsi="Times New Roman"/>
                  <w:sz w:val="18"/>
                  <w:szCs w:val="18"/>
                  <w:color w:val="auto"/>
                  <w:w w:val="99"/>
                </w:rPr>
                <w:t>Form of Special Restricted Stock Unit Award Agreement (share settled) under the 2022 Long-Term Incentive Plan of Chevron Corporation,</w:t>
              </w:r>
            </w:hyperlink>
          </w:p>
        </w:tc>
      </w:tr>
      <w:tr>
        <w:trPr>
          <w:trHeight w:val="234"/>
        </w:trPr>
        <w:tc>
          <w:tcPr>
            <w:tcW w:w="1020" w:type="dxa"/>
            <w:vAlign w:val="bottom"/>
          </w:tcPr>
          <w:p>
            <w:pPr>
              <w:spacing w:after="0"/>
              <w:rPr>
                <w:sz w:val="20"/>
                <w:szCs w:val="20"/>
                <w:color w:val="auto"/>
              </w:rPr>
            </w:pPr>
          </w:p>
        </w:tc>
        <w:tc>
          <w:tcPr>
            <w:tcW w:w="10220" w:type="dxa"/>
            <w:vAlign w:val="bottom"/>
          </w:tcPr>
          <w:p>
            <w:pPr>
              <w:ind w:left="120"/>
              <w:spacing w:after="0"/>
              <w:rPr>
                <w:rFonts w:ascii="Times New Roman" w:cs="Times New Roman" w:eastAsia="Times New Roman" w:hAnsi="Times New Roman"/>
                <w:sz w:val="18"/>
                <w:szCs w:val="18"/>
                <w:color w:val="auto"/>
              </w:rPr>
            </w:pPr>
            <w:hyperlink r:id="rId208">
              <w:r>
                <w:rPr>
                  <w:rFonts w:ascii="Times New Roman" w:cs="Times New Roman" w:eastAsia="Times New Roman" w:hAnsi="Times New Roman"/>
                  <w:sz w:val="18"/>
                  <w:szCs w:val="18"/>
                  <w:color w:val="auto"/>
                </w:rPr>
                <w:t>filed as Exhibit 10.5 to Chevron Corporation’s Current Report on Form 8-K filed February 2, 2024, and incorporated herein by reference.</w:t>
              </w:r>
            </w:hyperlink>
          </w:p>
        </w:tc>
      </w:tr>
      <w:tr>
        <w:trPr>
          <w:trHeight w:val="184"/>
        </w:trPr>
        <w:tc>
          <w:tcPr>
            <w:tcW w:w="10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10.33+</w:t>
            </w:r>
          </w:p>
        </w:tc>
        <w:tc>
          <w:tcPr>
            <w:tcW w:w="10220" w:type="dxa"/>
            <w:vAlign w:val="bottom"/>
          </w:tcPr>
          <w:p>
            <w:pPr>
              <w:ind w:left="120"/>
              <w:spacing w:after="0" w:line="184" w:lineRule="exact"/>
              <w:rPr>
                <w:rFonts w:ascii="Times New Roman" w:cs="Times New Roman" w:eastAsia="Times New Roman" w:hAnsi="Times New Roman"/>
                <w:sz w:val="18"/>
                <w:szCs w:val="18"/>
                <w:color w:val="auto"/>
              </w:rPr>
            </w:pPr>
            <w:hyperlink r:id="rId209">
              <w:r>
                <w:rPr>
                  <w:rFonts w:ascii="Times New Roman" w:cs="Times New Roman" w:eastAsia="Times New Roman" w:hAnsi="Times New Roman"/>
                  <w:sz w:val="18"/>
                  <w:szCs w:val="18"/>
                  <w:color w:val="auto"/>
                </w:rPr>
                <w:t>Form of Special Restricted Stock Unit Award Agreement (cash settled) under the 2022 Long-Term Incentive Plan of Chevron Corporation,</w:t>
              </w:r>
            </w:hyperlink>
          </w:p>
        </w:tc>
      </w:tr>
      <w:tr>
        <w:trPr>
          <w:trHeight w:val="234"/>
        </w:trPr>
        <w:tc>
          <w:tcPr>
            <w:tcW w:w="1020" w:type="dxa"/>
            <w:vAlign w:val="bottom"/>
          </w:tcPr>
          <w:p>
            <w:pPr>
              <w:spacing w:after="0"/>
              <w:rPr>
                <w:sz w:val="20"/>
                <w:szCs w:val="20"/>
                <w:color w:val="auto"/>
              </w:rPr>
            </w:pPr>
          </w:p>
        </w:tc>
        <w:tc>
          <w:tcPr>
            <w:tcW w:w="10220" w:type="dxa"/>
            <w:vAlign w:val="bottom"/>
          </w:tcPr>
          <w:p>
            <w:pPr>
              <w:ind w:left="120"/>
              <w:spacing w:after="0"/>
              <w:rPr>
                <w:rFonts w:ascii="Times New Roman" w:cs="Times New Roman" w:eastAsia="Times New Roman" w:hAnsi="Times New Roman"/>
                <w:sz w:val="18"/>
                <w:szCs w:val="18"/>
                <w:color w:val="auto"/>
              </w:rPr>
            </w:pPr>
            <w:hyperlink r:id="rId209">
              <w:r>
                <w:rPr>
                  <w:rFonts w:ascii="Times New Roman" w:cs="Times New Roman" w:eastAsia="Times New Roman" w:hAnsi="Times New Roman"/>
                  <w:sz w:val="18"/>
                  <w:szCs w:val="18"/>
                  <w:color w:val="auto"/>
                </w:rPr>
                <w:t>filed as Exhibit 10.6 to Chevron Corporation’s Current Report on Form 8-K filed February 2, 2024, and incorporated herein by reference.</w:t>
              </w:r>
            </w:hyperlink>
          </w:p>
        </w:tc>
      </w:tr>
      <w:tr>
        <w:trPr>
          <w:trHeight w:val="184"/>
        </w:trPr>
        <w:tc>
          <w:tcPr>
            <w:tcW w:w="10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10.34+</w:t>
            </w:r>
          </w:p>
        </w:tc>
        <w:tc>
          <w:tcPr>
            <w:tcW w:w="10220" w:type="dxa"/>
            <w:vAlign w:val="bottom"/>
          </w:tcPr>
          <w:p>
            <w:pPr>
              <w:ind w:left="120"/>
              <w:spacing w:after="0" w:line="184" w:lineRule="exact"/>
              <w:rPr>
                <w:rFonts w:ascii="Times New Roman" w:cs="Times New Roman" w:eastAsia="Times New Roman" w:hAnsi="Times New Roman"/>
                <w:sz w:val="18"/>
                <w:szCs w:val="18"/>
                <w:color w:val="auto"/>
              </w:rPr>
            </w:pPr>
            <w:hyperlink r:id="rId210">
              <w:r>
                <w:rPr>
                  <w:rFonts w:ascii="Times New Roman" w:cs="Times New Roman" w:eastAsia="Times New Roman" w:hAnsi="Times New Roman"/>
                  <w:sz w:val="18"/>
                  <w:szCs w:val="18"/>
                  <w:color w:val="auto"/>
                </w:rPr>
                <w:t>Form of Non-Qualified Stock Options Award Agreement under the 2022 Long-Term Incentive Plan of Chevron Corporation, filed as</w:t>
              </w:r>
            </w:hyperlink>
          </w:p>
        </w:tc>
      </w:tr>
      <w:tr>
        <w:trPr>
          <w:trHeight w:val="234"/>
        </w:trPr>
        <w:tc>
          <w:tcPr>
            <w:tcW w:w="1020" w:type="dxa"/>
            <w:vAlign w:val="bottom"/>
          </w:tcPr>
          <w:p>
            <w:pPr>
              <w:spacing w:after="0"/>
              <w:rPr>
                <w:sz w:val="20"/>
                <w:szCs w:val="20"/>
                <w:color w:val="auto"/>
              </w:rPr>
            </w:pPr>
          </w:p>
        </w:tc>
        <w:tc>
          <w:tcPr>
            <w:tcW w:w="10220" w:type="dxa"/>
            <w:vAlign w:val="bottom"/>
          </w:tcPr>
          <w:p>
            <w:pPr>
              <w:ind w:left="120"/>
              <w:spacing w:after="0"/>
              <w:rPr>
                <w:rFonts w:ascii="Times New Roman" w:cs="Times New Roman" w:eastAsia="Times New Roman" w:hAnsi="Times New Roman"/>
                <w:sz w:val="18"/>
                <w:szCs w:val="18"/>
                <w:color w:val="auto"/>
              </w:rPr>
            </w:pPr>
            <w:hyperlink r:id="rId210">
              <w:r>
                <w:rPr>
                  <w:rFonts w:ascii="Times New Roman" w:cs="Times New Roman" w:eastAsia="Times New Roman" w:hAnsi="Times New Roman"/>
                  <w:sz w:val="18"/>
                  <w:szCs w:val="18"/>
                  <w:color w:val="auto"/>
                </w:rPr>
                <w:t>Exhibit 10.7 to Chevron Corporation’s Current Report on Form 8-K filed February 2, 2024, and incorporated herein by reference.</w:t>
              </w:r>
            </w:hyperlink>
          </w:p>
        </w:tc>
      </w:tr>
      <w:tr>
        <w:trPr>
          <w:trHeight w:val="184"/>
        </w:trPr>
        <w:tc>
          <w:tcPr>
            <w:tcW w:w="10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10.35+</w:t>
            </w:r>
          </w:p>
        </w:tc>
        <w:tc>
          <w:tcPr>
            <w:tcW w:w="10220" w:type="dxa"/>
            <w:vAlign w:val="bottom"/>
          </w:tcPr>
          <w:p>
            <w:pPr>
              <w:ind w:left="120"/>
              <w:spacing w:after="0" w:line="184" w:lineRule="exact"/>
              <w:rPr>
                <w:rFonts w:ascii="Times New Roman" w:cs="Times New Roman" w:eastAsia="Times New Roman" w:hAnsi="Times New Roman"/>
                <w:sz w:val="18"/>
                <w:szCs w:val="18"/>
                <w:color w:val="auto"/>
              </w:rPr>
            </w:pPr>
            <w:hyperlink r:id="rId211">
              <w:r>
                <w:rPr>
                  <w:rFonts w:ascii="Times New Roman" w:cs="Times New Roman" w:eastAsia="Times New Roman" w:hAnsi="Times New Roman"/>
                  <w:sz w:val="18"/>
                  <w:szCs w:val="18"/>
                  <w:color w:val="auto"/>
                </w:rPr>
                <w:t>Form of Non-Qualified Stock Options Award Agreement (cashless) under the 2022 Long-Term Incentive Plan of Chevron Corporation,</w:t>
              </w:r>
            </w:hyperlink>
          </w:p>
        </w:tc>
      </w:tr>
      <w:tr>
        <w:trPr>
          <w:trHeight w:val="234"/>
        </w:trPr>
        <w:tc>
          <w:tcPr>
            <w:tcW w:w="1020" w:type="dxa"/>
            <w:vAlign w:val="bottom"/>
          </w:tcPr>
          <w:p>
            <w:pPr>
              <w:spacing w:after="0"/>
              <w:rPr>
                <w:sz w:val="20"/>
                <w:szCs w:val="20"/>
                <w:color w:val="auto"/>
              </w:rPr>
            </w:pPr>
          </w:p>
        </w:tc>
        <w:tc>
          <w:tcPr>
            <w:tcW w:w="10220" w:type="dxa"/>
            <w:vAlign w:val="bottom"/>
          </w:tcPr>
          <w:p>
            <w:pPr>
              <w:ind w:left="120"/>
              <w:spacing w:after="0"/>
              <w:rPr>
                <w:rFonts w:ascii="Times New Roman" w:cs="Times New Roman" w:eastAsia="Times New Roman" w:hAnsi="Times New Roman"/>
                <w:sz w:val="18"/>
                <w:szCs w:val="18"/>
                <w:color w:val="auto"/>
              </w:rPr>
            </w:pPr>
            <w:hyperlink r:id="rId211">
              <w:r>
                <w:rPr>
                  <w:rFonts w:ascii="Times New Roman" w:cs="Times New Roman" w:eastAsia="Times New Roman" w:hAnsi="Times New Roman"/>
                  <w:sz w:val="18"/>
                  <w:szCs w:val="18"/>
                  <w:color w:val="auto"/>
                </w:rPr>
                <w:t>filed as Exhibit 10.8 to Chevron Corporation’s Current Report on Form 8-K filed February 2, 2024, and incorporated herein by reference.</w:t>
              </w:r>
            </w:hyperlink>
          </w:p>
        </w:tc>
      </w:tr>
      <w:tr>
        <w:trPr>
          <w:trHeight w:val="184"/>
        </w:trPr>
        <w:tc>
          <w:tcPr>
            <w:tcW w:w="10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10.36+</w:t>
            </w:r>
          </w:p>
        </w:tc>
        <w:tc>
          <w:tcPr>
            <w:tcW w:w="10220" w:type="dxa"/>
            <w:vAlign w:val="bottom"/>
          </w:tcPr>
          <w:p>
            <w:pPr>
              <w:ind w:left="120"/>
              <w:spacing w:after="0" w:line="184" w:lineRule="exact"/>
              <w:rPr>
                <w:rFonts w:ascii="Times New Roman" w:cs="Times New Roman" w:eastAsia="Times New Roman" w:hAnsi="Times New Roman"/>
                <w:sz w:val="18"/>
                <w:szCs w:val="18"/>
                <w:color w:val="auto"/>
              </w:rPr>
            </w:pPr>
            <w:hyperlink r:id="rId212">
              <w:r>
                <w:rPr>
                  <w:rFonts w:ascii="Times New Roman" w:cs="Times New Roman" w:eastAsia="Times New Roman" w:hAnsi="Times New Roman"/>
                  <w:sz w:val="18"/>
                  <w:szCs w:val="18"/>
                  <w:color w:val="auto"/>
                </w:rPr>
                <w:t>Form of Stock Appreciation Right Award Agreement under the 2022 Long-Term Incentive Plan of Chevron Corporation, filed as Exhibit</w:t>
              </w:r>
            </w:hyperlink>
          </w:p>
        </w:tc>
      </w:tr>
      <w:tr>
        <w:trPr>
          <w:trHeight w:val="234"/>
        </w:trPr>
        <w:tc>
          <w:tcPr>
            <w:tcW w:w="1020" w:type="dxa"/>
            <w:vAlign w:val="bottom"/>
          </w:tcPr>
          <w:p>
            <w:pPr>
              <w:spacing w:after="0"/>
              <w:rPr>
                <w:sz w:val="20"/>
                <w:szCs w:val="20"/>
                <w:color w:val="auto"/>
              </w:rPr>
            </w:pPr>
          </w:p>
        </w:tc>
        <w:tc>
          <w:tcPr>
            <w:tcW w:w="10220" w:type="dxa"/>
            <w:vAlign w:val="bottom"/>
          </w:tcPr>
          <w:p>
            <w:pPr>
              <w:ind w:left="120"/>
              <w:spacing w:after="0"/>
              <w:rPr>
                <w:rFonts w:ascii="Times New Roman" w:cs="Times New Roman" w:eastAsia="Times New Roman" w:hAnsi="Times New Roman"/>
                <w:sz w:val="18"/>
                <w:szCs w:val="18"/>
                <w:color w:val="auto"/>
              </w:rPr>
            </w:pPr>
            <w:hyperlink r:id="rId212">
              <w:r>
                <w:rPr>
                  <w:rFonts w:ascii="Times New Roman" w:cs="Times New Roman" w:eastAsia="Times New Roman" w:hAnsi="Times New Roman"/>
                  <w:sz w:val="18"/>
                  <w:szCs w:val="18"/>
                  <w:color w:val="auto"/>
                </w:rPr>
                <w:t>10.9 to Chevron Corporation’s Current Report on Form 8-K filed February 2, 2024, and incorporated herein by reference.</w:t>
              </w:r>
            </w:hyperlink>
          </w:p>
        </w:tc>
      </w:tr>
      <w:tr>
        <w:trPr>
          <w:trHeight w:val="233"/>
        </w:trPr>
        <w:tc>
          <w:tcPr>
            <w:tcW w:w="10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19*</w:t>
            </w:r>
          </w:p>
        </w:tc>
        <w:tc>
          <w:tcPr>
            <w:tcW w:w="10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Insider Trading Policies and Procedures.</w:t>
            </w:r>
          </w:p>
        </w:tc>
      </w:tr>
      <w:tr>
        <w:trPr>
          <w:trHeight w:val="229"/>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21.1*</w:t>
            </w:r>
          </w:p>
        </w:tc>
        <w:tc>
          <w:tcPr>
            <w:tcW w:w="10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Subsidiaries of Chevron Corporation (page E-1).</w:t>
            </w:r>
          </w:p>
        </w:tc>
      </w:tr>
      <w:tr>
        <w:trPr>
          <w:trHeight w:val="23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22.1*</w:t>
            </w:r>
          </w:p>
        </w:tc>
        <w:tc>
          <w:tcPr>
            <w:tcW w:w="10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Subsidiary Issuer of Guaranteed Securities.</w:t>
            </w:r>
          </w:p>
        </w:tc>
      </w:tr>
      <w:tr>
        <w:trPr>
          <w:trHeight w:val="229"/>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23.1*</w:t>
            </w:r>
          </w:p>
        </w:tc>
        <w:tc>
          <w:tcPr>
            <w:tcW w:w="10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Consent of PricewaterhouseCoopers LLP (page E-2).</w:t>
            </w:r>
          </w:p>
        </w:tc>
      </w:tr>
      <w:tr>
        <w:trPr>
          <w:trHeight w:val="180"/>
        </w:trPr>
        <w:tc>
          <w:tcPr>
            <w:tcW w:w="10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24.1*</w:t>
            </w:r>
          </w:p>
        </w:tc>
        <w:tc>
          <w:tcPr>
            <w:tcW w:w="1022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Power of Attorney for certain directors of Chevron Corporation, authorizing the signing of the Annual Report on Form 10-K on their</w:t>
            </w:r>
          </w:p>
        </w:tc>
      </w:tr>
      <w:tr>
        <w:trPr>
          <w:trHeight w:val="234"/>
        </w:trPr>
        <w:tc>
          <w:tcPr>
            <w:tcW w:w="1020" w:type="dxa"/>
            <w:vAlign w:val="bottom"/>
          </w:tcPr>
          <w:p>
            <w:pPr>
              <w:spacing w:after="0"/>
              <w:rPr>
                <w:sz w:val="20"/>
                <w:szCs w:val="20"/>
                <w:color w:val="auto"/>
              </w:rPr>
            </w:pPr>
          </w:p>
        </w:tc>
        <w:tc>
          <w:tcPr>
            <w:tcW w:w="10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behalf.</w:t>
            </w:r>
          </w:p>
        </w:tc>
      </w:tr>
      <w:tr>
        <w:trPr>
          <w:trHeight w:val="23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10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Rule 13a-14(a)/15d-14(a) Certification by the company’s Chief Executive Officer (page E-3).</w:t>
            </w:r>
          </w:p>
        </w:tc>
      </w:tr>
      <w:tr>
        <w:trPr>
          <w:trHeight w:val="229"/>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10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Rule 13a-14(a)/15d-14(a) Certification by the company’s Chief Financial Officer (page E-4).</w:t>
            </w:r>
          </w:p>
        </w:tc>
      </w:tr>
      <w:tr>
        <w:trPr>
          <w:trHeight w:val="229"/>
        </w:trPr>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32.1**</w:t>
            </w:r>
          </w:p>
        </w:tc>
        <w:tc>
          <w:tcPr>
            <w:tcW w:w="10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Rule 13a-14(b)/15d-14(b) Certification by the company’s Chief Executive Officer (page E-5).</w:t>
            </w:r>
          </w:p>
        </w:tc>
      </w:tr>
      <w:tr>
        <w:trPr>
          <w:trHeight w:val="230"/>
        </w:trPr>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32.2**</w:t>
            </w:r>
          </w:p>
        </w:tc>
        <w:tc>
          <w:tcPr>
            <w:tcW w:w="10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Rule 13a-14(b)/15d-14(b) Certification by the company’s Chief Financial Officer (page E-6).</w:t>
            </w:r>
          </w:p>
        </w:tc>
      </w:tr>
      <w:tr>
        <w:trPr>
          <w:trHeight w:val="180"/>
        </w:trPr>
        <w:tc>
          <w:tcPr>
            <w:tcW w:w="10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5"/>
              </w:rPr>
              <w:t>97.1+</w:t>
            </w:r>
          </w:p>
        </w:tc>
        <w:tc>
          <w:tcPr>
            <w:tcW w:w="10220" w:type="dxa"/>
            <w:vAlign w:val="bottom"/>
          </w:tcPr>
          <w:p>
            <w:pPr>
              <w:ind w:left="120"/>
              <w:spacing w:after="0" w:line="181" w:lineRule="exact"/>
              <w:rPr>
                <w:rFonts w:ascii="Times New Roman" w:cs="Times New Roman" w:eastAsia="Times New Roman" w:hAnsi="Times New Roman"/>
                <w:sz w:val="18"/>
                <w:szCs w:val="18"/>
                <w:color w:val="auto"/>
              </w:rPr>
            </w:pPr>
            <w:hyperlink r:id="rId213">
              <w:r>
                <w:rPr>
                  <w:rFonts w:ascii="Times New Roman" w:cs="Times New Roman" w:eastAsia="Times New Roman" w:hAnsi="Times New Roman"/>
                  <w:sz w:val="18"/>
                  <w:szCs w:val="18"/>
                  <w:color w:val="auto"/>
                </w:rPr>
                <w:t>Chevron Corporation Dodd-Frank Clawback Policy, filed as Exhibit 97.1 to Chevron Corporation’s Annual Report on Form 10-K for the</w:t>
              </w:r>
            </w:hyperlink>
          </w:p>
        </w:tc>
      </w:tr>
      <w:tr>
        <w:trPr>
          <w:trHeight w:val="234"/>
        </w:trPr>
        <w:tc>
          <w:tcPr>
            <w:tcW w:w="1020" w:type="dxa"/>
            <w:vAlign w:val="bottom"/>
          </w:tcPr>
          <w:p>
            <w:pPr>
              <w:spacing w:after="0"/>
              <w:rPr>
                <w:sz w:val="20"/>
                <w:szCs w:val="20"/>
                <w:color w:val="auto"/>
              </w:rPr>
            </w:pPr>
          </w:p>
        </w:tc>
        <w:tc>
          <w:tcPr>
            <w:tcW w:w="10220" w:type="dxa"/>
            <w:vAlign w:val="bottom"/>
          </w:tcPr>
          <w:p>
            <w:pPr>
              <w:ind w:left="120"/>
              <w:spacing w:after="0"/>
              <w:rPr>
                <w:rFonts w:ascii="Times New Roman" w:cs="Times New Roman" w:eastAsia="Times New Roman" w:hAnsi="Times New Roman"/>
                <w:sz w:val="18"/>
                <w:szCs w:val="18"/>
                <w:color w:val="auto"/>
              </w:rPr>
            </w:pPr>
            <w:hyperlink r:id="rId213">
              <w:r>
                <w:rPr>
                  <w:rFonts w:ascii="Times New Roman" w:cs="Times New Roman" w:eastAsia="Times New Roman" w:hAnsi="Times New Roman"/>
                  <w:sz w:val="18"/>
                  <w:szCs w:val="18"/>
                  <w:color w:val="auto"/>
                </w:rPr>
                <w:t>year ended December 31, 2023, and incorporated herein by reference.</w:t>
              </w:r>
            </w:hyperlink>
          </w:p>
        </w:tc>
      </w:tr>
      <w:tr>
        <w:trPr>
          <w:trHeight w:val="23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99.1*</w:t>
            </w:r>
          </w:p>
        </w:tc>
        <w:tc>
          <w:tcPr>
            <w:tcW w:w="10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Definitions of Selected Energy and Financial Terms (pages E-7 through E-10).</w:t>
            </w:r>
          </w:p>
        </w:tc>
      </w:tr>
      <w:tr>
        <w:trPr>
          <w:trHeight w:val="23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w:t>
            </w:r>
          </w:p>
        </w:tc>
        <w:tc>
          <w:tcPr>
            <w:tcW w:w="10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Interactive data files (formatted as Inline XBRL).</w:t>
            </w:r>
          </w:p>
        </w:tc>
      </w:tr>
      <w:tr>
        <w:trPr>
          <w:trHeight w:val="234"/>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w:t>
            </w:r>
          </w:p>
        </w:tc>
        <w:tc>
          <w:tcPr>
            <w:tcW w:w="10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Cover Page Interactive Data File (contained in Exhibit 101).</w:t>
            </w: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auto"/>
        </w:rPr>
        <w:t>___________________________________________</w:t>
      </w:r>
    </w:p>
    <w:p>
      <w:pPr>
        <w:spacing w:after="0" w:line="18" w:lineRule="exact"/>
        <w:rPr>
          <w:sz w:val="20"/>
          <w:szCs w:val="20"/>
          <w:color w:val="auto"/>
        </w:rPr>
      </w:pPr>
    </w:p>
    <w:p>
      <w:pPr>
        <w:ind w:right="6460" w:firstLine="8"/>
        <w:spacing w:after="0" w:line="260" w:lineRule="auto"/>
        <w:tabs>
          <w:tab w:leader="none" w:pos="132"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 management contract or compensatory plan or arrangement. * Filed herewith.</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Furnished herewith.</w:t>
      </w:r>
    </w:p>
    <w:p>
      <w:pPr>
        <w:spacing w:after="0" w:line="159"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Pursuant to Item 601(b)(4) of Regulation S-K, certain instruments with respect to the company’s long-term debt are not filed with this Annual Report on Form 10-K. A copy of any such instrument will be furnished to the Securities and Exchange Commission upon request.</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0077C0"/>
        </w:rPr>
        <w:t>Signatures</w:t>
      </w:r>
    </w:p>
    <w:p>
      <w:pPr>
        <w:spacing w:after="0" w:line="10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the 21st day of February, 2025.</w:t>
      </w:r>
    </w:p>
    <w:p>
      <w:pPr>
        <w:spacing w:after="0" w:line="6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Chevron Corporation</w:t>
      </w:r>
    </w:p>
    <w:p>
      <w:pPr>
        <w:spacing w:after="0" w:line="212" w:lineRule="exact"/>
        <w:rPr>
          <w:sz w:val="20"/>
          <w:szCs w:val="20"/>
          <w:color w:val="auto"/>
        </w:rPr>
      </w:pPr>
    </w:p>
    <w:p>
      <w:pPr>
        <w:ind w:left="5600"/>
        <w:spacing w:after="0"/>
        <w:tabs>
          <w:tab w:leader="none" w:pos="7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K. WIRTH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328295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5">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6"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color w:val="auto"/>
        </w:rPr>
        <w:t>Michael K. Wirth, Chairman of the Board</w:t>
      </w:r>
    </w:p>
    <w:p>
      <w:pPr>
        <w:spacing w:after="0" w:line="2"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color w:val="auto"/>
        </w:rPr>
        <w:t>and Chief Executive Officer</w:t>
      </w:r>
    </w:p>
    <w:p>
      <w:pPr>
        <w:spacing w:after="0" w:line="35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the 21st day of February, 2025.</w:t>
      </w:r>
    </w:p>
    <w:p>
      <w:pPr>
        <w:sectPr>
          <w:pgSz w:w="11900" w:h="16838" w:orient="portrait"/>
          <w:cols w:equalWidth="0" w:num="1">
            <w:col w:w="11240"/>
          </w:cols>
          <w:pgMar w:left="320" w:top="1093" w:right="339" w:bottom="1440" w:gutter="0" w:footer="0" w:header="0"/>
        </w:sectPr>
      </w:pPr>
    </w:p>
    <w:p>
      <w:pPr>
        <w:spacing w:after="0" w:line="109" w:lineRule="exact"/>
        <w:rPr>
          <w:sz w:val="20"/>
          <w:szCs w:val="20"/>
          <w:color w:val="auto"/>
        </w:rPr>
      </w:pPr>
    </w:p>
    <w:p>
      <w:pPr>
        <w:jc w:val="center"/>
        <w:ind w:right="14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31" w:lineRule="exact"/>
        <w:rPr>
          <w:sz w:val="20"/>
          <w:szCs w:val="20"/>
          <w:color w:val="auto"/>
        </w:rPr>
      </w:pPr>
    </w:p>
    <w:p>
      <w:pPr>
        <w:jc w:val="center"/>
        <w:ind w:right="1440"/>
        <w:spacing w:after="0"/>
        <w:rPr>
          <w:sz w:val="20"/>
          <w:szCs w:val="20"/>
          <w:color w:val="auto"/>
        </w:rPr>
      </w:pPr>
      <w:r>
        <w:rPr>
          <w:rFonts w:ascii="Times New Roman" w:cs="Times New Roman" w:eastAsia="Times New Roman" w:hAnsi="Times New Roman"/>
          <w:sz w:val="18"/>
          <w:szCs w:val="18"/>
          <w:b w:val="1"/>
          <w:bCs w:val="1"/>
          <w:color w:val="auto"/>
        </w:rPr>
        <w:t>(and Director)</w:t>
      </w:r>
    </w:p>
    <w:p>
      <w:pPr>
        <w:spacing w:after="0" w:line="10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u w:val="single" w:color="auto"/>
          <w:color w:val="auto"/>
        </w:rPr>
        <w:t>/s/ MICHAEL K. WIRTH</w:t>
      </w:r>
    </w:p>
    <w:p>
      <w:pPr>
        <w:ind w:left="1320"/>
        <w:spacing w:after="0" w:line="219" w:lineRule="auto"/>
        <w:rPr>
          <w:sz w:val="20"/>
          <w:szCs w:val="20"/>
          <w:color w:val="auto"/>
        </w:rPr>
      </w:pPr>
      <w:r>
        <w:rPr>
          <w:rFonts w:ascii="Times New Roman" w:cs="Times New Roman" w:eastAsia="Times New Roman" w:hAnsi="Times New Roman"/>
          <w:sz w:val="18"/>
          <w:szCs w:val="18"/>
          <w:color w:val="auto"/>
        </w:rPr>
        <w:t>Michael K. Wirth, Chairman of the</w:t>
      </w:r>
    </w:p>
    <w:p>
      <w:pPr>
        <w:jc w:val="center"/>
        <w:ind w:right="1440"/>
        <w:spacing w:after="0"/>
        <w:rPr>
          <w:sz w:val="20"/>
          <w:szCs w:val="20"/>
          <w:color w:val="auto"/>
        </w:rPr>
      </w:pPr>
      <w:r>
        <w:rPr>
          <w:rFonts w:ascii="Times New Roman" w:cs="Times New Roman" w:eastAsia="Times New Roman" w:hAnsi="Times New Roman"/>
          <w:sz w:val="17"/>
          <w:szCs w:val="17"/>
          <w:color w:val="auto"/>
        </w:rPr>
        <w:t>Board and Chief Executive Officer</w:t>
      </w:r>
    </w:p>
    <w:p>
      <w:pPr>
        <w:spacing w:after="0" w:line="105" w:lineRule="exact"/>
        <w:rPr>
          <w:sz w:val="20"/>
          <w:szCs w:val="20"/>
          <w:color w:val="auto"/>
        </w:rPr>
      </w:pPr>
    </w:p>
    <w:p>
      <w:pPr>
        <w:jc w:val="center"/>
        <w:ind w:right="14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11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u w:val="single" w:color="auto"/>
          <w:color w:val="auto"/>
        </w:rPr>
        <w:t>/s/ EIMEAR P. BONNER</w:t>
      </w:r>
    </w:p>
    <w:p>
      <w:pPr>
        <w:ind w:left="1400"/>
        <w:spacing w:after="0" w:line="219" w:lineRule="auto"/>
        <w:rPr>
          <w:sz w:val="20"/>
          <w:szCs w:val="20"/>
          <w:color w:val="auto"/>
        </w:rPr>
      </w:pPr>
      <w:r>
        <w:rPr>
          <w:rFonts w:ascii="Times New Roman" w:cs="Times New Roman" w:eastAsia="Times New Roman" w:hAnsi="Times New Roman"/>
          <w:sz w:val="18"/>
          <w:szCs w:val="18"/>
          <w:color w:val="auto"/>
        </w:rPr>
        <w:t>Eimear P. Bonner, Vice President</w:t>
      </w:r>
    </w:p>
    <w:p>
      <w:pPr>
        <w:ind w:left="160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9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u w:val="single" w:color="auto"/>
          <w:color w:val="auto"/>
        </w:rPr>
        <w:t>/s/ ALANA K. KNOWLES</w:t>
      </w:r>
    </w:p>
    <w:p>
      <w:pPr>
        <w:ind w:left="1360"/>
        <w:spacing w:after="0" w:line="219" w:lineRule="auto"/>
        <w:rPr>
          <w:sz w:val="20"/>
          <w:szCs w:val="20"/>
          <w:color w:val="auto"/>
        </w:rPr>
      </w:pPr>
      <w:r>
        <w:rPr>
          <w:rFonts w:ascii="Times New Roman" w:cs="Times New Roman" w:eastAsia="Times New Roman" w:hAnsi="Times New Roman"/>
          <w:sz w:val="18"/>
          <w:szCs w:val="18"/>
          <w:color w:val="auto"/>
        </w:rPr>
        <w:t>Alana K. Knowles, Vice President</w:t>
      </w:r>
    </w:p>
    <w:p>
      <w:pPr>
        <w:ind w:left="2080"/>
        <w:spacing w:after="0"/>
        <w:rPr>
          <w:sz w:val="20"/>
          <w:szCs w:val="20"/>
          <w:color w:val="auto"/>
        </w:rPr>
      </w:pPr>
      <w:r>
        <w:rPr>
          <w:rFonts w:ascii="Times New Roman" w:cs="Times New Roman" w:eastAsia="Times New Roman" w:hAnsi="Times New Roman"/>
          <w:sz w:val="18"/>
          <w:szCs w:val="18"/>
          <w:color w:val="auto"/>
        </w:rPr>
        <w:t>and Controller</w:t>
      </w:r>
    </w:p>
    <w:p>
      <w:pPr>
        <w:spacing w:after="0" w:line="6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MARY A. FRANCIS</w:t>
      </w:r>
    </w:p>
    <w:p>
      <w:pPr>
        <w:ind w:left="1980"/>
        <w:spacing w:after="0" w:line="203" w:lineRule="auto"/>
        <w:rPr>
          <w:sz w:val="20"/>
          <w:szCs w:val="20"/>
          <w:color w:val="auto"/>
        </w:rPr>
      </w:pPr>
      <w:r>
        <w:rPr>
          <w:rFonts w:ascii="Times New Roman" w:cs="Times New Roman" w:eastAsia="Times New Roman" w:hAnsi="Times New Roman"/>
          <w:sz w:val="18"/>
          <w:szCs w:val="18"/>
          <w:color w:val="auto"/>
        </w:rPr>
        <w:t>Mary A. Francis,</w:t>
      </w:r>
    </w:p>
    <w:p>
      <w:pPr>
        <w:ind w:left="200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 w:lineRule="exact"/>
        <w:rPr>
          <w:sz w:val="20"/>
          <w:szCs w:val="20"/>
          <w:color w:val="auto"/>
        </w:rPr>
      </w:pPr>
      <w:r>
        <w:rPr>
          <w:sz w:val="20"/>
          <w:szCs w:val="20"/>
          <w:color w:val="auto"/>
        </w:rPr>
        <w:br w:type="column"/>
      </w:r>
    </w:p>
    <w:p>
      <w:pPr>
        <w:ind w:left="78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WANDA M. AUSTIN</w:t>
      </w:r>
      <w:r>
        <w:rPr>
          <w:rFonts w:ascii="Times New Roman" w:cs="Times New Roman" w:eastAsia="Times New Roman" w:hAnsi="Times New Roman"/>
          <w:sz w:val="23"/>
          <w:szCs w:val="23"/>
          <w:color w:val="auto"/>
          <w:vertAlign w:val="superscript"/>
        </w:rPr>
        <w:t>*</w:t>
      </w:r>
    </w:p>
    <w:p>
      <w:pPr>
        <w:ind w:left="500"/>
        <w:spacing w:after="0"/>
        <w:rPr>
          <w:sz w:val="20"/>
          <w:szCs w:val="20"/>
          <w:color w:val="auto"/>
        </w:rPr>
      </w:pPr>
      <w:r>
        <w:rPr>
          <w:rFonts w:ascii="Times New Roman" w:cs="Times New Roman" w:eastAsia="Times New Roman" w:hAnsi="Times New Roman"/>
          <w:sz w:val="18"/>
          <w:szCs w:val="18"/>
          <w:color w:val="auto"/>
        </w:rPr>
        <w:t>Wanda M. Austin</w:t>
      </w:r>
    </w:p>
    <w:p>
      <w:pPr>
        <w:spacing w:after="0" w:line="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JOHN B. FRANK</w:t>
      </w:r>
      <w:r>
        <w:rPr>
          <w:rFonts w:ascii="Times New Roman" w:cs="Times New Roman" w:eastAsia="Times New Roman" w:hAnsi="Times New Roman"/>
          <w:sz w:val="23"/>
          <w:szCs w:val="23"/>
          <w:color w:val="auto"/>
          <w:vertAlign w:val="superscript"/>
        </w:rPr>
        <w:t>*</w:t>
      </w:r>
    </w:p>
    <w:p>
      <w:pPr>
        <w:ind w:left="640"/>
        <w:spacing w:after="0"/>
        <w:rPr>
          <w:sz w:val="20"/>
          <w:szCs w:val="20"/>
          <w:color w:val="auto"/>
        </w:rPr>
      </w:pPr>
      <w:r>
        <w:rPr>
          <w:rFonts w:ascii="Times New Roman" w:cs="Times New Roman" w:eastAsia="Times New Roman" w:hAnsi="Times New Roman"/>
          <w:sz w:val="18"/>
          <w:szCs w:val="18"/>
          <w:color w:val="auto"/>
        </w:rPr>
        <w:t>John B. Frank</w:t>
      </w:r>
    </w:p>
    <w:p>
      <w:pPr>
        <w:spacing w:after="0" w:line="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ALICE P. GAST</w:t>
      </w:r>
      <w:r>
        <w:rPr>
          <w:rFonts w:ascii="Times New Roman" w:cs="Times New Roman" w:eastAsia="Times New Roman" w:hAnsi="Times New Roman"/>
          <w:sz w:val="23"/>
          <w:szCs w:val="23"/>
          <w:color w:val="auto"/>
          <w:vertAlign w:val="superscript"/>
        </w:rPr>
        <w:t>*</w:t>
      </w:r>
    </w:p>
    <w:p>
      <w:pPr>
        <w:ind w:left="680"/>
        <w:spacing w:after="0"/>
        <w:rPr>
          <w:sz w:val="20"/>
          <w:szCs w:val="20"/>
          <w:color w:val="auto"/>
        </w:rPr>
      </w:pPr>
      <w:r>
        <w:rPr>
          <w:rFonts w:ascii="Times New Roman" w:cs="Times New Roman" w:eastAsia="Times New Roman" w:hAnsi="Times New Roman"/>
          <w:sz w:val="18"/>
          <w:szCs w:val="18"/>
          <w:color w:val="auto"/>
        </w:rPr>
        <w:t>Alice P. Gast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ENRIQUE HERNANDEZ, JR.</w:t>
      </w:r>
      <w:r>
        <w:rPr>
          <w:rFonts w:ascii="Times New Roman" w:cs="Times New Roman" w:eastAsia="Times New Roman" w:hAnsi="Times New Roman"/>
          <w:sz w:val="22"/>
          <w:szCs w:val="22"/>
          <w:color w:val="auto"/>
          <w:vertAlign w:val="superscript"/>
        </w:rPr>
        <w:t>*</w:t>
      </w:r>
    </w:p>
    <w:p>
      <w:pPr>
        <w:ind w:left="320"/>
        <w:spacing w:after="0"/>
        <w:rPr>
          <w:sz w:val="20"/>
          <w:szCs w:val="20"/>
          <w:color w:val="auto"/>
        </w:rPr>
      </w:pPr>
      <w:r>
        <w:rPr>
          <w:rFonts w:ascii="Times New Roman" w:cs="Times New Roman" w:eastAsia="Times New Roman" w:hAnsi="Times New Roman"/>
          <w:sz w:val="18"/>
          <w:szCs w:val="18"/>
          <w:color w:val="auto"/>
        </w:rPr>
        <w:t>Enrique Hernandez, Jr.</w:t>
      </w:r>
    </w:p>
    <w:p>
      <w:pPr>
        <w:spacing w:after="0" w:line="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u w:val="single" w:color="auto"/>
          <w:color w:val="auto"/>
        </w:rPr>
        <w:t>MARILLYN A. HEWSON</w:t>
      </w:r>
      <w:r>
        <w:rPr>
          <w:rFonts w:ascii="Times New Roman" w:cs="Times New Roman" w:eastAsia="Times New Roman" w:hAnsi="Times New Roman"/>
          <w:sz w:val="23"/>
          <w:szCs w:val="23"/>
          <w:color w:val="auto"/>
          <w:vertAlign w:val="superscript"/>
        </w:rPr>
        <w:t>*</w:t>
      </w:r>
    </w:p>
    <w:p>
      <w:pPr>
        <w:ind w:left="400"/>
        <w:spacing w:after="0"/>
        <w:rPr>
          <w:sz w:val="20"/>
          <w:szCs w:val="20"/>
          <w:color w:val="auto"/>
        </w:rPr>
      </w:pPr>
      <w:r>
        <w:rPr>
          <w:rFonts w:ascii="Times New Roman" w:cs="Times New Roman" w:eastAsia="Times New Roman" w:hAnsi="Times New Roman"/>
          <w:sz w:val="18"/>
          <w:szCs w:val="18"/>
          <w:color w:val="auto"/>
        </w:rPr>
        <w:t>Marillyn A. Hewson</w:t>
      </w:r>
    </w:p>
    <w:p>
      <w:pPr>
        <w:spacing w:after="0" w:line="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u w:val="single" w:color="auto"/>
          <w:color w:val="auto"/>
        </w:rPr>
        <w:t>JON M. HUNTSMAN JR.</w:t>
      </w:r>
      <w:r>
        <w:rPr>
          <w:rFonts w:ascii="Times New Roman" w:cs="Times New Roman" w:eastAsia="Times New Roman" w:hAnsi="Times New Roman"/>
          <w:sz w:val="23"/>
          <w:szCs w:val="23"/>
          <w:color w:val="auto"/>
          <w:vertAlign w:val="superscript"/>
        </w:rPr>
        <w:t>*</w:t>
      </w:r>
    </w:p>
    <w:p>
      <w:pPr>
        <w:ind w:left="400"/>
        <w:spacing w:after="0"/>
        <w:rPr>
          <w:sz w:val="20"/>
          <w:szCs w:val="20"/>
          <w:color w:val="auto"/>
        </w:rPr>
      </w:pPr>
      <w:r>
        <w:rPr>
          <w:rFonts w:ascii="Times New Roman" w:cs="Times New Roman" w:eastAsia="Times New Roman" w:hAnsi="Times New Roman"/>
          <w:sz w:val="18"/>
          <w:szCs w:val="18"/>
          <w:color w:val="auto"/>
        </w:rPr>
        <w:t>Jon M. Huntsman Jr.</w:t>
      </w:r>
    </w:p>
    <w:p>
      <w:pPr>
        <w:spacing w:after="0" w:line="4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auto"/>
        </w:rPr>
        <w:t>CHARLES W. MOORMAN</w:t>
      </w:r>
      <w:r>
        <w:rPr>
          <w:rFonts w:ascii="Times New Roman" w:cs="Times New Roman" w:eastAsia="Times New Roman" w:hAnsi="Times New Roman"/>
          <w:sz w:val="23"/>
          <w:szCs w:val="23"/>
          <w:color w:val="auto"/>
          <w:vertAlign w:val="superscript"/>
        </w:rPr>
        <w:t>*</w:t>
      </w:r>
    </w:p>
    <w:p>
      <w:pPr>
        <w:ind w:left="360"/>
        <w:spacing w:after="0"/>
        <w:rPr>
          <w:sz w:val="20"/>
          <w:szCs w:val="20"/>
          <w:color w:val="auto"/>
        </w:rPr>
      </w:pPr>
      <w:r>
        <w:rPr>
          <w:rFonts w:ascii="Times New Roman" w:cs="Times New Roman" w:eastAsia="Times New Roman" w:hAnsi="Times New Roman"/>
          <w:sz w:val="18"/>
          <w:szCs w:val="18"/>
          <w:color w:val="auto"/>
        </w:rPr>
        <w:t>Charles W. Moorman</w:t>
      </w:r>
    </w:p>
    <w:p>
      <w:pPr>
        <w:spacing w:after="0" w:line="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DAMBISA F. MOYO</w:t>
      </w:r>
      <w:r>
        <w:rPr>
          <w:rFonts w:ascii="Times New Roman" w:cs="Times New Roman" w:eastAsia="Times New Roman" w:hAnsi="Times New Roman"/>
          <w:sz w:val="23"/>
          <w:szCs w:val="23"/>
          <w:color w:val="auto"/>
          <w:vertAlign w:val="superscript"/>
        </w:rPr>
        <w:t>*</w:t>
      </w:r>
    </w:p>
    <w:p>
      <w:pPr>
        <w:ind w:left="500"/>
        <w:spacing w:after="0"/>
        <w:rPr>
          <w:sz w:val="20"/>
          <w:szCs w:val="20"/>
          <w:color w:val="auto"/>
        </w:rPr>
      </w:pPr>
      <w:r>
        <w:rPr>
          <w:rFonts w:ascii="Times New Roman" w:cs="Times New Roman" w:eastAsia="Times New Roman" w:hAnsi="Times New Roman"/>
          <w:sz w:val="18"/>
          <w:szCs w:val="18"/>
          <w:color w:val="auto"/>
        </w:rPr>
        <w:t>Dambisa F. Moyo</w:t>
      </w:r>
    </w:p>
    <w:p>
      <w:pPr>
        <w:spacing w:after="0" w:line="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u w:val="single" w:color="auto"/>
          <w:color w:val="auto"/>
        </w:rPr>
        <w:t>DEBRA REED-KLAGES</w:t>
      </w:r>
      <w:r>
        <w:rPr>
          <w:rFonts w:ascii="Times New Roman" w:cs="Times New Roman" w:eastAsia="Times New Roman" w:hAnsi="Times New Roman"/>
          <w:sz w:val="23"/>
          <w:szCs w:val="23"/>
          <w:color w:val="auto"/>
          <w:vertAlign w:val="superscript"/>
        </w:rPr>
        <w:t>*</w:t>
      </w:r>
    </w:p>
    <w:p>
      <w:pPr>
        <w:ind w:left="440"/>
        <w:spacing w:after="0"/>
        <w:rPr>
          <w:sz w:val="20"/>
          <w:szCs w:val="20"/>
          <w:color w:val="auto"/>
        </w:rPr>
      </w:pPr>
      <w:r>
        <w:rPr>
          <w:rFonts w:ascii="Times New Roman" w:cs="Times New Roman" w:eastAsia="Times New Roman" w:hAnsi="Times New Roman"/>
          <w:sz w:val="18"/>
          <w:szCs w:val="18"/>
          <w:color w:val="auto"/>
        </w:rPr>
        <w:t>Debra Reed-Klages</w:t>
      </w:r>
    </w:p>
    <w:p>
      <w:pPr>
        <w:spacing w:after="0" w:line="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u w:val="single" w:color="auto"/>
          <w:color w:val="auto"/>
        </w:rPr>
        <w:t>D. JAMES UMPLEBY III</w:t>
      </w:r>
      <w:r>
        <w:rPr>
          <w:rFonts w:ascii="Times New Roman" w:cs="Times New Roman" w:eastAsia="Times New Roman" w:hAnsi="Times New Roman"/>
          <w:sz w:val="23"/>
          <w:szCs w:val="23"/>
          <w:color w:val="auto"/>
          <w:vertAlign w:val="superscript"/>
        </w:rPr>
        <w:t>*</w:t>
      </w:r>
    </w:p>
    <w:p>
      <w:pPr>
        <w:ind w:left="340"/>
        <w:spacing w:after="0"/>
        <w:rPr>
          <w:sz w:val="20"/>
          <w:szCs w:val="20"/>
          <w:color w:val="auto"/>
        </w:rPr>
      </w:pPr>
      <w:r>
        <w:rPr>
          <w:rFonts w:ascii="Times New Roman" w:cs="Times New Roman" w:eastAsia="Times New Roman" w:hAnsi="Times New Roman"/>
          <w:sz w:val="18"/>
          <w:szCs w:val="18"/>
          <w:color w:val="auto"/>
        </w:rPr>
        <w:t>D. James Umpleby III</w:t>
      </w:r>
    </w:p>
    <w:p>
      <w:pPr>
        <w:spacing w:after="0" w:line="5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u w:val="single" w:color="auto"/>
          <w:color w:val="auto"/>
        </w:rPr>
        <w:t>CYNTHIA J. WARNER</w:t>
      </w:r>
      <w:r>
        <w:rPr>
          <w:rFonts w:ascii="Times New Roman" w:cs="Times New Roman" w:eastAsia="Times New Roman" w:hAnsi="Times New Roman"/>
          <w:sz w:val="23"/>
          <w:szCs w:val="23"/>
          <w:color w:val="auto"/>
          <w:vertAlign w:val="superscript"/>
        </w:rPr>
        <w:t>*</w:t>
      </w:r>
    </w:p>
    <w:p>
      <w:pPr>
        <w:ind w:left="500"/>
        <w:spacing w:after="0"/>
        <w:rPr>
          <w:sz w:val="20"/>
          <w:szCs w:val="20"/>
          <w:color w:val="auto"/>
        </w:rPr>
      </w:pPr>
      <w:r>
        <w:rPr>
          <w:rFonts w:ascii="Times New Roman" w:cs="Times New Roman" w:eastAsia="Times New Roman" w:hAnsi="Times New Roman"/>
          <w:sz w:val="18"/>
          <w:szCs w:val="18"/>
          <w:color w:val="auto"/>
        </w:rPr>
        <w:t>Cynthia J. Warner</w:t>
      </w:r>
    </w:p>
    <w:p>
      <w:pPr>
        <w:spacing w:after="0" w:line="200" w:lineRule="exact"/>
        <w:rPr>
          <w:sz w:val="20"/>
          <w:szCs w:val="20"/>
          <w:color w:val="auto"/>
        </w:rPr>
      </w:pPr>
    </w:p>
    <w:p>
      <w:pPr>
        <w:sectPr>
          <w:pgSz w:w="11900" w:h="16838" w:orient="portrait"/>
          <w:cols w:equalWidth="0" w:num="2">
            <w:col w:w="6660" w:space="720"/>
            <w:col w:w="3860"/>
          </w:cols>
          <w:pgMar w:left="320" w:top="1093" w:right="339" w:bottom="1440" w:gutter="0" w:footer="0" w:header="0"/>
          <w:type w:val="continuous"/>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121</w:t>
      </w:r>
    </w:p>
    <w:p>
      <w:pPr>
        <w:sectPr>
          <w:pgSz w:w="11900" w:h="16838" w:orient="portrait"/>
          <w:cols w:equalWidth="0" w:num="1">
            <w:col w:w="11240"/>
          </w:cols>
          <w:pgMar w:left="320" w:top="1093" w:right="339" w:bottom="1440" w:gutter="0" w:footer="0" w:header="0"/>
          <w:type w:val="continuous"/>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NUMBER TWO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 CHEVRON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NON-EMPLOYEE DIRECTORS’ EQUITY COMPENSATION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DEFERRAL PLAN</w:t>
      </w:r>
    </w:p>
    <w:p>
      <w:pPr>
        <w:spacing w:after="0" w:line="200" w:lineRule="exact"/>
        <w:rPr>
          <w:sz w:val="20"/>
          <w:szCs w:val="20"/>
          <w:color w:val="auto"/>
        </w:rPr>
      </w:pPr>
    </w:p>
    <w:p>
      <w:pPr>
        <w:spacing w:after="0" w:line="273"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Chevron Corporation (the “Corporation”) maintains the Chevron Corporation Non-Employee Directors’ Equity Compensation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Deferral Plan (the “Plan”);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XII.(a) of the Plan, the Board of Directors of the Corporation (the “Board”) has the authority to amend the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30" w:lineRule="exact"/>
        <w:rPr>
          <w:sz w:val="20"/>
          <w:szCs w:val="20"/>
          <w:color w:val="auto"/>
        </w:rPr>
      </w:pPr>
    </w:p>
    <w:p>
      <w:pPr>
        <w:ind w:right="2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desires to amend the Plan, pursuant to this Amendment Number Two, to permit the issuance of stock options so long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exercise price is not less than the fair market value of a share on the grant date.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be it resolved, the Plan is hereby amended, effective July 24, 2018, as follows:</w:t>
      </w:r>
    </w:p>
    <w:p>
      <w:pPr>
        <w:spacing w:after="0" w:line="256" w:lineRule="exact"/>
        <w:rPr>
          <w:sz w:val="20"/>
          <w:szCs w:val="20"/>
          <w:color w:val="auto"/>
        </w:rPr>
      </w:pPr>
    </w:p>
    <w:p>
      <w:pPr>
        <w:ind w:left="1020" w:hanging="364"/>
        <w:spacing w:after="0"/>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VI (Options) is amended by modifying the second sentence of subsection (b) to read as follows: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exercise price of each Option shall not be less than the Fair Market Value of a Share on the date the Option is granted.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Date: July 24, 2018</w:t>
      </w:r>
    </w:p>
    <w:p>
      <w:pPr>
        <w:spacing w:after="0" w:line="5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/s/ Ronald D. Sugar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17145</wp:posOffset>
            </wp:positionV>
            <wp:extent cx="200596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6">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1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Ronald D. Sugar, Lead Director</w:t>
      </w:r>
    </w:p>
    <w:p>
      <w:pPr>
        <w:spacing w:after="0" w:line="2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Chevron Corporation</w:t>
      </w:r>
    </w:p>
    <w:p>
      <w:pPr>
        <w:sectPr>
          <w:pgSz w:w="11900" w:h="16838" w:orient="portrait"/>
          <w:cols w:equalWidth="0" w:num="1">
            <w:col w:w="11240"/>
          </w:cols>
          <w:pgMar w:left="320" w:top="1089"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10.21</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AIRCRAFT TIME-SHARING AGREEMENT</w:t>
      </w:r>
    </w:p>
    <w:p>
      <w:pPr>
        <w:spacing w:after="0" w:line="200" w:lineRule="exact"/>
        <w:rPr>
          <w:sz w:val="20"/>
          <w:szCs w:val="20"/>
          <w:color w:val="auto"/>
        </w:rPr>
      </w:pPr>
    </w:p>
    <w:p>
      <w:pPr>
        <w:spacing w:after="0" w:line="25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b w:val="1"/>
          <w:bCs w:val="1"/>
          <w:color w:val="auto"/>
        </w:rPr>
        <w:t xml:space="preserve">The AIRCRAFT TIME-SHARING AGREEMENT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Prior Agreement</w:t>
      </w:r>
      <w:r>
        <w:rPr>
          <w:rFonts w:ascii="Times New Roman" w:cs="Times New Roman" w:eastAsia="Times New Roman" w:hAnsi="Times New Roman"/>
          <w:sz w:val="18"/>
          <w:szCs w:val="18"/>
          <w:color w:val="auto"/>
        </w:rPr>
        <w:t>”), originally entered into and dated as of February 27, 2019, and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restated as of April 1, 2020, and further amended September 26, 2023, by and between </w:t>
      </w:r>
      <w:r>
        <w:rPr>
          <w:rFonts w:ascii="Times New Roman" w:cs="Times New Roman" w:eastAsia="Times New Roman" w:hAnsi="Times New Roman"/>
          <w:sz w:val="18"/>
          <w:szCs w:val="18"/>
          <w:b w:val="1"/>
          <w:bCs w:val="1"/>
          <w:color w:val="auto"/>
        </w:rPr>
        <w:t>CHEVRON U.S.A. INC.</w:t>
      </w:r>
      <w:r>
        <w:rPr>
          <w:rFonts w:ascii="Times New Roman" w:cs="Times New Roman" w:eastAsia="Times New Roman" w:hAnsi="Times New Roman"/>
          <w:sz w:val="18"/>
          <w:szCs w:val="18"/>
          <w:color w:val="auto"/>
        </w:rPr>
        <w:t>, a Pennsylvania corporation, with offices at 1400 Smith Street, Houston, Texas, 77002 (“</w:t>
      </w:r>
      <w:r>
        <w:rPr>
          <w:rFonts w:ascii="Times New Roman" w:cs="Times New Roman" w:eastAsia="Times New Roman" w:hAnsi="Times New Roman"/>
          <w:sz w:val="18"/>
          <w:szCs w:val="18"/>
          <w:b w:val="1"/>
          <w:bCs w:val="1"/>
          <w:color w:val="auto"/>
        </w:rPr>
        <w:t>Lessor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MICHAEL K. WIRTH</w:t>
      </w:r>
      <w:r>
        <w:rPr>
          <w:rFonts w:ascii="Times New Roman" w:cs="Times New Roman" w:eastAsia="Times New Roman" w:hAnsi="Times New Roman"/>
          <w:sz w:val="18"/>
          <w:szCs w:val="18"/>
          <w:color w:val="auto"/>
        </w:rPr>
        <w:t>, whose address is 1400 Smith Street, Houston, Texas, 77002 (“</w:t>
      </w:r>
      <w:r>
        <w:rPr>
          <w:rFonts w:ascii="Times New Roman" w:cs="Times New Roman" w:eastAsia="Times New Roman" w:hAnsi="Times New Roman"/>
          <w:sz w:val="18"/>
          <w:szCs w:val="18"/>
          <w:b w:val="1"/>
          <w:bCs w:val="1"/>
          <w:color w:val="auto"/>
        </w:rPr>
        <w:t>Lessee</w:t>
      </w:r>
      <w:r>
        <w:rPr>
          <w:rFonts w:ascii="Times New Roman" w:cs="Times New Roman" w:eastAsia="Times New Roman" w:hAnsi="Times New Roman"/>
          <w:sz w:val="18"/>
          <w:szCs w:val="18"/>
          <w:color w:val="auto"/>
        </w:rPr>
        <w:t>”), is hereby amended and restated as of November 16, 2024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xml:space="preserve">”). From and after the Effective Date, this </w:t>
      </w:r>
      <w:r>
        <w:rPr>
          <w:rFonts w:ascii="Times New Roman" w:cs="Times New Roman" w:eastAsia="Times New Roman" w:hAnsi="Times New Roman"/>
          <w:sz w:val="18"/>
          <w:szCs w:val="18"/>
          <w:b w:val="1"/>
          <w:bCs w:val="1"/>
          <w:color w:val="auto"/>
        </w:rPr>
        <w:t>AMENDED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RESTATED AIRCRAFT TIME-SHARING AGREEMENT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will supersede the Prior Agreement.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Lessor and Lessee will be referred to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70" w:lineRule="exact"/>
        <w:rPr>
          <w:sz w:val="20"/>
          <w:szCs w:val="20"/>
          <w:color w:val="auto"/>
        </w:rPr>
      </w:pPr>
    </w:p>
    <w:p>
      <w:pPr>
        <w:ind w:left="340" w:hanging="332"/>
        <w:spacing w:after="0" w:line="257" w:lineRule="auto"/>
        <w:tabs>
          <w:tab w:leader="none" w:pos="33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Lessor has the right of possession of the aircraft, equipped with engines and components as described in Exhibit A - Leased Aircraft Subject to the Time-Sharing Agreement, attached and made a part of this Agreement, (the “</w:t>
      </w:r>
      <w:r>
        <w:rPr>
          <w:rFonts w:ascii="Times New Roman" w:cs="Times New Roman" w:eastAsia="Times New Roman" w:hAnsi="Times New Roman"/>
          <w:sz w:val="21"/>
          <w:szCs w:val="21"/>
          <w:b w:val="1"/>
          <w:bCs w:val="1"/>
          <w:color w:val="auto"/>
        </w:rPr>
        <w:t>Aircraft</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Lessor employs a fully qualified flight crew to operate the Aircraft.</w:t>
      </w:r>
    </w:p>
    <w:p>
      <w:pPr>
        <w:spacing w:after="0" w:line="238"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2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safety and security of Lessee in his capacity as Lessor’s Chairman and Chief Executive Officer and to maximize Lessee’s ability to carry out the responsibilities of his position, Lessor has determined it is appropriate for Lessor to make the Aircraft available to Lessee for his personal use, subject to the terms and conditions set forth in this Agreement.</w:t>
      </w:r>
    </w:p>
    <w:p>
      <w:pPr>
        <w:spacing w:after="0" w:line="203" w:lineRule="exact"/>
        <w:rPr>
          <w:rFonts w:ascii="Times New Roman" w:cs="Times New Roman" w:eastAsia="Times New Roman" w:hAnsi="Times New Roman"/>
          <w:sz w:val="18"/>
          <w:szCs w:val="18"/>
          <w:color w:val="auto"/>
        </w:rPr>
      </w:pPr>
    </w:p>
    <w:p>
      <w:pPr>
        <w:ind w:left="340" w:right="20" w:hanging="332"/>
        <w:spacing w:after="0" w:line="280" w:lineRule="auto"/>
        <w:tabs>
          <w:tab w:leader="none" w:pos="33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Lessor therefore desires to provide to Lessee, and Lessee desires to have the use of the Aircraft with flight crew on a non-exclusive time-sharing basis, as defined in section 91.501(c)(1) of the Federal Aviation Administration (“</w:t>
      </w:r>
      <w:r>
        <w:rPr>
          <w:rFonts w:ascii="Times New Roman" w:cs="Times New Roman" w:eastAsia="Times New Roman" w:hAnsi="Times New Roman"/>
          <w:sz w:val="21"/>
          <w:szCs w:val="21"/>
          <w:b w:val="1"/>
          <w:bCs w:val="1"/>
          <w:color w:val="auto"/>
        </w:rPr>
        <w:t>FAA</w:t>
      </w:r>
      <w:r>
        <w:rPr>
          <w:rFonts w:ascii="Times New Roman" w:cs="Times New Roman" w:eastAsia="Times New Roman" w:hAnsi="Times New Roman"/>
          <w:sz w:val="18"/>
          <w:szCs w:val="18"/>
          <w:color w:val="auto"/>
        </w:rPr>
        <w:t>”) regulations.</w:t>
      </w:r>
    </w:p>
    <w:p>
      <w:pPr>
        <w:spacing w:after="0" w:line="165"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sets forth the understanding of the Parties as to the terms under which Lessor may provide Lessee with the use, on a periodic basis, of the Aircraft, currently operated by Lessor.</w:t>
      </w:r>
    </w:p>
    <w:p>
      <w:pPr>
        <w:spacing w:after="0" w:line="18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2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the Aircraft under this Agreement will at all times be pursuant to and in full compliance with the requirements of sections 91.501(b)(6), 91.501(c)(1), and 91.501(d) of the FAA regulations.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3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USE OF AIRCRAFT</w:t>
      </w:r>
    </w:p>
    <w:p>
      <w:pPr>
        <w:spacing w:after="0" w:line="243" w:lineRule="exact"/>
        <w:rPr>
          <w:sz w:val="20"/>
          <w:szCs w:val="20"/>
          <w:color w:val="auto"/>
        </w:rPr>
      </w:pPr>
    </w:p>
    <w:p>
      <w:pPr>
        <w:ind w:left="1180" w:hanging="647"/>
        <w:spacing w:after="0" w:line="266" w:lineRule="auto"/>
        <w:tabs>
          <w:tab w:leader="none" w:pos="11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Lessee may use the Aircraft from time to time, with Lessor’s permission and approval, for any and all lawful purposes allowed by FAA regulations at such times as the Lessor does not require the use of the Aircraft.</w:t>
      </w:r>
    </w:p>
    <w:p>
      <w:pPr>
        <w:spacing w:after="0" w:line="189"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Lessee represents, warrants, and covenants to Lessor that:</w:t>
      </w:r>
    </w:p>
    <w:p>
      <w:pPr>
        <w:spacing w:after="0" w:line="239" w:lineRule="exact"/>
        <w:rPr>
          <w:sz w:val="20"/>
          <w:szCs w:val="20"/>
          <w:color w:val="auto"/>
        </w:rPr>
      </w:pPr>
    </w:p>
    <w:p>
      <w:pPr>
        <w:ind w:left="2600" w:hanging="648"/>
        <w:spacing w:after="0" w:line="250" w:lineRule="auto"/>
        <w:tabs>
          <w:tab w:leader="none" w:pos="239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Lessee shall use the Aircraft for his personal use and shall not use the Aircraft for the purposes of providing transportation of passengers or cargo in air commerce for compensation or hire and shall not accept any reimbursement from a passenger or otherwise for charges for air transportation of passengers or cargo under this Agreement;</w:t>
      </w:r>
    </w:p>
    <w:p>
      <w:pPr>
        <w:spacing w:after="0" w:line="203" w:lineRule="exact"/>
        <w:rPr>
          <w:rFonts w:ascii="Times New Roman" w:cs="Times New Roman" w:eastAsia="Times New Roman" w:hAnsi="Times New Roman"/>
          <w:sz w:val="18"/>
          <w:szCs w:val="18"/>
          <w:color w:val="auto"/>
        </w:rPr>
      </w:pPr>
    </w:p>
    <w:p>
      <w:pPr>
        <w:ind w:left="2600" w:hanging="648"/>
        <w:spacing w:after="0" w:line="266" w:lineRule="auto"/>
        <w:tabs>
          <w:tab w:leader="none" w:pos="255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Lessee shall refrain from incurring any mechanics lien or other lien in connection with inspection, preventative maintenance, maintenance or storage of the Aircraft, whether permissible or impermissible under this Agreement, and</w:t>
      </w:r>
    </w:p>
    <w:p>
      <w:pPr>
        <w:sectPr>
          <w:pgSz w:w="11900" w:h="16838" w:orient="portrait"/>
          <w:cols w:equalWidth="0" w:num="1">
            <w:col w:w="11240"/>
          </w:cols>
          <w:pgMar w:left="320" w:top="846"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10.21</w:t>
      </w:r>
    </w:p>
    <w:p>
      <w:pPr>
        <w:spacing w:after="0" w:line="351" w:lineRule="exact"/>
        <w:rPr>
          <w:sz w:val="20"/>
          <w:szCs w:val="20"/>
          <w:color w:val="auto"/>
        </w:rPr>
      </w:pPr>
    </w:p>
    <w:p>
      <w:pPr>
        <w:jc w:val="both"/>
        <w:ind w:left="1940" w:right="20"/>
        <w:spacing w:after="0" w:line="266" w:lineRule="auto"/>
        <w:rPr>
          <w:sz w:val="20"/>
          <w:szCs w:val="20"/>
          <w:color w:val="auto"/>
        </w:rPr>
      </w:pPr>
      <w:r>
        <w:rPr>
          <w:rFonts w:ascii="Times New Roman" w:cs="Times New Roman" w:eastAsia="Times New Roman" w:hAnsi="Times New Roman"/>
          <w:sz w:val="18"/>
          <w:szCs w:val="18"/>
          <w:color w:val="auto"/>
        </w:rPr>
        <w:t>Lessee shall not attempt to convey, mortgage, assign, lease or any way alienate the Aircraft or create any kind of lien or security interest involving the Aircraft or do anything or take any action that might mature into a lien; and</w:t>
      </w:r>
    </w:p>
    <w:p>
      <w:pPr>
        <w:spacing w:after="0" w:line="189" w:lineRule="exact"/>
        <w:rPr>
          <w:sz w:val="20"/>
          <w:szCs w:val="20"/>
          <w:color w:val="auto"/>
        </w:rPr>
      </w:pPr>
    </w:p>
    <w:p>
      <w:pPr>
        <w:ind w:left="1940" w:hanging="648"/>
        <w:spacing w:after="0" w:line="250" w:lineRule="auto"/>
        <w:tabs>
          <w:tab w:leader="none" w:pos="173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of this Agreement, Lessee shall abide by and conform to all such laws, governmental, and airport orders, rules, and regulations that are in effect from time to time relating in any way to the operation and use of the Aircraft by a time-sharing lessee.</w:t>
      </w:r>
    </w:p>
    <w:p>
      <w:pPr>
        <w:spacing w:after="0" w:line="204" w:lineRule="exact"/>
        <w:rPr>
          <w:sz w:val="20"/>
          <w:szCs w:val="20"/>
          <w:color w:val="auto"/>
        </w:rPr>
      </w:pPr>
    </w:p>
    <w:p>
      <w:pPr>
        <w:jc w:val="both"/>
        <w:ind w:left="400" w:hanging="647"/>
        <w:spacing w:after="0" w:line="239" w:lineRule="auto"/>
        <w:tabs>
          <w:tab w:leader="none" w:pos="380" w:val="left"/>
        </w:tabs>
        <w:rPr>
          <w:sz w:val="20"/>
          <w:szCs w:val="20"/>
          <w:color w:val="auto"/>
        </w:rPr>
      </w:pPr>
      <w:r>
        <w:rPr>
          <w:rFonts w:ascii="Times New Roman" w:cs="Times New Roman" w:eastAsia="Times New Roman" w:hAnsi="Times New Roman"/>
          <w:sz w:val="18"/>
          <w:szCs w:val="18"/>
          <w:color w:val="auto"/>
        </w:rPr>
        <w:t>1.3</w:t>
        <w:tab/>
        <w:t>Lessee shall provide Lessor with notice of his desire to use the Aircraft and proposed flight schedules as far in advance of any given flight as possible, and in any case, in advance of Lessee’s planned departure. Requests for flight time will be in a form, whether written or oral, mutually convenient to, and agreed upon by the Parties. In addition to the proposed schedules and flight times, Lessee shall provide at least the following information for each proposed flight at some time prior to scheduled departure as required by the Lessor or Lessor’s flight crew:</w:t>
      </w:r>
    </w:p>
    <w:p>
      <w:pPr>
        <w:spacing w:after="0" w:line="211" w:lineRule="exact"/>
        <w:rPr>
          <w:sz w:val="20"/>
          <w:szCs w:val="20"/>
          <w:color w:val="auto"/>
        </w:rPr>
      </w:pPr>
    </w:p>
    <w:p>
      <w:pPr>
        <w:ind w:left="1720" w:hanging="428"/>
        <w:spacing w:after="0"/>
        <w:tabs>
          <w:tab w:leader="none" w:pos="17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departure point;</w:t>
      </w:r>
    </w:p>
    <w:p>
      <w:pPr>
        <w:spacing w:after="0" w:line="238" w:lineRule="exact"/>
        <w:rPr>
          <w:rFonts w:ascii="Times New Roman" w:cs="Times New Roman" w:eastAsia="Times New Roman" w:hAnsi="Times New Roman"/>
          <w:sz w:val="18"/>
          <w:szCs w:val="18"/>
          <w:color w:val="auto"/>
        </w:rPr>
      </w:pPr>
    </w:p>
    <w:p>
      <w:pPr>
        <w:ind w:left="1720" w:hanging="428"/>
        <w:spacing w:after="0"/>
        <w:tabs>
          <w:tab w:leader="none" w:pos="17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Destination;</w:t>
      </w:r>
    </w:p>
    <w:p>
      <w:pPr>
        <w:spacing w:after="0" w:line="238" w:lineRule="exact"/>
        <w:rPr>
          <w:rFonts w:ascii="Times New Roman" w:cs="Times New Roman" w:eastAsia="Times New Roman" w:hAnsi="Times New Roman"/>
          <w:sz w:val="18"/>
          <w:szCs w:val="18"/>
          <w:color w:val="auto"/>
        </w:rPr>
      </w:pPr>
    </w:p>
    <w:p>
      <w:pPr>
        <w:ind w:left="1720" w:hanging="428"/>
        <w:spacing w:after="0"/>
        <w:tabs>
          <w:tab w:leader="none" w:pos="17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and time of flight;</w:t>
      </w:r>
    </w:p>
    <w:p>
      <w:pPr>
        <w:spacing w:after="0" w:line="238" w:lineRule="exact"/>
        <w:rPr>
          <w:rFonts w:ascii="Times New Roman" w:cs="Times New Roman" w:eastAsia="Times New Roman" w:hAnsi="Times New Roman"/>
          <w:sz w:val="18"/>
          <w:szCs w:val="18"/>
          <w:color w:val="auto"/>
        </w:rPr>
      </w:pPr>
    </w:p>
    <w:p>
      <w:pPr>
        <w:ind w:left="1720" w:hanging="428"/>
        <w:spacing w:after="0"/>
        <w:tabs>
          <w:tab w:leader="none" w:pos="17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identity of anticipated passengers and relationship to the Lessee;</w:t>
      </w:r>
    </w:p>
    <w:p>
      <w:pPr>
        <w:spacing w:after="0" w:line="238" w:lineRule="exact"/>
        <w:rPr>
          <w:rFonts w:ascii="Times New Roman" w:cs="Times New Roman" w:eastAsia="Times New Roman" w:hAnsi="Times New Roman"/>
          <w:sz w:val="18"/>
          <w:szCs w:val="18"/>
          <w:color w:val="auto"/>
        </w:rPr>
      </w:pPr>
    </w:p>
    <w:p>
      <w:pPr>
        <w:ind w:left="1700" w:hanging="408"/>
        <w:spacing w:after="0"/>
        <w:tabs>
          <w:tab w:leader="none" w:pos="17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and time of return flight, if any;</w:t>
      </w:r>
    </w:p>
    <w:p>
      <w:pPr>
        <w:spacing w:after="0" w:line="238" w:lineRule="exact"/>
        <w:rPr>
          <w:rFonts w:ascii="Times New Roman" w:cs="Times New Roman" w:eastAsia="Times New Roman" w:hAnsi="Times New Roman"/>
          <w:sz w:val="18"/>
          <w:szCs w:val="18"/>
          <w:color w:val="auto"/>
        </w:rPr>
      </w:pPr>
    </w:p>
    <w:p>
      <w:pPr>
        <w:ind w:left="1700" w:hanging="408"/>
        <w:spacing w:after="0"/>
        <w:tabs>
          <w:tab w:leader="none" w:pos="17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international trips, passport information and Customs-required information for all passengers; and</w:t>
      </w:r>
    </w:p>
    <w:p>
      <w:pPr>
        <w:spacing w:after="0" w:line="238" w:lineRule="exact"/>
        <w:rPr>
          <w:rFonts w:ascii="Times New Roman" w:cs="Times New Roman" w:eastAsia="Times New Roman" w:hAnsi="Times New Roman"/>
          <w:sz w:val="18"/>
          <w:szCs w:val="18"/>
          <w:color w:val="auto"/>
        </w:rPr>
      </w:pPr>
    </w:p>
    <w:p>
      <w:pPr>
        <w:ind w:left="1940" w:hanging="648"/>
        <w:spacing w:after="0" w:line="246" w:lineRule="auto"/>
        <w:tabs>
          <w:tab w:leader="none" w:pos="173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concerning the proposed flight that may be pertinent or required by Lessor or Lessor’s flight crew, including whether Lessee requests any food and beverages, passenger ground transportation, or access to airline lounges.</w:t>
      </w:r>
    </w:p>
    <w:p>
      <w:pPr>
        <w:spacing w:after="0" w:line="2" w:lineRule="exact"/>
        <w:rPr>
          <w:sz w:val="20"/>
          <w:szCs w:val="20"/>
          <w:color w:val="auto"/>
        </w:rPr>
      </w:pPr>
    </w:p>
    <w:p>
      <w:pPr>
        <w:jc w:val="both"/>
        <w:ind w:left="540" w:right="20" w:hanging="647"/>
        <w:spacing w:after="0" w:line="246" w:lineRule="auto"/>
        <w:tabs>
          <w:tab w:leader="none" w:pos="52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18"/>
          <w:szCs w:val="18"/>
          <w:color w:val="auto"/>
        </w:rPr>
        <w:t>Lessor shall notify Lessee as to whether the requested use of the Aircraft can be accommodated and, if not, the Parties shall discuss alternatives.</w:t>
      </w:r>
    </w:p>
    <w:p>
      <w:pPr>
        <w:spacing w:after="0" w:line="21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1.5</w:t>
      </w:r>
      <w:r>
        <w:rPr>
          <w:sz w:val="20"/>
          <w:szCs w:val="20"/>
          <w:color w:val="auto"/>
        </w:rPr>
        <w:tab/>
      </w:r>
      <w:r>
        <w:rPr>
          <w:rFonts w:ascii="Times New Roman" w:cs="Times New Roman" w:eastAsia="Times New Roman" w:hAnsi="Times New Roman"/>
          <w:sz w:val="17"/>
          <w:szCs w:val="17"/>
          <w:color w:val="auto"/>
        </w:rPr>
        <w:t>The Lessor’s use of the Aircraft will take precedence over Lessee’s use.</w:t>
      </w:r>
    </w:p>
    <w:p>
      <w:pPr>
        <w:spacing w:after="0" w:line="234" w:lineRule="exact"/>
        <w:rPr>
          <w:sz w:val="20"/>
          <w:szCs w:val="20"/>
          <w:color w:val="auto"/>
        </w:rPr>
      </w:pPr>
    </w:p>
    <w:p>
      <w:pPr>
        <w:jc w:val="both"/>
        <w:ind w:left="480" w:hanging="647"/>
        <w:spacing w:after="0" w:line="250" w:lineRule="auto"/>
        <w:tabs>
          <w:tab w:leader="none" w:pos="460" w:val="left"/>
        </w:tabs>
        <w:rPr>
          <w:sz w:val="20"/>
          <w:szCs w:val="20"/>
          <w:color w:val="auto"/>
        </w:rPr>
      </w:pPr>
      <w:r>
        <w:rPr>
          <w:rFonts w:ascii="Times New Roman" w:cs="Times New Roman" w:eastAsia="Times New Roman" w:hAnsi="Times New Roman"/>
          <w:sz w:val="18"/>
          <w:szCs w:val="18"/>
          <w:color w:val="auto"/>
        </w:rPr>
        <w:t>1.6</w:t>
        <w:tab/>
        <w:t>Any maintenance and inspection of the Aircraft takes precedence over scheduling of the Aircraft. However, the Lessor may, but is not obligated to, permit Lessee to use the Aircraft if such maintenance or inspection can be safely deferred in accordance with applicable laws and regulations and the Pilot in Command agrees the flight can be conducted safely.</w:t>
      </w:r>
    </w:p>
    <w:p>
      <w:pPr>
        <w:spacing w:after="0" w:line="204" w:lineRule="exact"/>
        <w:rPr>
          <w:sz w:val="20"/>
          <w:szCs w:val="20"/>
          <w:color w:val="auto"/>
        </w:rPr>
      </w:pPr>
    </w:p>
    <w:p>
      <w:pPr>
        <w:jc w:val="both"/>
        <w:ind w:left="460" w:hanging="647"/>
        <w:spacing w:after="0" w:line="241" w:lineRule="auto"/>
        <w:tabs>
          <w:tab w:leader="none" w:pos="440" w:val="left"/>
        </w:tabs>
        <w:rPr>
          <w:sz w:val="20"/>
          <w:szCs w:val="20"/>
          <w:color w:val="auto"/>
        </w:rPr>
      </w:pPr>
      <w:r>
        <w:rPr>
          <w:rFonts w:ascii="Times New Roman" w:cs="Times New Roman" w:eastAsia="Times New Roman" w:hAnsi="Times New Roman"/>
          <w:sz w:val="18"/>
          <w:szCs w:val="18"/>
          <w:color w:val="auto"/>
        </w:rPr>
        <w:t>1.7</w:t>
        <w:tab/>
        <w:t>Lessor has and will maintain sole and exclusive authority over the scheduling of Lessee’s use of the Aircraft. Notwithstanding any other contrary provision in this Agreement, Lessee acknowledges and agrees that Lessor will be entering into other leases with other persons and entities, and as a consequence, Lessor shall generally provide the Aircraft to Lessee under this Agreement and other persons and entities under other leases on a first-come, first-served basis or otherwise in Lessor’s sole discretion and that Lessor will in no event be in violation of this Agreement for providing the Aircraft to such other persons or entities at a time when Lessee desires to use the Aircraft pursuant to this Agreement.</w:t>
      </w:r>
    </w:p>
    <w:p>
      <w:pPr>
        <w:spacing w:after="0" w:line="211" w:lineRule="exact"/>
        <w:rPr>
          <w:sz w:val="20"/>
          <w:szCs w:val="20"/>
          <w:color w:val="auto"/>
        </w:rPr>
      </w:pPr>
    </w:p>
    <w:p>
      <w:pPr>
        <w:jc w:val="both"/>
        <w:ind w:left="440" w:hanging="647"/>
        <w:spacing w:after="0" w:line="266" w:lineRule="auto"/>
        <w:tabs>
          <w:tab w:leader="none" w:pos="420" w:val="left"/>
        </w:tabs>
        <w:rPr>
          <w:sz w:val="20"/>
          <w:szCs w:val="20"/>
          <w:color w:val="auto"/>
        </w:rPr>
      </w:pPr>
      <w:r>
        <w:rPr>
          <w:rFonts w:ascii="Times New Roman" w:cs="Times New Roman" w:eastAsia="Times New Roman" w:hAnsi="Times New Roman"/>
          <w:sz w:val="18"/>
          <w:szCs w:val="18"/>
          <w:color w:val="auto"/>
        </w:rPr>
        <w:t>1.8</w:t>
        <w:tab/>
        <w:t>Lessor has the right to add or substitute aircraft of similar type, quality, and equipment, and to remove aircraft from the fleet, from time to time during the term of this Agreement. Upon each</w:t>
      </w:r>
    </w:p>
    <w:p>
      <w:pPr>
        <w:sectPr>
          <w:pgSz w:w="11900" w:h="16838" w:orient="portrait"/>
          <w:cols w:equalWidth="0" w:num="1">
            <w:col w:w="10580"/>
          </w:cols>
          <w:pgMar w:left="980" w:top="846"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10.21</w:t>
      </w:r>
    </w:p>
    <w:p>
      <w:pPr>
        <w:spacing w:after="0" w:line="3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such change in the Aircraft, Lessor shall send to Lessee a revised Exhibit A - Leased Aircraft Subject to the Time-Sharing Agreement.</w:t>
      </w:r>
    </w:p>
    <w:p>
      <w:pPr>
        <w:spacing w:after="0" w:line="239" w:lineRule="exact"/>
        <w:rPr>
          <w:sz w:val="20"/>
          <w:szCs w:val="20"/>
          <w:color w:val="auto"/>
        </w:rPr>
      </w:pPr>
    </w:p>
    <w:p>
      <w:pPr>
        <w:jc w:val="both"/>
        <w:ind w:left="1080" w:hanging="647"/>
        <w:spacing w:after="0" w:line="266" w:lineRule="auto"/>
        <w:tabs>
          <w:tab w:leader="none" w:pos="1060" w:val="left"/>
        </w:tabs>
        <w:rPr>
          <w:sz w:val="20"/>
          <w:szCs w:val="20"/>
          <w:color w:val="auto"/>
        </w:rPr>
      </w:pPr>
      <w:r>
        <w:rPr>
          <w:rFonts w:ascii="Times New Roman" w:cs="Times New Roman" w:eastAsia="Times New Roman" w:hAnsi="Times New Roman"/>
          <w:sz w:val="18"/>
          <w:szCs w:val="18"/>
          <w:color w:val="auto"/>
        </w:rPr>
        <w:t>1.9</w:t>
        <w:tab/>
        <w:t>Lessor shall not be liable to Lessee or any other person for loss, injury, or damage occasioned by the delay or failure to furnish the Aircraft and crew pursuant to this Agreement for any reason.</w:t>
      </w:r>
    </w:p>
    <w:p>
      <w:pPr>
        <w:spacing w:after="0" w:line="1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TERM AND TERMINATION</w:t>
      </w:r>
    </w:p>
    <w:p>
      <w:pPr>
        <w:spacing w:after="0" w:line="239"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b w:val="1"/>
          <w:bCs w:val="1"/>
          <w:color w:val="auto"/>
        </w:rPr>
        <w:t xml:space="preserve">Term. </w:t>
      </w:r>
      <w:r>
        <w:rPr>
          <w:rFonts w:ascii="Times New Roman" w:cs="Times New Roman" w:eastAsia="Times New Roman" w:hAnsi="Times New Roman"/>
          <w:sz w:val="17"/>
          <w:szCs w:val="17"/>
          <w:color w:val="auto"/>
        </w:rPr>
        <w:t>This Agreement is effective from the Effective Date and terminates as provided in Section 2.2 (Termination) of this Agreement.</w:t>
      </w:r>
    </w:p>
    <w:p>
      <w:pPr>
        <w:spacing w:after="0" w:line="239" w:lineRule="exact"/>
        <w:rPr>
          <w:sz w:val="20"/>
          <w:szCs w:val="20"/>
          <w:color w:val="auto"/>
        </w:rPr>
      </w:pPr>
    </w:p>
    <w:p>
      <w:pPr>
        <w:jc w:val="both"/>
        <w:ind w:left="1160" w:hanging="647"/>
        <w:spacing w:after="0" w:line="239" w:lineRule="auto"/>
        <w:tabs>
          <w:tab w:leader="none" w:pos="11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 Either Party may terminate this Agreement for any reason upon written notice to the other, such termination to become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30 days from the date of the notice; provided that this Agreement may be terminated on such shorter notice with respect to any Aircraft as may be required to comply with applicable laws, regulations, the requirements of any financial institution with a security or other interest in such Aircraft, insurance requirements, in the event the insurance required under this Agreement is not in full force and effect or if Lessor sells or transfers such Aircraft.</w:t>
      </w:r>
    </w:p>
    <w:p>
      <w:pPr>
        <w:spacing w:after="0" w:line="21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AIRCRAFT MAINTENANCE AND OPERATION</w:t>
      </w:r>
    </w:p>
    <w:p>
      <w:pPr>
        <w:spacing w:after="0" w:line="239" w:lineRule="exact"/>
        <w:rPr>
          <w:sz w:val="20"/>
          <w:szCs w:val="20"/>
          <w:color w:val="auto"/>
        </w:rPr>
      </w:pPr>
    </w:p>
    <w:p>
      <w:pPr>
        <w:jc w:val="both"/>
        <w:ind w:left="1160" w:hanging="647"/>
        <w:spacing w:after="0" w:line="246" w:lineRule="auto"/>
        <w:tabs>
          <w:tab w:leader="none" w:pos="11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b w:val="1"/>
          <w:bCs w:val="1"/>
          <w:color w:val="auto"/>
        </w:rPr>
        <w:t xml:space="preserve">Maintenance. </w:t>
      </w:r>
      <w:r>
        <w:rPr>
          <w:rFonts w:ascii="Times New Roman" w:cs="Times New Roman" w:eastAsia="Times New Roman" w:hAnsi="Times New Roman"/>
          <w:sz w:val="18"/>
          <w:szCs w:val="18"/>
          <w:color w:val="auto"/>
        </w:rPr>
        <w:t>Lessor, at its own cost and expense, will service, maintain, and repair the Aircraft in compliance with all maintenance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standards of the Aircraft and all requirements of Part 91 of the FAA regulations. Each Aircraft will remain in good operating condition and in a condition consistent with its airworthiness certification, including all FAA-issued airworthiness directives and mandatory service bulletins.</w:t>
      </w:r>
    </w:p>
    <w:p>
      <w:pPr>
        <w:spacing w:after="0" w:line="204" w:lineRule="exact"/>
        <w:rPr>
          <w:sz w:val="20"/>
          <w:szCs w:val="20"/>
          <w:color w:val="auto"/>
        </w:rPr>
      </w:pPr>
    </w:p>
    <w:p>
      <w:pPr>
        <w:jc w:val="both"/>
        <w:ind w:left="1140" w:hanging="647"/>
        <w:spacing w:after="0" w:line="243" w:lineRule="auto"/>
        <w:tabs>
          <w:tab w:leader="none" w:pos="11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b w:val="1"/>
          <w:bCs w:val="1"/>
          <w:color w:val="auto"/>
        </w:rPr>
        <w:t xml:space="preserve">Operational Control. </w:t>
      </w:r>
      <w:r>
        <w:rPr>
          <w:rFonts w:ascii="Times New Roman" w:cs="Times New Roman" w:eastAsia="Times New Roman" w:hAnsi="Times New Roman"/>
          <w:sz w:val="18"/>
          <w:szCs w:val="18"/>
          <w:color w:val="auto"/>
        </w:rPr>
        <w:t>The parties expressly agree that Lessor must have and maintain operational control of the Aircraft for all flights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operated under this Agreement, and that the intent of the Parties is that this Agreement constitutes a “Time-Sharing Agreement” as such term is defined in section 91.501(c)(1) of the FAA regulations. Lessor will be responsible for the physical and technical operation of the Aircraft and the safe operation of all flights and will exercise exclusive authority over initiating, conducting, or terminating any flight conducted on behalf of Lessee pursuant to this Agreement.</w:t>
      </w:r>
    </w:p>
    <w:p>
      <w:pPr>
        <w:spacing w:after="0" w:line="194"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b w:val="1"/>
          <w:bCs w:val="1"/>
          <w:color w:val="auto"/>
        </w:rPr>
        <w:t xml:space="preserve">Identification of Chargeable Costs and Expenses. </w:t>
      </w:r>
      <w:r>
        <w:rPr>
          <w:rFonts w:ascii="Times New Roman" w:cs="Times New Roman" w:eastAsia="Times New Roman" w:hAnsi="Times New Roman"/>
          <w:sz w:val="18"/>
          <w:szCs w:val="18"/>
          <w:color w:val="auto"/>
        </w:rPr>
        <w:t>Lessor is responsible for identifying and calculating all costs and expenses relating to,</w:t>
      </w:r>
    </w:p>
    <w:p>
      <w:pPr>
        <w:spacing w:after="0" w:line="20" w:lineRule="exact"/>
        <w:rPr>
          <w:sz w:val="20"/>
          <w:szCs w:val="20"/>
          <w:color w:val="auto"/>
        </w:rPr>
      </w:pPr>
    </w:p>
    <w:p>
      <w:pPr>
        <w:jc w:val="both"/>
        <w:ind w:left="1300" w:firstLine="4"/>
        <w:spacing w:after="0" w:line="238" w:lineRule="auto"/>
        <w:tabs>
          <w:tab w:leader="none" w:pos="161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and beverages (including alcoholic beverages) provided in flight), (B) ground transportation for passengers if requested, (C) weather information at the destination, and (D) any ground transportation, hotel accommodations or other travel expenses of the pilot and crew. Lessor may charge Lessee for any such expenses, in accordance with Sections 5.1 (Flight Charges) and 5.2 (Invoices and Payments) of this Agreement.</w:t>
      </w:r>
    </w:p>
    <w:p>
      <w:pPr>
        <w:spacing w:after="0" w:line="208" w:lineRule="exact"/>
        <w:rPr>
          <w:sz w:val="20"/>
          <w:szCs w:val="20"/>
          <w:color w:val="auto"/>
        </w:rPr>
      </w:pPr>
    </w:p>
    <w:p>
      <w:pPr>
        <w:jc w:val="both"/>
        <w:ind w:left="1060" w:hanging="647"/>
        <w:spacing w:after="0"/>
        <w:tabs>
          <w:tab w:leader="none" w:pos="10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b w:val="1"/>
          <w:bCs w:val="1"/>
          <w:color w:val="auto"/>
        </w:rPr>
        <w:t xml:space="preserve">Authority of the Pilot in Command. </w:t>
      </w:r>
      <w:r>
        <w:rPr>
          <w:rFonts w:ascii="Times New Roman" w:cs="Times New Roman" w:eastAsia="Times New Roman" w:hAnsi="Times New Roman"/>
          <w:sz w:val="18"/>
          <w:szCs w:val="18"/>
          <w:color w:val="auto"/>
        </w:rPr>
        <w:t>The Pilot in Command has absolute discretion in all matters concerning the preparation of the Aircraft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flight and the flight itself, the load carried and its distribution, the decision whether a flight will be undertaken, the route to be flown, the place where landings will be made and all other matters relating to operation of the Aircraft. Lessee specifically agrees that the flight crew has final and complete authority to delay or cancel any flight for any reason or condition which, in sole judgment of the Pilot in Command, could compromise the safety of the flight and to take any other action which, in the sole judgment of the Pilot in Command, is necessitated by considerations of safety. No such action of the Pilot in Command shall create or support any liability to Lessee or any other person for loss, injury, damages or delay.</w:t>
      </w:r>
    </w:p>
    <w:p>
      <w:pPr>
        <w:spacing w:after="0" w:line="212" w:lineRule="exact"/>
        <w:rPr>
          <w:sz w:val="20"/>
          <w:szCs w:val="20"/>
          <w:color w:val="auto"/>
        </w:rPr>
      </w:pPr>
    </w:p>
    <w:p>
      <w:pPr>
        <w:jc w:val="both"/>
        <w:ind w:left="1060" w:hanging="647"/>
        <w:spacing w:after="0" w:line="245" w:lineRule="auto"/>
        <w:tabs>
          <w:tab w:leader="none" w:pos="104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b w:val="1"/>
          <w:bCs w:val="1"/>
          <w:color w:val="auto"/>
        </w:rPr>
        <w:t xml:space="preserve">Flight Crew. </w:t>
      </w:r>
      <w:r>
        <w:rPr>
          <w:rFonts w:ascii="Times New Roman" w:cs="Times New Roman" w:eastAsia="Times New Roman" w:hAnsi="Times New Roman"/>
          <w:sz w:val="18"/>
          <w:szCs w:val="18"/>
          <w:color w:val="auto"/>
        </w:rPr>
        <w:t>Lessor is responsible for providing a qualified flight crew for all flight operations under this Agreement who must be qualified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possess ratings required by the FAA to operate the aircraft and are responsible for operating the aircraft within applicable FAA regulations and Lessor’s policies.</w:t>
      </w:r>
    </w:p>
    <w:p>
      <w:pPr>
        <w:sectPr>
          <w:pgSz w:w="11900" w:h="16838" w:orient="portrait"/>
          <w:cols w:equalWidth="0" w:num="1">
            <w:col w:w="11240"/>
          </w:cols>
          <w:pgMar w:left="320" w:top="846"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10.21</w:t>
      </w:r>
    </w:p>
    <w:p>
      <w:pPr>
        <w:spacing w:after="0" w:line="200" w:lineRule="exact"/>
        <w:rPr>
          <w:sz w:val="20"/>
          <w:szCs w:val="20"/>
          <w:color w:val="auto"/>
        </w:rPr>
      </w:pPr>
    </w:p>
    <w:p>
      <w:pPr>
        <w:spacing w:after="0" w:line="390" w:lineRule="exact"/>
        <w:rPr>
          <w:sz w:val="20"/>
          <w:szCs w:val="20"/>
          <w:color w:val="auto"/>
        </w:rPr>
      </w:pPr>
    </w:p>
    <w:p>
      <w:pPr>
        <w:jc w:val="both"/>
        <w:ind w:left="1080" w:right="20" w:hanging="647"/>
        <w:spacing w:after="0" w:line="271" w:lineRule="auto"/>
        <w:tabs>
          <w:tab w:leader="none" w:pos="106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b w:val="1"/>
          <w:bCs w:val="1"/>
          <w:color w:val="auto"/>
        </w:rPr>
        <w:t xml:space="preserve">Base of Operations. </w:t>
      </w:r>
      <w:r>
        <w:rPr>
          <w:rFonts w:ascii="Times New Roman" w:cs="Times New Roman" w:eastAsia="Times New Roman" w:hAnsi="Times New Roman"/>
          <w:sz w:val="18"/>
          <w:szCs w:val="18"/>
          <w:color w:val="auto"/>
        </w:rPr>
        <w:t>For purposes of this Agreement, the permanent base of operation of the Aircraft will be Sugar Land Regional Airport,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Sugar Land, Texas.</w:t>
      </w:r>
    </w:p>
    <w:p>
      <w:pPr>
        <w:spacing w:after="0" w:line="181" w:lineRule="exact"/>
        <w:rPr>
          <w:sz w:val="20"/>
          <w:szCs w:val="20"/>
          <w:color w:val="auto"/>
        </w:rPr>
      </w:pPr>
    </w:p>
    <w:p>
      <w:pPr>
        <w:ind w:left="360" w:hanging="352"/>
        <w:spacing w:after="0"/>
        <w:tabs>
          <w:tab w:leader="none" w:pos="3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TIME-SHARING ARRANGEMENT</w:t>
      </w:r>
    </w:p>
    <w:p>
      <w:pPr>
        <w:spacing w:after="0" w:line="243"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It is intended that this Agreement is and will meet the requirements of a “Time-Sharing Agreement” as that term is defined in section</w:t>
      </w:r>
    </w:p>
    <w:p>
      <w:pPr>
        <w:spacing w:after="0" w:line="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91.501(c)(1) of the FAA regulations under which Lessor will lease the Aircraft and flight crew to Lessee.</w:t>
      </w:r>
    </w:p>
    <w:p>
      <w:pPr>
        <w:spacing w:after="0" w:line="21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tab/>
        <w:t>REIMBURSEMENT</w:t>
      </w:r>
    </w:p>
    <w:p>
      <w:pPr>
        <w:spacing w:after="0" w:line="239" w:lineRule="exact"/>
        <w:rPr>
          <w:sz w:val="20"/>
          <w:szCs w:val="20"/>
          <w:color w:val="auto"/>
        </w:rPr>
      </w:pPr>
    </w:p>
    <w:p>
      <w:pPr>
        <w:jc w:val="both"/>
        <w:ind w:left="1060" w:hanging="647"/>
        <w:spacing w:after="0" w:line="245" w:lineRule="auto"/>
        <w:tabs>
          <w:tab w:leader="none" w:pos="10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b w:val="1"/>
          <w:bCs w:val="1"/>
          <w:color w:val="auto"/>
        </w:rPr>
        <w:t>Flight Charges</w:t>
      </w:r>
      <w:r>
        <w:rPr>
          <w:rFonts w:ascii="Times New Roman" w:cs="Times New Roman" w:eastAsia="Times New Roman" w:hAnsi="Times New Roman"/>
          <w:sz w:val="18"/>
          <w:szCs w:val="18"/>
          <w:color w:val="auto"/>
        </w:rPr>
        <w:t>. Where applicable, Lessee may reimburse Lessor for each flight conducted under this Agreement the actual expenses of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specific flight as authorized by FAA regulation Part 91.501(d) and invoiced by Lessor pursuant to Section 5.2 (Invoices and Payment) of this Agreement. These expenses may and must only include:</w:t>
      </w:r>
    </w:p>
    <w:p>
      <w:pPr>
        <w:spacing w:after="0" w:line="207" w:lineRule="exact"/>
        <w:rPr>
          <w:sz w:val="20"/>
          <w:szCs w:val="20"/>
          <w:color w:val="auto"/>
        </w:rPr>
      </w:pPr>
    </w:p>
    <w:p>
      <w:pPr>
        <w:ind w:left="1740" w:hanging="436"/>
        <w:spacing w:after="0"/>
        <w:tabs>
          <w:tab w:leader="none" w:pos="17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Fuel, oil, lubricants, and other additives;</w:t>
      </w:r>
    </w:p>
    <w:p>
      <w:pPr>
        <w:spacing w:after="0" w:line="238" w:lineRule="exact"/>
        <w:rPr>
          <w:rFonts w:ascii="Times New Roman" w:cs="Times New Roman" w:eastAsia="Times New Roman" w:hAnsi="Times New Roman"/>
          <w:sz w:val="18"/>
          <w:szCs w:val="18"/>
          <w:color w:val="auto"/>
        </w:rPr>
      </w:pPr>
    </w:p>
    <w:p>
      <w:pPr>
        <w:ind w:left="1720" w:hanging="416"/>
        <w:spacing w:after="0"/>
        <w:tabs>
          <w:tab w:leader="none" w:pos="17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expenses of the crew, including food, lodging, and ground transportation;</w:t>
      </w:r>
    </w:p>
    <w:p>
      <w:pPr>
        <w:spacing w:after="0" w:line="238" w:lineRule="exact"/>
        <w:rPr>
          <w:rFonts w:ascii="Times New Roman" w:cs="Times New Roman" w:eastAsia="Times New Roman" w:hAnsi="Times New Roman"/>
          <w:sz w:val="18"/>
          <w:szCs w:val="18"/>
          <w:color w:val="auto"/>
        </w:rPr>
      </w:pPr>
    </w:p>
    <w:p>
      <w:pPr>
        <w:ind w:left="1720" w:hanging="416"/>
        <w:spacing w:after="0"/>
        <w:tabs>
          <w:tab w:leader="none" w:pos="17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Hangar and tie-down costs away from the Aircraft’s base of operations;</w:t>
      </w:r>
    </w:p>
    <w:p>
      <w:pPr>
        <w:spacing w:after="0" w:line="238"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obtained for the specific flight;</w:t>
      </w:r>
    </w:p>
    <w:p>
      <w:pPr>
        <w:spacing w:after="0" w:line="238" w:lineRule="exact"/>
        <w:rPr>
          <w:rFonts w:ascii="Times New Roman" w:cs="Times New Roman" w:eastAsia="Times New Roman" w:hAnsi="Times New Roman"/>
          <w:sz w:val="18"/>
          <w:szCs w:val="18"/>
          <w:color w:val="auto"/>
        </w:rPr>
      </w:pPr>
    </w:p>
    <w:p>
      <w:pPr>
        <w:ind w:left="1720" w:hanging="416"/>
        <w:spacing w:after="0"/>
        <w:tabs>
          <w:tab w:leader="none" w:pos="17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Landing fees, airport taxes, and similar assessments;</w:t>
      </w:r>
    </w:p>
    <w:p>
      <w:pPr>
        <w:spacing w:after="0" w:line="238"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Customs, foreign permit, and similar fees directly related to the flight;</w:t>
      </w:r>
    </w:p>
    <w:p>
      <w:pPr>
        <w:spacing w:after="0" w:line="238"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flight food and beverages;</w:t>
      </w:r>
    </w:p>
    <w:p>
      <w:pPr>
        <w:spacing w:after="0" w:line="238"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Passenger ground transportation;</w:t>
      </w:r>
    </w:p>
    <w:p>
      <w:pPr>
        <w:spacing w:after="0" w:line="238"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Flight planning and weather contract services; and</w:t>
      </w:r>
    </w:p>
    <w:p>
      <w:pPr>
        <w:spacing w:after="0" w:line="238"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charge equal to 100% of the expenses listed in Section 5.1(A) of this Agreement.</w:t>
      </w:r>
    </w:p>
    <w:p>
      <w:pPr>
        <w:spacing w:after="0" w:line="235" w:lineRule="exact"/>
        <w:rPr>
          <w:sz w:val="20"/>
          <w:szCs w:val="20"/>
          <w:color w:val="auto"/>
        </w:rPr>
      </w:pPr>
    </w:p>
    <w:p>
      <w:pPr>
        <w:jc w:val="both"/>
        <w:ind w:left="1080" w:hanging="647"/>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5.2</w:t>
        <w:tab/>
        <w:t xml:space="preserve">Invoices and Payment. </w:t>
      </w:r>
      <w:r>
        <w:rPr>
          <w:rFonts w:ascii="Times New Roman" w:cs="Times New Roman" w:eastAsia="Times New Roman" w:hAnsi="Times New Roman"/>
          <w:sz w:val="18"/>
          <w:szCs w:val="18"/>
          <w:color w:val="auto"/>
        </w:rPr>
        <w:t>Lessor will initially pay all expenses related to the operation of the Aircraft in the ordinary course. For each flight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operated under this Agreement for which Lessor seeks reimbursement, Lessor shall provide an invoice to Lessee for certain or all of the charges listed in Section 5.1 of this Agreement (Flight Charges) as soon as administratively practicable (and in any event within 90 days) after the end of the calendar quarter in which the flight took place. In the event some Flight Charges are invoiced based on estimates, as</w:t>
      </w:r>
    </w:p>
    <w:p>
      <w:pPr>
        <w:spacing w:after="0" w:line="1" w:lineRule="exact"/>
        <w:rPr>
          <w:sz w:val="20"/>
          <w:szCs w:val="20"/>
          <w:color w:val="auto"/>
        </w:rPr>
      </w:pPr>
    </w:p>
    <w:p>
      <w:pPr>
        <w:jc w:val="both"/>
        <w:ind w:left="1300"/>
        <w:spacing w:after="0" w:line="236" w:lineRule="auto"/>
        <w:rPr>
          <w:sz w:val="20"/>
          <w:szCs w:val="20"/>
          <w:color w:val="auto"/>
        </w:rPr>
      </w:pPr>
      <w:r>
        <w:rPr>
          <w:rFonts w:ascii="Times New Roman" w:cs="Times New Roman" w:eastAsia="Times New Roman" w:hAnsi="Times New Roman"/>
          <w:sz w:val="18"/>
          <w:szCs w:val="18"/>
          <w:color w:val="auto"/>
        </w:rPr>
        <w:t>Flight Charges are not accurately or definitively known in their entirety at the time of invoicing</w:t>
      </w:r>
      <w:r>
        <w:rPr>
          <w:rFonts w:ascii="Times New Roman" w:cs="Times New Roman" w:eastAsia="Times New Roman" w:hAnsi="Times New Roman"/>
          <w:sz w:val="21"/>
          <w:szCs w:val="21"/>
          <w:color w:val="0000FF"/>
        </w:rPr>
        <w:t>,</w:t>
      </w:r>
      <w:r>
        <w:rPr>
          <w:rFonts w:ascii="Times New Roman" w:cs="Times New Roman" w:eastAsia="Times New Roman" w:hAnsi="Times New Roman"/>
          <w:sz w:val="18"/>
          <w:szCs w:val="18"/>
          <w:color w:val="auto"/>
        </w:rPr>
        <w:t xml:space="preserve"> or a determination is made by Lessor after the end of the calendar year to seek additional reimbursements from Lessee, Lessor can, as soon as administratively practicable (and in any event within 90 days) after the end of the calendar year in which the flights took place, invoice Lessee for a portion or all of the Flight Charges incurred during the calendar year but not yet invoiced. If Lessor seeks reimbursement, Lessee shall pay the full amount of such invoice, together with any applicable taxes and any segment and landing fees associated with such flight(s) under Section 6 (Taxes) of this Agreement, to Lessor within 30 days after receipt of the invoice. In the event Lessor has not received a supplier invoice for reimbursable charges relating to such flight prior to such invoicing, Lessor shall issue a supplemental invoice for such charges to Lessee within 30 days of the date of receipt of the supplier invoice and Lessee shall pay such supplemental invoice amount within 30 days after receipt. Lessee shall further pay all costs incurred by Lessor in collecting any amounts due</w:t>
      </w:r>
    </w:p>
    <w:p>
      <w:pPr>
        <w:sectPr>
          <w:pgSz w:w="11900" w:h="16838" w:orient="portrait"/>
          <w:cols w:equalWidth="0" w:num="1">
            <w:col w:w="11240"/>
          </w:cols>
          <w:pgMar w:left="320" w:top="846"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10.21</w:t>
      </w:r>
    </w:p>
    <w:p>
      <w:pPr>
        <w:spacing w:after="0" w:line="351"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from Lessee pursuant to the provisions of this Section 5 (Reimbursement) after delinquency, including court costs and reasonable attorneys’ fees.</w:t>
      </w:r>
    </w:p>
    <w:p>
      <w:pPr>
        <w:spacing w:after="0" w:line="1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TAXES</w:t>
      </w:r>
    </w:p>
    <w:p>
      <w:pPr>
        <w:spacing w:after="0" w:line="283" w:lineRule="exact"/>
        <w:rPr>
          <w:sz w:val="20"/>
          <w:szCs w:val="20"/>
          <w:color w:val="auto"/>
        </w:rPr>
      </w:pPr>
    </w:p>
    <w:p>
      <w:pPr>
        <w:jc w:val="both"/>
        <w:ind w:left="1100" w:hanging="647"/>
        <w:spacing w:after="0" w:line="250" w:lineRule="auto"/>
        <w:tabs>
          <w:tab w:leader="none" w:pos="1080" w:val="left"/>
        </w:tabs>
        <w:rPr>
          <w:sz w:val="20"/>
          <w:szCs w:val="20"/>
          <w:color w:val="auto"/>
        </w:rPr>
      </w:pPr>
      <w:r>
        <w:rPr>
          <w:rFonts w:ascii="Times New Roman" w:cs="Times New Roman" w:eastAsia="Times New Roman" w:hAnsi="Times New Roman"/>
          <w:sz w:val="18"/>
          <w:szCs w:val="18"/>
          <w:color w:val="auto"/>
        </w:rPr>
        <w:t>6.1</w:t>
        <w:tab/>
        <w:t>In addition to the rental rate referenced in Section 5.1 (Flight Charges) of this Agreement, Lessee shall pay or reimburse Lessor applicable tax which may be levied or assessed on a payment or use hereunder upon notice and request of Lessor (although any such taxes shall be imposed only to the extent that the payment relates to taxable air transportation provided to Lessee).</w:t>
      </w:r>
    </w:p>
    <w:p>
      <w:pPr>
        <w:spacing w:after="0" w:line="2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INSURANCE AND LIMITATION OF LIABILITY</w:t>
      </w:r>
    </w:p>
    <w:p>
      <w:pPr>
        <w:spacing w:after="0" w:line="225" w:lineRule="exact"/>
        <w:rPr>
          <w:sz w:val="20"/>
          <w:szCs w:val="20"/>
          <w:color w:val="auto"/>
        </w:rPr>
      </w:pPr>
    </w:p>
    <w:p>
      <w:pPr>
        <w:jc w:val="both"/>
        <w:ind w:left="1140" w:hanging="647"/>
        <w:spacing w:after="0" w:line="252" w:lineRule="auto"/>
        <w:tabs>
          <w:tab w:leader="none" w:pos="112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b w:val="1"/>
          <w:bCs w:val="1"/>
          <w:color w:val="auto"/>
        </w:rPr>
        <w:t>Representation</w:t>
      </w:r>
      <w:r>
        <w:rPr>
          <w:rFonts w:ascii="Times New Roman" w:cs="Times New Roman" w:eastAsia="Times New Roman" w:hAnsi="Times New Roman"/>
          <w:sz w:val="18"/>
          <w:szCs w:val="18"/>
          <w:color w:val="auto"/>
        </w:rPr>
        <w:t>. Lessor represents that the flight operations for the Aircraft as contemplated in this Agreement will be covered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Lessor’s (or the Lessor’s 100% wholly owned subsidiary’s), aircraft bodily injury and property damage liability insurance, passenger, pilot and crew voluntary settlement insurance, and statutory workers compensation and employers’ liability insurance.</w:t>
      </w:r>
    </w:p>
    <w:p>
      <w:pPr>
        <w:spacing w:after="0" w:line="198" w:lineRule="exact"/>
        <w:rPr>
          <w:sz w:val="20"/>
          <w:szCs w:val="20"/>
          <w:color w:val="auto"/>
        </w:rPr>
      </w:pPr>
    </w:p>
    <w:p>
      <w:pPr>
        <w:jc w:val="both"/>
        <w:ind w:left="1100" w:hanging="647"/>
        <w:spacing w:after="0" w:line="243" w:lineRule="auto"/>
        <w:tabs>
          <w:tab w:leader="none" w:pos="108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b w:val="1"/>
          <w:bCs w:val="1"/>
          <w:color w:val="auto"/>
        </w:rPr>
        <w:t xml:space="preserve">Insurance. </w:t>
      </w:r>
      <w:r>
        <w:rPr>
          <w:rFonts w:ascii="Times New Roman" w:cs="Times New Roman" w:eastAsia="Times New Roman" w:hAnsi="Times New Roman"/>
          <w:sz w:val="18"/>
          <w:szCs w:val="18"/>
          <w:color w:val="auto"/>
        </w:rPr>
        <w:t>Lessor will maintain or cause to be maintained in full force and effect throughout the term of this Agreement aircraft liability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insurance in respect of the Aircraft in an amount at least equal to $100 million combined single limit for bodily injury to or death of persons (including passengers) and property damage liability. Lessor will retain all rights and benefits with respect to the proceeds payable under policies of insurance maintained by Lessor (or the Lessor’s 100% wholly owned subsidiary) that may be payable as a result of any incident or occurrence while an Aircraft is being operated on behalf of Lessee under this Agreement.</w:t>
      </w:r>
    </w:p>
    <w:p>
      <w:pPr>
        <w:spacing w:after="0" w:line="208"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b w:val="1"/>
          <w:bCs w:val="1"/>
          <w:color w:val="auto"/>
        </w:rPr>
        <w:t>Liabilities</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ind w:left="2600" w:hanging="648"/>
        <w:spacing w:after="0" w:line="250" w:lineRule="auto"/>
        <w:tabs>
          <w:tab w:leader="none" w:pos="241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Lessor be liable to Lessee or its family members, employees, agents, representatives, guests, or invitees for any claims or liabilities, including property damage or injury and death, and expenses, including attorneys’ fees, in excess of the amount paid by Lessor’s insurance carrier in the event of such loss.</w:t>
      </w:r>
    </w:p>
    <w:p>
      <w:pPr>
        <w:spacing w:after="0" w:line="203" w:lineRule="exact"/>
        <w:rPr>
          <w:rFonts w:ascii="Times New Roman" w:cs="Times New Roman" w:eastAsia="Times New Roman" w:hAnsi="Times New Roman"/>
          <w:sz w:val="18"/>
          <w:szCs w:val="18"/>
          <w:color w:val="auto"/>
        </w:rPr>
      </w:pPr>
    </w:p>
    <w:p>
      <w:pPr>
        <w:ind w:left="2600" w:hanging="648"/>
        <w:spacing w:after="0"/>
        <w:tabs>
          <w:tab w:leader="none" w:pos="240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Lessor be liable to Lessee or its family members, employees, agents, representatives, guests, or invitees for any indirect, special, or consequential damages and/or punitive damages of any kind or nature under any circumstances or for any reason including any delay or failure to furnish the Aircraft and flight crew pursuant to this Agreement or occasioned by the performance or non-performance of any services covered by this Agreement.</w:t>
      </w:r>
    </w:p>
    <w:p>
      <w:pPr>
        <w:spacing w:after="0" w:line="208"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7"/>
          <w:szCs w:val="17"/>
          <w:b w:val="1"/>
          <w:bCs w:val="1"/>
          <w:color w:val="auto"/>
        </w:rPr>
        <w:t xml:space="preserve">Survival. </w:t>
      </w:r>
      <w:r>
        <w:rPr>
          <w:rFonts w:ascii="Times New Roman" w:cs="Times New Roman" w:eastAsia="Times New Roman" w:hAnsi="Times New Roman"/>
          <w:sz w:val="17"/>
          <w:szCs w:val="17"/>
          <w:color w:val="auto"/>
        </w:rPr>
        <w:t>This Section 7 (Insurance and Limitation of Liability) will survive the termination of this Agreement.</w:t>
      </w:r>
    </w:p>
    <w:p>
      <w:pPr>
        <w:spacing w:after="0" w:line="23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NO WARRANTY</w:t>
      </w:r>
    </w:p>
    <w:p>
      <w:pPr>
        <w:spacing w:after="0" w:line="243" w:lineRule="exact"/>
        <w:rPr>
          <w:sz w:val="20"/>
          <w:szCs w:val="20"/>
          <w:color w:val="auto"/>
        </w:rPr>
      </w:pPr>
    </w:p>
    <w:p>
      <w:pPr>
        <w:jc w:val="both"/>
        <w:ind w:left="1160" w:hanging="647"/>
        <w:spacing w:after="0" w:line="241" w:lineRule="auto"/>
        <w:tabs>
          <w:tab w:leader="none" w:pos="11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NEITHER LESSOR (NOR ITS AFFILIATES) MAKES, HAS MADE OR WILL BE DEEMED TO MAKE OR HAVE MADE: ANY WARRANTY OR REPRESENTATION, EITHER EXPRESS OR IMPLIED, WRITTEN OR ORAL, WITH RESPECT TO ANY AIRCRAFT TO BE USED UNDER THIS AGREEMENT OR ANY ENGINE OR COMPONENT OF ANY AIRCRAFT INCLUDING, WITHOUT LIMITATION, ANY WARRANTY AS TO DESIGN, COMPLIANCE WITH SPECIFICATIONS, QUALITY OF MATERIALS OR WORKMANSHIP, MERCHANTABILITY, FITNESS FOR ANY PURPOSE, USE OR OPERATION, AIRWORTHINESS, SAFETY, INTELLECTUAL PROPERTY INFRINGEMENT OR TITLE.</w:t>
      </w:r>
    </w:p>
    <w:p>
      <w:pPr>
        <w:spacing w:after="0" w:line="20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GOVERNING LAW AND DISPUTE RESOLUTION</w:t>
      </w:r>
    </w:p>
    <w:p>
      <w:pPr>
        <w:sectPr>
          <w:pgSz w:w="11900" w:h="16838" w:orient="portrait"/>
          <w:cols w:equalWidth="0" w:num="1">
            <w:col w:w="11240"/>
          </w:cols>
          <w:pgMar w:left="320" w:top="846"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10.21</w:t>
      </w:r>
    </w:p>
    <w:p>
      <w:pPr>
        <w:spacing w:after="0" w:line="347" w:lineRule="exact"/>
        <w:rPr>
          <w:sz w:val="20"/>
          <w:szCs w:val="20"/>
          <w:color w:val="auto"/>
        </w:rPr>
      </w:pPr>
    </w:p>
    <w:p>
      <w:pPr>
        <w:jc w:val="both"/>
        <w:ind w:left="1060" w:hanging="647"/>
        <w:spacing w:after="0" w:line="236" w:lineRule="auto"/>
        <w:tabs>
          <w:tab w:leader="none" w:pos="10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b w:val="1"/>
          <w:bCs w:val="1"/>
          <w:color w:val="auto"/>
        </w:rPr>
        <w:t xml:space="preserve">Dispute Resolution. </w:t>
      </w:r>
      <w:r>
        <w:rPr>
          <w:rFonts w:ascii="Times New Roman" w:cs="Times New Roman" w:eastAsia="Times New Roman" w:hAnsi="Times New Roman"/>
          <w:sz w:val="18"/>
          <w:szCs w:val="18"/>
          <w:color w:val="auto"/>
        </w:rPr>
        <w:t>This Agreement is governed by and interpreted under the laws of the State of Texas, without regard to its choice of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rules, except that the rules of the Federal Arbitration Act, 9 USC §§1-16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govern this Section 9 (Governing Law and Dispute Resolution). If any dispute arises out of this Agreement, and if the dispute cannot be resolved by direct negotiations, either Party may initiate confidential mediation by giving notice to the other. If the Parties fail to resolve the dispute within 60 days from notice of mediation, the dispute must be finally resolved by binding, confidential arbitration in accordance with this Section 9 (Governing Law and Dispute Resolution), and either Party may initiate arbitration by giving notice to the other Party. The place of mediation and arbitration will be Houston, Texas. One arbitrator will conduct the proceedings in accordance with the International Institute for Conflict Prevention and Resolution (“</w:t>
      </w:r>
      <w:r>
        <w:rPr>
          <w:rFonts w:ascii="Times New Roman" w:cs="Times New Roman" w:eastAsia="Times New Roman" w:hAnsi="Times New Roman"/>
          <w:sz w:val="18"/>
          <w:szCs w:val="18"/>
          <w:b w:val="1"/>
          <w:bCs w:val="1"/>
          <w:color w:val="auto"/>
        </w:rPr>
        <w:t>CPR</w:t>
      </w:r>
      <w:r>
        <w:rPr>
          <w:rFonts w:ascii="Times New Roman" w:cs="Times New Roman" w:eastAsia="Times New Roman" w:hAnsi="Times New Roman"/>
          <w:sz w:val="18"/>
          <w:szCs w:val="18"/>
          <w:color w:val="auto"/>
        </w:rPr>
        <w:t>”) Rules. The arbitrator has the exclusive power to rule on its own jurisdiction, including the existence or validity of the arbitration agreement. The Parties waive irrevocably their right to any form of appeal, review, or recourse from the final arbitration award to any court or other competent authority to the extent such waiver may be validly made, except that proceedings to (A) preserve property or seek injunctive relief or (B) enforce an award under this Section 9 (Governing Law and Dispute Resolution) may be brought in any court of competent jurisdiction in San Francisco, California.</w:t>
      </w:r>
    </w:p>
    <w:p>
      <w:pPr>
        <w:spacing w:after="0" w:line="21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COUNTERPARTS</w:t>
      </w:r>
    </w:p>
    <w:p>
      <w:pPr>
        <w:spacing w:after="0" w:line="243" w:lineRule="exact"/>
        <w:rPr>
          <w:sz w:val="20"/>
          <w:szCs w:val="20"/>
          <w:color w:val="auto"/>
        </w:rPr>
      </w:pPr>
    </w:p>
    <w:p>
      <w:pPr>
        <w:jc w:val="both"/>
        <w:ind w:left="1240" w:hanging="647"/>
        <w:spacing w:after="0" w:line="266" w:lineRule="auto"/>
        <w:tabs>
          <w:tab w:leader="none" w:pos="1220" w:val="left"/>
        </w:tabs>
        <w:rPr>
          <w:sz w:val="20"/>
          <w:szCs w:val="20"/>
          <w:color w:val="auto"/>
        </w:rPr>
      </w:pPr>
      <w:r>
        <w:rPr>
          <w:rFonts w:ascii="Times New Roman" w:cs="Times New Roman" w:eastAsia="Times New Roman" w:hAnsi="Times New Roman"/>
          <w:sz w:val="18"/>
          <w:szCs w:val="18"/>
          <w:color w:val="auto"/>
        </w:rPr>
        <w:t>10.1</w:t>
        <w:tab/>
        <w:t>This Agreement may be executed in one or more counterparts each of which will be deemed an original, all of which together shall constitute one and the same agreement.</w:t>
      </w:r>
    </w:p>
    <w:p>
      <w:pPr>
        <w:spacing w:after="0" w:line="185" w:lineRule="exact"/>
        <w:rPr>
          <w:sz w:val="20"/>
          <w:szCs w:val="20"/>
          <w:color w:val="auto"/>
        </w:rPr>
      </w:pPr>
    </w:p>
    <w:p>
      <w:pPr>
        <w:ind w:left="400" w:hanging="392"/>
        <w:spacing w:after="0"/>
        <w:tabs>
          <w:tab w:leader="none" w:pos="40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 AND COMMUNICATIONS</w:t>
      </w:r>
    </w:p>
    <w:p>
      <w:pPr>
        <w:spacing w:after="0" w:line="243" w:lineRule="exact"/>
        <w:rPr>
          <w:sz w:val="20"/>
          <w:szCs w:val="20"/>
          <w:color w:val="auto"/>
        </w:rPr>
      </w:pPr>
    </w:p>
    <w:p>
      <w:pPr>
        <w:jc w:val="both"/>
        <w:ind w:left="1140" w:hanging="647"/>
        <w:spacing w:after="0" w:line="250" w:lineRule="auto"/>
        <w:tabs>
          <w:tab w:leader="none" w:pos="1120" w:val="left"/>
        </w:tabs>
        <w:rPr>
          <w:sz w:val="20"/>
          <w:szCs w:val="20"/>
          <w:color w:val="auto"/>
        </w:rPr>
      </w:pPr>
      <w:r>
        <w:rPr>
          <w:rFonts w:ascii="Times New Roman" w:cs="Times New Roman" w:eastAsia="Times New Roman" w:hAnsi="Times New Roman"/>
          <w:sz w:val="18"/>
          <w:szCs w:val="18"/>
          <w:color w:val="auto"/>
        </w:rPr>
        <w:t>11.1</w:t>
        <w:tab/>
        <w:t>All notices under this Agreement (except for notices made purely for flight scheduling, which are governed by the provisions of Section 1.3 of this Agreement) must be delivered by hand, sent by reputable guaranteed overnight delivery service, sent by first-class United States mail, certified, postage prepaid, return receipt requested, or sent by e-mail to the addresses of the parties set forth below:</w:t>
      </w:r>
    </w:p>
    <w:p>
      <w:pPr>
        <w:spacing w:after="0" w:line="204" w:lineRule="exact"/>
        <w:rPr>
          <w:sz w:val="20"/>
          <w:szCs w:val="20"/>
          <w:color w:val="auto"/>
        </w:rPr>
      </w:pPr>
    </w:p>
    <w:p>
      <w:pPr>
        <w:ind w:left="1300"/>
        <w:spacing w:after="0"/>
        <w:tabs>
          <w:tab w:leader="none" w:pos="2340" w:val="left"/>
        </w:tabs>
        <w:rPr>
          <w:sz w:val="20"/>
          <w:szCs w:val="20"/>
          <w:color w:val="auto"/>
        </w:rPr>
      </w:pPr>
      <w:r>
        <w:rPr>
          <w:rFonts w:ascii="Times New Roman" w:cs="Times New Roman" w:eastAsia="Times New Roman" w:hAnsi="Times New Roman"/>
          <w:sz w:val="18"/>
          <w:szCs w:val="18"/>
          <w:color w:val="auto"/>
        </w:rPr>
        <w:t>If to Lessor:</w:t>
      </w:r>
      <w:r>
        <w:rPr>
          <w:sz w:val="20"/>
          <w:szCs w:val="20"/>
          <w:color w:val="auto"/>
        </w:rPr>
        <w:tab/>
      </w:r>
      <w:r>
        <w:rPr>
          <w:rFonts w:ascii="Times New Roman" w:cs="Times New Roman" w:eastAsia="Times New Roman" w:hAnsi="Times New Roman"/>
          <w:sz w:val="17"/>
          <w:szCs w:val="17"/>
          <w:color w:val="auto"/>
        </w:rPr>
        <w:t>Chevron U.S.A., Inc.</w:t>
      </w:r>
    </w:p>
    <w:p>
      <w:pPr>
        <w:spacing w:after="0" w:line="237" w:lineRule="auto"/>
        <w:rPr>
          <w:sz w:val="20"/>
          <w:szCs w:val="20"/>
          <w:color w:val="auto"/>
        </w:rPr>
      </w:pPr>
      <w:r>
        <w:rPr>
          <w:rFonts w:ascii="Times New Roman" w:cs="Times New Roman" w:eastAsia="Times New Roman" w:hAnsi="Times New Roman"/>
          <w:sz w:val="18"/>
          <w:szCs w:val="18"/>
          <w:color w:val="auto"/>
        </w:rPr>
        <w:t>1400 Smith Street, Houston, Texas, 77002</w:t>
      </w:r>
    </w:p>
    <w:p>
      <w:pPr>
        <w:spacing w:after="0" w:line="234" w:lineRule="auto"/>
        <w:rPr>
          <w:sz w:val="20"/>
          <w:szCs w:val="20"/>
          <w:color w:val="auto"/>
        </w:rPr>
      </w:pPr>
      <w:r>
        <w:rPr>
          <w:rFonts w:ascii="Times New Roman" w:cs="Times New Roman" w:eastAsia="Times New Roman" w:hAnsi="Times New Roman"/>
          <w:sz w:val="18"/>
          <w:szCs w:val="18"/>
          <w:color w:val="auto"/>
        </w:rPr>
        <w:t>Attention: Manager, Flight Operations</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E-mail: [Redacted]</w:t>
      </w:r>
    </w:p>
    <w:p>
      <w:pPr>
        <w:spacing w:after="0" w:line="219" w:lineRule="exact"/>
        <w:rPr>
          <w:sz w:val="20"/>
          <w:szCs w:val="20"/>
          <w:color w:val="auto"/>
        </w:rPr>
      </w:pPr>
    </w:p>
    <w:p>
      <w:pPr>
        <w:ind w:left="1300"/>
        <w:spacing w:after="0"/>
        <w:tabs>
          <w:tab w:leader="none" w:pos="2400" w:val="left"/>
        </w:tabs>
        <w:rPr>
          <w:sz w:val="20"/>
          <w:szCs w:val="20"/>
          <w:color w:val="auto"/>
        </w:rPr>
      </w:pPr>
      <w:r>
        <w:rPr>
          <w:rFonts w:ascii="Times New Roman" w:cs="Times New Roman" w:eastAsia="Times New Roman" w:hAnsi="Times New Roman"/>
          <w:sz w:val="18"/>
          <w:szCs w:val="18"/>
          <w:color w:val="auto"/>
        </w:rPr>
        <w:t>If to Lessee:</w:t>
      </w:r>
      <w:r>
        <w:rPr>
          <w:sz w:val="20"/>
          <w:szCs w:val="20"/>
          <w:color w:val="auto"/>
        </w:rPr>
        <w:tab/>
      </w:r>
      <w:r>
        <w:rPr>
          <w:rFonts w:ascii="Times New Roman" w:cs="Times New Roman" w:eastAsia="Times New Roman" w:hAnsi="Times New Roman"/>
          <w:sz w:val="17"/>
          <w:szCs w:val="17"/>
          <w:color w:val="auto"/>
        </w:rPr>
        <w:t>Michael K. Wirth</w:t>
      </w:r>
    </w:p>
    <w:p>
      <w:pPr>
        <w:spacing w:after="0" w:line="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1400 Smith Street, Houston, Texas, 77002</w:t>
      </w:r>
    </w:p>
    <w:p>
      <w:pPr>
        <w:ind w:left="180"/>
        <w:spacing w:after="0"/>
        <w:rPr>
          <w:sz w:val="20"/>
          <w:szCs w:val="20"/>
          <w:color w:val="auto"/>
        </w:rPr>
      </w:pPr>
      <w:r>
        <w:rPr>
          <w:rFonts w:ascii="Times New Roman" w:cs="Times New Roman" w:eastAsia="Times New Roman" w:hAnsi="Times New Roman"/>
          <w:sz w:val="18"/>
          <w:szCs w:val="18"/>
          <w:color w:val="auto"/>
        </w:rPr>
        <w:t>E-mail: [Redacted]</w:t>
      </w:r>
    </w:p>
    <w:p>
      <w:pPr>
        <w:spacing w:after="0" w:line="219" w:lineRule="exact"/>
        <w:rPr>
          <w:sz w:val="20"/>
          <w:szCs w:val="20"/>
          <w:color w:val="auto"/>
        </w:rPr>
      </w:pPr>
    </w:p>
    <w:p>
      <w:pPr>
        <w:jc w:val="both"/>
        <w:ind w:left="1160" w:hanging="647"/>
        <w:spacing w:after="0" w:line="250" w:lineRule="auto"/>
        <w:tabs>
          <w:tab w:leader="none" w:pos="1140" w:val="left"/>
        </w:tabs>
        <w:rPr>
          <w:sz w:val="20"/>
          <w:szCs w:val="20"/>
          <w:color w:val="auto"/>
        </w:rPr>
      </w:pPr>
      <w:r>
        <w:rPr>
          <w:rFonts w:ascii="Times New Roman" w:cs="Times New Roman" w:eastAsia="Times New Roman" w:hAnsi="Times New Roman"/>
          <w:sz w:val="18"/>
          <w:szCs w:val="18"/>
          <w:color w:val="auto"/>
        </w:rPr>
        <w:t>11.2</w:t>
        <w:tab/>
        <w:t>Notice will be deemed given when delivered or sent in the manner provided in this Section 11 (Notices and Communications). At any time, either Party may change its address for purposes of notices under this Agreement by giving notice to the other Party in accordance herewith.</w:t>
      </w:r>
    </w:p>
    <w:p>
      <w:pPr>
        <w:spacing w:after="0" w:line="20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FURTHER ACTS</w:t>
      </w:r>
    </w:p>
    <w:p>
      <w:pPr>
        <w:spacing w:after="0" w:line="243" w:lineRule="exact"/>
        <w:rPr>
          <w:sz w:val="20"/>
          <w:szCs w:val="20"/>
          <w:color w:val="auto"/>
        </w:rPr>
      </w:pPr>
    </w:p>
    <w:p>
      <w:pPr>
        <w:jc w:val="both"/>
        <w:ind w:left="1200" w:hanging="647"/>
        <w:spacing w:after="0" w:line="250" w:lineRule="auto"/>
        <w:tabs>
          <w:tab w:leader="none" w:pos="1180" w:val="left"/>
        </w:tabs>
        <w:rPr>
          <w:sz w:val="20"/>
          <w:szCs w:val="20"/>
          <w:color w:val="auto"/>
        </w:rPr>
      </w:pPr>
      <w:r>
        <w:rPr>
          <w:rFonts w:ascii="Times New Roman" w:cs="Times New Roman" w:eastAsia="Times New Roman" w:hAnsi="Times New Roman"/>
          <w:sz w:val="18"/>
          <w:szCs w:val="18"/>
          <w:color w:val="auto"/>
        </w:rPr>
        <w:t>12.1</w:t>
        <w:tab/>
        <w:t>Lessor and Lessee shall from time to time perform such other and further acts and execute such other and further instruments as may be required by law or may be reasonably necessary to: (A) carry out the intent and purpose of this Agreement; and (B) establish, maintain and protect the respective rights and remedies of the other Party.</w:t>
      </w:r>
    </w:p>
    <w:p>
      <w:pPr>
        <w:spacing w:after="0" w:line="18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SUCCESSORS AND ASSIGNS</w:t>
      </w:r>
    </w:p>
    <w:p>
      <w:pPr>
        <w:spacing w:after="0" w:line="243" w:lineRule="exact"/>
        <w:rPr>
          <w:sz w:val="20"/>
          <w:szCs w:val="20"/>
          <w:color w:val="auto"/>
        </w:rPr>
      </w:pPr>
    </w:p>
    <w:p>
      <w:pPr>
        <w:jc w:val="both"/>
        <w:ind w:left="1160" w:hanging="647"/>
        <w:spacing w:after="0" w:line="250" w:lineRule="auto"/>
        <w:tabs>
          <w:tab w:leader="none" w:pos="1140" w:val="left"/>
        </w:tabs>
        <w:rPr>
          <w:sz w:val="20"/>
          <w:szCs w:val="20"/>
          <w:color w:val="auto"/>
        </w:rPr>
      </w:pPr>
      <w:r>
        <w:rPr>
          <w:rFonts w:ascii="Times New Roman" w:cs="Times New Roman" w:eastAsia="Times New Roman" w:hAnsi="Times New Roman"/>
          <w:sz w:val="18"/>
          <w:szCs w:val="18"/>
          <w:color w:val="auto"/>
        </w:rPr>
        <w:t>13.1</w:t>
        <w:tab/>
        <w:t>Neither this Agreement nor any Party’s interest in this Agreement may be assignable to any other party whatsoever, except that Lessor may assign its interest without the consent of the Lessee to an affiliate or any person that assumes the associated assets of the Lessor under a reorganization,</w:t>
      </w:r>
    </w:p>
    <w:p>
      <w:pPr>
        <w:sectPr>
          <w:pgSz w:w="11900" w:h="16838" w:orient="portrait"/>
          <w:cols w:equalWidth="0" w:num="1">
            <w:col w:w="11240"/>
          </w:cols>
          <w:pgMar w:left="320" w:top="846"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10.21</w:t>
      </w:r>
    </w:p>
    <w:p>
      <w:pPr>
        <w:spacing w:after="0" w:line="351"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merger, consolidation, or asset sale. This Agreement will inure to the benefit of and be binding upon the Parties, their heirs, representatives and successors.</w:t>
      </w:r>
    </w:p>
    <w:p>
      <w:pPr>
        <w:spacing w:after="0" w:line="200" w:lineRule="exact"/>
        <w:rPr>
          <w:sz w:val="20"/>
          <w:szCs w:val="20"/>
          <w:color w:val="auto"/>
        </w:rPr>
      </w:pPr>
    </w:p>
    <w:p>
      <w:pPr>
        <w:spacing w:after="0" w:line="22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SEVERABILITY</w:t>
      </w:r>
    </w:p>
    <w:p>
      <w:pPr>
        <w:spacing w:after="0" w:line="243" w:lineRule="exact"/>
        <w:rPr>
          <w:sz w:val="20"/>
          <w:szCs w:val="20"/>
          <w:color w:val="auto"/>
        </w:rPr>
      </w:pPr>
    </w:p>
    <w:p>
      <w:pPr>
        <w:jc w:val="both"/>
        <w:ind w:left="1160" w:hanging="647"/>
        <w:spacing w:after="0" w:line="266" w:lineRule="auto"/>
        <w:tabs>
          <w:tab w:leader="none" w:pos="1140" w:val="left"/>
        </w:tabs>
        <w:rPr>
          <w:sz w:val="20"/>
          <w:szCs w:val="20"/>
          <w:color w:val="auto"/>
        </w:rPr>
      </w:pPr>
      <w:r>
        <w:rPr>
          <w:rFonts w:ascii="Times New Roman" w:cs="Times New Roman" w:eastAsia="Times New Roman" w:hAnsi="Times New Roman"/>
          <w:sz w:val="18"/>
          <w:szCs w:val="18"/>
          <w:color w:val="auto"/>
        </w:rPr>
        <w:t>14.1</w:t>
        <w:tab/>
        <w:t>If any one or more of the provisions of this Agreement are for any reason held to be invalid, illegal, or unenforceable, those provisions will be replaced by provisions acceptable to both Parties to this Agreement.</w:t>
      </w:r>
    </w:p>
    <w:p>
      <w:pPr>
        <w:spacing w:after="0" w:line="18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RIGHT OF POSSESSION</w:t>
      </w:r>
    </w:p>
    <w:p>
      <w:pPr>
        <w:spacing w:after="0" w:line="243" w:lineRule="exact"/>
        <w:rPr>
          <w:sz w:val="20"/>
          <w:szCs w:val="20"/>
          <w:color w:val="auto"/>
        </w:rPr>
      </w:pPr>
    </w:p>
    <w:p>
      <w:pPr>
        <w:jc w:val="both"/>
        <w:ind w:left="1160" w:hanging="647"/>
        <w:spacing w:after="0" w:line="250" w:lineRule="auto"/>
        <w:tabs>
          <w:tab w:leader="none" w:pos="1140" w:val="left"/>
        </w:tabs>
        <w:rPr>
          <w:sz w:val="20"/>
          <w:szCs w:val="20"/>
          <w:color w:val="auto"/>
        </w:rPr>
      </w:pPr>
      <w:r>
        <w:rPr>
          <w:rFonts w:ascii="Times New Roman" w:cs="Times New Roman" w:eastAsia="Times New Roman" w:hAnsi="Times New Roman"/>
          <w:sz w:val="18"/>
          <w:szCs w:val="18"/>
          <w:color w:val="auto"/>
        </w:rPr>
        <w:t>15.1</w:t>
        <w:tab/>
        <w:t>Lessor has the right of possession to the Aircraft described in Exhibit A - Leased Aircraft Subject to Time-Sharing Agreement as owner of the Aircraft. Nothing in this Agreement constitutes a transfer of Lessor’s possessory rights to the Aircraft.</w:t>
      </w:r>
    </w:p>
    <w:p>
      <w:pPr>
        <w:spacing w:after="0" w:line="1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INSTRUCTIONS FOR COMPLIANCE WITH TRUTH IN LEASING REQUIREMENTS</w:t>
      </w:r>
    </w:p>
    <w:p>
      <w:pPr>
        <w:spacing w:after="0" w:line="243" w:lineRule="exact"/>
        <w:rPr>
          <w:sz w:val="20"/>
          <w:szCs w:val="20"/>
          <w:color w:val="auto"/>
        </w:rPr>
      </w:pPr>
    </w:p>
    <w:p>
      <w:pPr>
        <w:jc w:val="both"/>
        <w:ind w:left="1180" w:hanging="647"/>
        <w:spacing w:after="0" w:line="250" w:lineRule="auto"/>
        <w:tabs>
          <w:tab w:leader="none" w:pos="1160" w:val="left"/>
        </w:tabs>
        <w:rPr>
          <w:sz w:val="20"/>
          <w:szCs w:val="20"/>
          <w:color w:val="auto"/>
        </w:rPr>
      </w:pPr>
      <w:r>
        <w:rPr>
          <w:rFonts w:ascii="Times New Roman" w:cs="Times New Roman" w:eastAsia="Times New Roman" w:hAnsi="Times New Roman"/>
          <w:sz w:val="18"/>
          <w:szCs w:val="18"/>
          <w:color w:val="auto"/>
        </w:rPr>
        <w:t>16.1</w:t>
        <w:tab/>
        <w:t>Lessor shall provide a copy of this Agreement for and on behalf of both Parties to: Federal Aviation Administration, Aircraft Registration Branch, Attention: Technical Section, P.O. Box 25724, Oklahoma City, Oklahoma 73125, within 24 hours of its execution, as provided by section 91.23(c)(1) of the FAA regulations.</w:t>
      </w:r>
    </w:p>
    <w:p>
      <w:pPr>
        <w:spacing w:after="0" w:line="204" w:lineRule="exact"/>
        <w:rPr>
          <w:sz w:val="20"/>
          <w:szCs w:val="20"/>
          <w:color w:val="auto"/>
        </w:rPr>
      </w:pPr>
    </w:p>
    <w:p>
      <w:pPr>
        <w:jc w:val="both"/>
        <w:ind w:left="1240" w:hanging="647"/>
        <w:spacing w:after="0" w:line="250" w:lineRule="auto"/>
        <w:tabs>
          <w:tab w:leader="none" w:pos="1220" w:val="left"/>
        </w:tabs>
        <w:rPr>
          <w:sz w:val="20"/>
          <w:szCs w:val="20"/>
          <w:color w:val="auto"/>
        </w:rPr>
      </w:pPr>
      <w:r>
        <w:rPr>
          <w:rFonts w:ascii="Times New Roman" w:cs="Times New Roman" w:eastAsia="Times New Roman" w:hAnsi="Times New Roman"/>
          <w:sz w:val="18"/>
          <w:szCs w:val="18"/>
          <w:color w:val="auto"/>
        </w:rPr>
        <w:t>16.2</w:t>
        <w:tab/>
        <w:t>At least 48 hours before the first flight under this Agreement, Lessor shall, for and on behalf of Lessee, comply with the notification requirements of section 91.23(c)(3) of the FAA regulations by notifying the closest FAA Flight Standards District Office, by telephone or in person, of:</w:t>
      </w:r>
    </w:p>
    <w:p>
      <w:pPr>
        <w:spacing w:after="0" w:line="204" w:lineRule="exact"/>
        <w:rPr>
          <w:sz w:val="20"/>
          <w:szCs w:val="20"/>
          <w:color w:val="auto"/>
        </w:rPr>
      </w:pPr>
    </w:p>
    <w:p>
      <w:pPr>
        <w:ind w:left="2380" w:hanging="428"/>
        <w:spacing w:after="0"/>
        <w:tabs>
          <w:tab w:leader="none" w:pos="23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location of the airport of departure;</w:t>
      </w:r>
    </w:p>
    <w:p>
      <w:pPr>
        <w:spacing w:after="0" w:line="238" w:lineRule="exact"/>
        <w:rPr>
          <w:rFonts w:ascii="Times New Roman" w:cs="Times New Roman" w:eastAsia="Times New Roman" w:hAnsi="Times New Roman"/>
          <w:sz w:val="18"/>
          <w:szCs w:val="18"/>
          <w:color w:val="auto"/>
        </w:rPr>
      </w:pPr>
    </w:p>
    <w:p>
      <w:pPr>
        <w:ind w:left="2360" w:hanging="408"/>
        <w:spacing w:after="0"/>
        <w:tabs>
          <w:tab w:leader="none" w:pos="23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departure time; and</w:t>
      </w:r>
    </w:p>
    <w:p>
      <w:pPr>
        <w:spacing w:after="0" w:line="238" w:lineRule="exact"/>
        <w:rPr>
          <w:rFonts w:ascii="Times New Roman" w:cs="Times New Roman" w:eastAsia="Times New Roman" w:hAnsi="Times New Roman"/>
          <w:sz w:val="18"/>
          <w:szCs w:val="18"/>
          <w:color w:val="auto"/>
        </w:rPr>
      </w:pPr>
    </w:p>
    <w:p>
      <w:pPr>
        <w:ind w:left="2360" w:hanging="408"/>
        <w:spacing w:after="0"/>
        <w:tabs>
          <w:tab w:leader="none" w:pos="23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number of the Aircraft.</w:t>
      </w:r>
    </w:p>
    <w:p>
      <w:pPr>
        <w:spacing w:after="0" w:line="239" w:lineRule="exact"/>
        <w:rPr>
          <w:sz w:val="20"/>
          <w:szCs w:val="20"/>
          <w:color w:val="auto"/>
        </w:rPr>
      </w:pPr>
    </w:p>
    <w:p>
      <w:pPr>
        <w:ind w:left="1240" w:right="20" w:hanging="647"/>
        <w:spacing w:after="0" w:line="266" w:lineRule="auto"/>
        <w:tabs>
          <w:tab w:leader="none" w:pos="1220" w:val="left"/>
        </w:tabs>
        <w:rPr>
          <w:sz w:val="20"/>
          <w:szCs w:val="20"/>
          <w:color w:val="auto"/>
        </w:rPr>
      </w:pPr>
      <w:r>
        <w:rPr>
          <w:rFonts w:ascii="Times New Roman" w:cs="Times New Roman" w:eastAsia="Times New Roman" w:hAnsi="Times New Roman"/>
          <w:sz w:val="18"/>
          <w:szCs w:val="18"/>
          <w:color w:val="auto"/>
        </w:rPr>
        <w:t>16.3</w:t>
        <w:tab/>
        <w:t>A copy of this Agreement must be carried on the Aircraft at all times and must be made available for inspection upon request by an appropriately constituted and identified representative of the Administrator of the FAA.</w:t>
      </w:r>
    </w:p>
    <w:p>
      <w:pPr>
        <w:spacing w:after="0" w:line="172" w:lineRule="exact"/>
        <w:rPr>
          <w:sz w:val="20"/>
          <w:szCs w:val="20"/>
          <w:color w:val="auto"/>
        </w:rPr>
      </w:pPr>
    </w:p>
    <w:p>
      <w:pPr>
        <w:ind w:left="460" w:hanging="452"/>
        <w:spacing w:after="0"/>
        <w:tabs>
          <w:tab w:leader="none" w:pos="46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TRUTH IN LEASING DISCLOSURES</w:t>
      </w:r>
    </w:p>
    <w:p>
      <w:pPr>
        <w:spacing w:after="0" w:line="243" w:lineRule="exact"/>
        <w:rPr>
          <w:sz w:val="20"/>
          <w:szCs w:val="20"/>
          <w:color w:val="auto"/>
        </w:rPr>
      </w:pPr>
    </w:p>
    <w:p>
      <w:pPr>
        <w:jc w:val="both"/>
        <w:ind w:left="1160" w:hanging="647"/>
        <w:spacing w:after="0" w:line="250" w:lineRule="auto"/>
        <w:tabs>
          <w:tab w:leader="none" w:pos="1140" w:val="left"/>
        </w:tabs>
        <w:rPr>
          <w:sz w:val="20"/>
          <w:szCs w:val="20"/>
          <w:color w:val="auto"/>
        </w:rPr>
      </w:pPr>
      <w:r>
        <w:rPr>
          <w:rFonts w:ascii="Times New Roman" w:cs="Times New Roman" w:eastAsia="Times New Roman" w:hAnsi="Times New Roman"/>
          <w:sz w:val="18"/>
          <w:szCs w:val="18"/>
          <w:color w:val="auto"/>
        </w:rPr>
        <w:t>17.1</w:t>
        <w:tab/>
        <w:t>LESSOR CERTIFIES THAT EACH AIRCRAFT HAS BEEN INSPECTED AND MAINTAINED WITHIN THE TWELVE (12) MONTH PERIOD PRECEDING THE EFFECTIVE DATE OF THIS AGREEMENT IN ACCORDANCE WITH THE REQUIREMENTS OF PART 91 OF THE FAA REGULATIONS.</w:t>
      </w:r>
    </w:p>
    <w:p>
      <w:pPr>
        <w:spacing w:after="0" w:line="204" w:lineRule="exact"/>
        <w:rPr>
          <w:sz w:val="20"/>
          <w:szCs w:val="20"/>
          <w:color w:val="auto"/>
        </w:rPr>
      </w:pPr>
    </w:p>
    <w:p>
      <w:pPr>
        <w:jc w:val="both"/>
        <w:ind w:left="1220" w:hanging="647"/>
        <w:spacing w:after="0" w:line="250" w:lineRule="auto"/>
        <w:tabs>
          <w:tab w:leader="none" w:pos="1200" w:val="left"/>
        </w:tabs>
        <w:rPr>
          <w:sz w:val="20"/>
          <w:szCs w:val="20"/>
          <w:color w:val="auto"/>
        </w:rPr>
      </w:pPr>
      <w:r>
        <w:rPr>
          <w:rFonts w:ascii="Times New Roman" w:cs="Times New Roman" w:eastAsia="Times New Roman" w:hAnsi="Times New Roman"/>
          <w:sz w:val="18"/>
          <w:szCs w:val="18"/>
          <w:color w:val="auto"/>
        </w:rPr>
        <w:t>17.2</w:t>
        <w:tab/>
        <w:t>THE PARTIES HERETO CERTIFY DURING THE TERM OF THIS AGREEMENT AND FOR ALL OPERATIONS CONDUCTED HEREUNDER, THE AIRCRAFT WILL BE MAINTAINED AND INSPECTED IN ACCORDANCE WITH THE REQUIREMENTS OF PART 91 OF THE FAA REGULATIONS.</w:t>
      </w:r>
    </w:p>
    <w:p>
      <w:pPr>
        <w:spacing w:after="0" w:line="204" w:lineRule="exact"/>
        <w:rPr>
          <w:sz w:val="20"/>
          <w:szCs w:val="20"/>
          <w:color w:val="auto"/>
        </w:rPr>
      </w:pPr>
    </w:p>
    <w:p>
      <w:pPr>
        <w:jc w:val="both"/>
        <w:ind w:left="1180" w:hanging="647"/>
        <w:spacing w:after="0" w:line="242" w:lineRule="auto"/>
        <w:tabs>
          <w:tab w:leader="none" w:pos="1160" w:val="left"/>
        </w:tabs>
        <w:rPr>
          <w:sz w:val="20"/>
          <w:szCs w:val="20"/>
          <w:color w:val="auto"/>
        </w:rPr>
      </w:pPr>
      <w:r>
        <w:rPr>
          <w:rFonts w:ascii="Times New Roman" w:cs="Times New Roman" w:eastAsia="Times New Roman" w:hAnsi="Times New Roman"/>
          <w:sz w:val="18"/>
          <w:szCs w:val="18"/>
          <w:color w:val="auto"/>
        </w:rPr>
        <w:t>17.3</w:t>
        <w:tab/>
        <w:t>LESSOR, CHEVRON U.S.A. INC., WHOSE ADDRESS APPEARS IN SECTION 11 (NOTICES AND COMMUNICATIONS) ABOVE AND WHOSE AUTHORIZED SIGNATURE APPEARS BELOW, MUST HAVE AND RETAIN OPERATIONAL CONTROL OF THE AIRCRAFT DURING ALL OPERATIONS CONDUCTED PURSUANT TO THIS AGREEMENT. EACH PARTY IN THIS AGREEMENT CERTIFIES THAT IT UNDERSTANDS THE EXTENT OF ITS RESPONSIBILITIES SET FORTH IN THIS AGREEMENT FOR COMPLIANCE WITH APPLICABLE FAA REGULATIONS.</w:t>
      </w:r>
    </w:p>
    <w:p>
      <w:pPr>
        <w:sectPr>
          <w:pgSz w:w="11900" w:h="16838" w:orient="portrait"/>
          <w:cols w:equalWidth="0" w:num="1">
            <w:col w:w="11240"/>
          </w:cols>
          <w:pgMar w:left="320" w:top="846"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10.21</w:t>
      </w:r>
    </w:p>
    <w:p>
      <w:pPr>
        <w:spacing w:after="0" w:line="351" w:lineRule="exact"/>
        <w:rPr>
          <w:sz w:val="20"/>
          <w:szCs w:val="20"/>
          <w:color w:val="auto"/>
        </w:rPr>
      </w:pPr>
    </w:p>
    <w:p>
      <w:pPr>
        <w:jc w:val="both"/>
        <w:ind w:left="1180" w:right="20" w:hanging="647"/>
        <w:spacing w:after="0" w:line="266" w:lineRule="auto"/>
        <w:tabs>
          <w:tab w:leader="none" w:pos="1160" w:val="left"/>
        </w:tabs>
        <w:rPr>
          <w:sz w:val="20"/>
          <w:szCs w:val="20"/>
          <w:color w:val="auto"/>
        </w:rPr>
      </w:pPr>
      <w:r>
        <w:rPr>
          <w:rFonts w:ascii="Times New Roman" w:cs="Times New Roman" w:eastAsia="Times New Roman" w:hAnsi="Times New Roman"/>
          <w:sz w:val="18"/>
          <w:szCs w:val="18"/>
          <w:color w:val="auto"/>
        </w:rPr>
        <w:t>17.4</w:t>
        <w:tab/>
        <w:t>THE PARTIES UNDERSTAND THAT AN EXPLANATION OF FACTORS AND PERTINENT FAA REGULATIONS BEARING ON OPERATIONAL CONTROL CAN BE OBTAINED FROM THE NEAREST FAA FLIGHT STANDARDS DISTRICT OFFICE.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Parties have each caused this Agreement to be duly executed as of the date indicated below their signature.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LESSOR: CHEVRON U.S.A. INC.</w:t>
            </w:r>
          </w:p>
        </w:tc>
        <w:tc>
          <w:tcPr>
            <w:tcW w:w="416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LESSEE: MICHAEL K. WIRTH</w:t>
            </w:r>
          </w:p>
        </w:tc>
      </w:tr>
      <w:tr>
        <w:trPr>
          <w:trHeight w:val="499"/>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Signature: </w:t>
            </w:r>
            <w:r>
              <w:rPr>
                <w:rFonts w:ascii="Times New Roman" w:cs="Times New Roman" w:eastAsia="Times New Roman" w:hAnsi="Times New Roman"/>
                <w:sz w:val="18"/>
                <w:szCs w:val="18"/>
                <w:color w:val="auto"/>
              </w:rPr>
              <w:t>/s/ Kari H. Endries</w:t>
            </w:r>
          </w:p>
        </w:tc>
        <w:tc>
          <w:tcPr>
            <w:tcW w:w="416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 xml:space="preserve">Signature: </w:t>
            </w:r>
            <w:r>
              <w:rPr>
                <w:rFonts w:ascii="Times New Roman" w:cs="Times New Roman" w:eastAsia="Times New Roman" w:hAnsi="Times New Roman"/>
                <w:sz w:val="18"/>
                <w:szCs w:val="18"/>
                <w:color w:val="auto"/>
              </w:rPr>
              <w:t>/s/ Michael K. Wirth</w:t>
            </w:r>
          </w:p>
        </w:tc>
      </w:tr>
      <w:tr>
        <w:trPr>
          <w:trHeight w:val="423"/>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3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November 16, 2024</w:t>
            </w:r>
          </w:p>
        </w:tc>
        <w:tc>
          <w:tcPr>
            <w:tcW w:w="200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216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8"/>
              </w:rPr>
              <w:t>November 16, 2024</w:t>
            </w:r>
          </w:p>
        </w:tc>
      </w:tr>
      <w:tr>
        <w:trPr>
          <w:trHeight w:val="238"/>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Kari H. Endries</w:t>
            </w:r>
          </w:p>
        </w:tc>
        <w:tc>
          <w:tcPr>
            <w:tcW w:w="20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270"/>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3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Vice President and Secretary</w:t>
            </w:r>
          </w:p>
        </w:tc>
        <w:tc>
          <w:tcPr>
            <w:tcW w:w="2000" w:type="dxa"/>
            <w:vAlign w:val="bottom"/>
          </w:tcPr>
          <w:p>
            <w:pPr>
              <w:spacing w:after="0"/>
              <w:rPr>
                <w:sz w:val="23"/>
                <w:szCs w:val="23"/>
                <w:color w:val="auto"/>
              </w:rPr>
            </w:pPr>
          </w:p>
        </w:tc>
        <w:tc>
          <w:tcPr>
            <w:tcW w:w="2160" w:type="dxa"/>
            <w:vAlign w:val="bottom"/>
          </w:tcPr>
          <w:p>
            <w:pPr>
              <w:spacing w:after="0"/>
              <w:rPr>
                <w:sz w:val="23"/>
                <w:szCs w:val="23"/>
                <w:color w:val="auto"/>
              </w:rPr>
            </w:pPr>
          </w:p>
        </w:tc>
      </w:tr>
    </w:tbl>
    <w:p>
      <w:pPr>
        <w:sectPr>
          <w:pgSz w:w="11900" w:h="16838" w:orient="portrait"/>
          <w:cols w:equalWidth="0" w:num="1">
            <w:col w:w="11220"/>
          </w:cols>
          <w:pgMar w:left="340" w:top="846"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Chevron Corporation Policy 20 – Insider Trading</w:t>
      </w:r>
    </w:p>
    <w:p>
      <w:pPr>
        <w:spacing w:after="0" w:line="20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Federal and state laws prohibit trading in securities of any company by individuals who are aware of material, non-public information. This activity is generally known as “insider trading.” These laws also prohibit individuals with material, non-public information from communicating this information to others who then trade, an activity generally known as “tipping.”</w:t>
      </w:r>
    </w:p>
    <w:p>
      <w:pPr>
        <w:spacing w:after="0" w:line="20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2"/>
          <w:szCs w:val="22"/>
          <w:color w:val="auto"/>
        </w:rPr>
        <w:t>As part of this policy, employees, members of the Chevron Corporation (“Chevron”) Board of Directors and consultants (referred to herein as “Chevron Personnel”) may not transact (as described below), directly or indirectly, including through family members</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or other persons or entities, in Chevron securities while aware of material, non-public information regarding Chevron. In addition, Chevron Personnel may not transact in securities of other public companies (including companies that deal with Chevron as a supplier, customer, contractor, purchaser, or distributor, or that compete with Chevron) as a result of having obtained confidential knowledge about Chevron’s operations, relationships, or negotiations or while aware of material, non-public information about that company that was obtained as a result of the individual’s employment or relationship with Chevron. In addition, Chevron Personnel may not communicate material, non-public information regarding Chevron or any other company that was obtained as a result of the individual’s employment or relationship to Chevron to third parties.</w:t>
      </w:r>
    </w:p>
    <w:p>
      <w:pPr>
        <w:spacing w:after="0" w:line="20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general, Chevron Personnel who are aware of material, non-public information may not transact in Chevron securities or the securities of any other company until the first business day that is at least 24 hours after the time that the information is publicly released.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Transactions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“Trading” and “transacting” in securities includes engaging in any transaction used to:</w:t>
      </w:r>
    </w:p>
    <w:p>
      <w:pPr>
        <w:spacing w:after="0" w:line="233" w:lineRule="exact"/>
        <w:rPr>
          <w:sz w:val="20"/>
          <w:szCs w:val="20"/>
          <w:color w:val="auto"/>
        </w:rPr>
      </w:pPr>
    </w:p>
    <w:p>
      <w:pPr>
        <w:ind w:left="660" w:hanging="328"/>
        <w:spacing w:after="0" w:line="258" w:lineRule="auto"/>
        <w:tabs>
          <w:tab w:leader="none" w:pos="6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sell or gift stock, bonds, debentures, options, puts, collars, straddles, futures contracts or other derivative securities;</w:t>
      </w:r>
    </w:p>
    <w:p>
      <w:pPr>
        <w:spacing w:after="0" w:line="17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stock options (provided, however, that this restriction does not prohibit</w:t>
      </w:r>
    </w:p>
    <w:p>
      <w:pPr>
        <w:spacing w:after="0" w:line="233" w:lineRule="exact"/>
        <w:rPr>
          <w:rFonts w:ascii="Times New Roman" w:cs="Times New Roman" w:eastAsia="Times New Roman" w:hAnsi="Times New Roman"/>
          <w:sz w:val="22"/>
          <w:szCs w:val="22"/>
          <w:color w:val="auto"/>
        </w:rPr>
      </w:pPr>
    </w:p>
    <w:p>
      <w:pPr>
        <w:ind w:left="1300" w:hanging="320"/>
        <w:spacing w:after="0" w:line="241" w:lineRule="auto"/>
        <w:tabs>
          <w:tab w:leader="none" w:pos="1295"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exercise of a stock option if the individual pays the exercise price and tax withholding in cash and holds the underlying shares;</w:t>
      </w:r>
    </w:p>
    <w:p>
      <w:pPr>
        <w:spacing w:after="0" w:line="1"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withholding of shares by Chevron to satisfy tax withholding requirements;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226314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7">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43" w:lineRule="exact"/>
        <w:rPr>
          <w:sz w:val="20"/>
          <w:szCs w:val="20"/>
          <w:color w:val="auto"/>
        </w:rPr>
      </w:pPr>
    </w:p>
    <w:p>
      <w:pPr>
        <w:jc w:val="both"/>
        <w:ind w:firstLine="8"/>
        <w:spacing w:after="0" w:line="241" w:lineRule="auto"/>
        <w:tabs>
          <w:tab w:leader="none" w:pos="165" w:val="left"/>
        </w:tabs>
        <w:numPr>
          <w:ilvl w:val="0"/>
          <w:numId w:val="85"/>
        </w:numPr>
        <w:rPr>
          <w:rFonts w:ascii="Arial" w:cs="Arial" w:eastAsia="Arial" w:hAnsi="Arial"/>
          <w:sz w:val="28"/>
          <w:szCs w:val="28"/>
          <w:color w:val="auto"/>
          <w:vertAlign w:val="superscript"/>
        </w:rPr>
      </w:pPr>
      <w:r>
        <w:rPr>
          <w:rFonts w:ascii="Times New Roman" w:cs="Times New Roman" w:eastAsia="Times New Roman" w:hAnsi="Times New Roman"/>
          <w:sz w:val="22"/>
          <w:szCs w:val="22"/>
          <w:color w:val="auto"/>
        </w:rPr>
        <w:t>This policy applies not only to Chevron Personnel but also to Chevron Personnel’s family members who reside with them, anyone else who lives in their household and any family members who do not live in their household but whose transactions in company securities are directed by Chevron Personnel or are subject to their influence or control (such as parents or children who consult with Chevron Personnel before they transact in company securities). This policy also applies to (1) any entities Chevron Personnel or their family members control, such as partnerships, trusts and corporations, and (2) brokerage accounts maintained for the benefit of Chevron Personnel or their family members if anyone has discretion over the accounts. These individuals and entities are referred to herein as “Family Members and Affiliates.”</w:t>
      </w:r>
    </w:p>
    <w:p>
      <w:pPr>
        <w:sectPr>
          <w:pgSz w:w="11900" w:h="16838" w:orient="portrait"/>
          <w:cols w:equalWidth="0" w:num="1">
            <w:col w:w="11240"/>
          </w:cols>
          <w:pgMar w:left="320" w:top="1400" w:right="339" w:bottom="1440" w:gutter="0" w:footer="0" w:header="0"/>
        </w:sectPr>
      </w:pPr>
    </w:p>
    <w:bookmarkStart w:id="132" w:name="page133"/>
    <w:bookmarkEnd w:id="132"/>
    <w:p>
      <w:pPr>
        <w:ind w:left="1300" w:hanging="320"/>
        <w:spacing w:after="0"/>
        <w:tabs>
          <w:tab w:leader="none" w:pos="1300"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receipt or vesting of stock options);</w:t>
      </w:r>
    </w:p>
    <w:p>
      <w:pPr>
        <w:spacing w:after="0" w:line="233" w:lineRule="exact"/>
        <w:rPr>
          <w:rFonts w:ascii="Times New Roman" w:cs="Times New Roman" w:eastAsia="Times New Roman" w:hAnsi="Times New Roman"/>
          <w:sz w:val="22"/>
          <w:szCs w:val="22"/>
          <w:color w:val="auto"/>
        </w:rPr>
      </w:pPr>
    </w:p>
    <w:p>
      <w:pPr>
        <w:ind w:left="660" w:hanging="328"/>
        <w:spacing w:after="0" w:line="258" w:lineRule="auto"/>
        <w:tabs>
          <w:tab w:leader="none" w:pos="6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investment elections and exchanges (purchases and sales) relating to a Chevron stock fund in any benefit or retirement plan (including the ESIP and the deferred compensation plan);</w:t>
      </w:r>
    </w:p>
    <w:p>
      <w:pPr>
        <w:spacing w:after="0" w:line="185" w:lineRule="exact"/>
        <w:rPr>
          <w:rFonts w:ascii="Times New Roman" w:cs="Times New Roman" w:eastAsia="Times New Roman" w:hAnsi="Times New Roman"/>
          <w:sz w:val="22"/>
          <w:szCs w:val="22"/>
          <w:color w:val="auto"/>
        </w:rPr>
      </w:pPr>
    </w:p>
    <w:p>
      <w:pPr>
        <w:ind w:left="660" w:right="20" w:hanging="328"/>
        <w:spacing w:after="0" w:line="258" w:lineRule="auto"/>
        <w:tabs>
          <w:tab w:leader="none" w:pos="6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in hedging or speculative transactions, including, but not limited to, short sales and trading in options, puts, calls, straddles, swaps or other derivative securities;</w:t>
      </w:r>
    </w:p>
    <w:p>
      <w:pPr>
        <w:spacing w:after="0" w:line="18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securities on margin or place securities in margin account(s);</w:t>
      </w:r>
    </w:p>
    <w:p>
      <w:pPr>
        <w:spacing w:after="0" w:line="21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in monetization transactions, such as forward sale contracts; or</w:t>
      </w:r>
    </w:p>
    <w:p>
      <w:pPr>
        <w:spacing w:after="0" w:line="23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pledge securities as collateral for a loan or any other purpose.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Trading Window Period and Prohibited Transactions for Directors and Certain Employees</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Members of the Chevron Board of Directors, members of the Chevron Global Leadership Forum, the Vice President, Finance for Upstream, and the Vice President, Finance for Downstream and Chemicals (as well as the Family Members and Affiliates of these individuals)</w:t>
      </w:r>
    </w:p>
    <w:p>
      <w:pPr>
        <w:spacing w:after="0" w:line="200" w:lineRule="exact"/>
        <w:rPr>
          <w:sz w:val="20"/>
          <w:szCs w:val="20"/>
          <w:color w:val="auto"/>
        </w:rPr>
      </w:pPr>
    </w:p>
    <w:p>
      <w:pPr>
        <w:ind w:left="1300" w:hanging="320"/>
        <w:spacing w:after="0"/>
        <w:tabs>
          <w:tab w:leader="none" w:pos="130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may transact in Chevron securities only as follows:</w:t>
      </w:r>
    </w:p>
    <w:p>
      <w:pPr>
        <w:spacing w:after="0" w:line="227" w:lineRule="exact"/>
        <w:rPr>
          <w:rFonts w:ascii="Times New Roman" w:cs="Times New Roman" w:eastAsia="Times New Roman" w:hAnsi="Times New Roman"/>
          <w:sz w:val="22"/>
          <w:szCs w:val="22"/>
          <w:color w:val="auto"/>
        </w:rPr>
      </w:pPr>
    </w:p>
    <w:p>
      <w:pPr>
        <w:jc w:val="both"/>
        <w:ind w:left="1960" w:hanging="656"/>
        <w:spacing w:after="0" w:line="219" w:lineRule="auto"/>
        <w:tabs>
          <w:tab w:leader="none" w:pos="1952"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20 business day</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22"/>
          <w:szCs w:val="22"/>
          <w:color w:val="auto"/>
        </w:rPr>
        <w:t xml:space="preserve"> period that begins on the first business day that is at least 24 hours after the public release of earnings for the prior quarter (the “Trading Window Period”), and then only if (1) the individual is not aware of material, non-public information and (2) the individual obtains pre-clearance from the Corporate Secretary or an Assistant Secretary before executing the transaction; or</w:t>
      </w:r>
    </w:p>
    <w:p>
      <w:pPr>
        <w:spacing w:after="0" w:line="1" w:lineRule="exact"/>
        <w:rPr>
          <w:rFonts w:ascii="Times New Roman" w:cs="Times New Roman" w:eastAsia="Times New Roman" w:hAnsi="Times New Roman"/>
          <w:sz w:val="22"/>
          <w:szCs w:val="22"/>
          <w:color w:val="auto"/>
        </w:rPr>
      </w:pPr>
    </w:p>
    <w:p>
      <w:pPr>
        <w:jc w:val="both"/>
        <w:ind w:left="1960" w:hanging="656"/>
        <w:spacing w:after="0" w:line="235" w:lineRule="auto"/>
        <w:tabs>
          <w:tab w:leader="none" w:pos="1959"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 an adopted Rule 10b5-1 plan pre-cleared by the Corporate Secretary. A Rule 10b5-1 plan is a legally binding schedule of pre-planned transactions in Chevron securities that complies with the Insider Trading Policy and Compliance Procedures established by the Corporate Governance Department; and</w:t>
      </w:r>
    </w:p>
    <w:p>
      <w:pPr>
        <w:spacing w:after="0" w:line="204"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may not at any time:</w:t>
      </w:r>
    </w:p>
    <w:p>
      <w:pPr>
        <w:spacing w:after="0" w:line="233" w:lineRule="exact"/>
        <w:rPr>
          <w:rFonts w:ascii="Times New Roman" w:cs="Times New Roman" w:eastAsia="Times New Roman" w:hAnsi="Times New Roman"/>
          <w:sz w:val="22"/>
          <w:szCs w:val="22"/>
          <w:color w:val="auto"/>
        </w:rPr>
      </w:pPr>
    </w:p>
    <w:p>
      <w:pPr>
        <w:ind w:left="1960" w:right="20" w:hanging="656"/>
        <w:spacing w:after="0" w:line="253" w:lineRule="auto"/>
        <w:tabs>
          <w:tab w:leader="none" w:pos="1952"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engage in hedging transactions or speculative transactions involving Chevron securities, including, but not limited to, short sales and trading in options, puts, calls, straddles, swaps, or other derivative securities;</w:t>
      </w:r>
    </w:p>
    <w:p>
      <w:pPr>
        <w:ind w:left="1960" w:hanging="656"/>
        <w:spacing w:after="0" w:line="230" w:lineRule="auto"/>
        <w:tabs>
          <w:tab w:leader="none" w:pos="196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Chevron securities on margin;</w:t>
      </w:r>
    </w:p>
    <w:p>
      <w:pPr>
        <w:ind w:left="1940" w:hanging="636"/>
        <w:spacing w:after="0" w:line="230" w:lineRule="auto"/>
        <w:tabs>
          <w:tab w:leader="none" w:pos="194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in monetization transactions, such as forward sale contracts involving Chevron securities; or</w:t>
      </w:r>
    </w:p>
    <w:p>
      <w:pPr>
        <w:ind w:left="1940" w:hanging="636"/>
        <w:spacing w:after="0"/>
        <w:tabs>
          <w:tab w:leader="none" w:pos="194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pledge Chevron securities as collateral for a loan 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226314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8">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03" w:lineRule="exact"/>
        <w:rPr>
          <w:sz w:val="20"/>
          <w:szCs w:val="20"/>
          <w:color w:val="auto"/>
        </w:rPr>
      </w:pPr>
    </w:p>
    <w:p>
      <w:pPr>
        <w:ind w:left="140" w:hanging="132"/>
        <w:spacing w:after="0"/>
        <w:tabs>
          <w:tab w:leader="none" w:pos="140" w:val="left"/>
        </w:tabs>
        <w:numPr>
          <w:ilvl w:val="0"/>
          <w:numId w:val="88"/>
        </w:numPr>
        <w:rPr>
          <w:rFonts w:ascii="Arial" w:cs="Arial" w:eastAsia="Arial" w:hAnsi="Arial"/>
          <w:sz w:val="28"/>
          <w:szCs w:val="28"/>
          <w:color w:val="auto"/>
          <w:vertAlign w:val="superscript"/>
        </w:rPr>
      </w:pPr>
      <w:r>
        <w:rPr>
          <w:rFonts w:ascii="Times New Roman" w:cs="Times New Roman" w:eastAsia="Times New Roman" w:hAnsi="Times New Roman"/>
          <w:sz w:val="22"/>
          <w:szCs w:val="22"/>
          <w:color w:val="auto"/>
        </w:rPr>
        <w:t>When used in this Policy, “business day” means any day on which the New York Stock Exchange is open for trading.</w:t>
      </w:r>
    </w:p>
    <w:p>
      <w:pPr>
        <w:sectPr>
          <w:pgSz w:w="11900" w:h="16838" w:orient="portrait"/>
          <w:cols w:equalWidth="0" w:num="1">
            <w:col w:w="11240"/>
          </w:cols>
          <w:pgMar w:left="320" w:top="1408"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22"/>
          <w:szCs w:val="22"/>
          <w:b w:val="1"/>
          <w:bCs w:val="1"/>
          <w:color w:val="auto"/>
        </w:rPr>
        <w:t>Trading Blackout Period for Certain Employees</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Members of Chevron’s Controller’s and Investor Relations Departments as well as certain other identified employees (as well as the Family Members and Affiliates of these individuals), who are not otherwise subject to the Trading Window Period specified above shall not transact in Chevron securities:</w:t>
      </w:r>
    </w:p>
    <w:p>
      <w:pPr>
        <w:spacing w:after="0" w:line="200" w:lineRule="exact"/>
        <w:rPr>
          <w:sz w:val="20"/>
          <w:szCs w:val="20"/>
          <w:color w:val="auto"/>
        </w:rPr>
      </w:pPr>
    </w:p>
    <w:p>
      <w:pPr>
        <w:ind w:left="660" w:hanging="328"/>
        <w:spacing w:after="0"/>
        <w:tabs>
          <w:tab w:leader="none" w:pos="6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such individual is aware of material, non-public information;</w:t>
      </w:r>
    </w:p>
    <w:p>
      <w:pPr>
        <w:spacing w:after="0" w:line="14" w:lineRule="exact"/>
        <w:rPr>
          <w:rFonts w:ascii="Times New Roman" w:cs="Times New Roman" w:eastAsia="Times New Roman" w:hAnsi="Times New Roman"/>
          <w:sz w:val="22"/>
          <w:szCs w:val="22"/>
          <w:color w:val="auto"/>
        </w:rPr>
      </w:pPr>
    </w:p>
    <w:p>
      <w:pPr>
        <w:jc w:val="both"/>
        <w:ind w:left="660" w:hanging="328"/>
        <w:spacing w:after="0" w:line="226" w:lineRule="auto"/>
        <w:tabs>
          <w:tab w:leader="none" w:pos="6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period beginning on the tenth business day of the third month of each calendar quarter and ending on the last day of the calendar quarter without obtaining pre-clearance from the Controller and the Corporate Secretary or Assistant Secretary; and</w:t>
      </w:r>
    </w:p>
    <w:p>
      <w:pPr>
        <w:ind w:left="660" w:right="20" w:hanging="328"/>
        <w:spacing w:after="0" w:line="237" w:lineRule="auto"/>
        <w:tabs>
          <w:tab w:leader="none" w:pos="6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during the period beginning on the first day of the calendar quarter through the day immediately preceding the first business day that is at least 24 hours after the release of earnings for the prior quarter.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Chevron Transactions</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From time to time, Chevron may engage in transactions in Chevron securities. It is Chevron’s policy to comply with all applicable federal and state securities laws (including obtaining approvals by the Board of Directors or appropriate Committee, if required) when Chevron is engaging in transactions in Chevron securities.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Responsibility</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Chevron Personnel are responsible for compliance with the letter and intent of this policy. Without regard to the civil or criminal penalties that may be imposed by others, any individual who violates this policy will be subject to disciplinary action, up to and including discharge.</w:t>
      </w:r>
    </w:p>
    <w:p>
      <w:pPr>
        <w:spacing w:after="0" w:line="206"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Chevron Personnel are encouraged to report any suspected activity or violation of this policy to Chevron’s Chief Compliance Officer and/or any member of senior management. Reports can also be made by calling Chevron’s Hotline at [phone number] (in the U.S. or Canada) or [phone number] (in all other international locations).</w:t>
      </w:r>
    </w:p>
    <w:p>
      <w:pPr>
        <w:spacing w:after="0" w:line="20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Heads of employing organizations (including country Managing Directors, Business Unit General Managers as well as Presidents of operating companies) should ensure that their employees are aware of their obligations under this policy and should provide specific guidance for its application to their organization’s individual operations. All employees should periodically review this policy’s content.</w:t>
      </w:r>
    </w:p>
    <w:p>
      <w:pPr>
        <w:spacing w:after="0" w:line="20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Each Director, Global Leadership Forum member and other employee subject to the Trading Window Period is responsible for observing the Insider Trading Policy and Compliance Procedures established by the Corporate Governance Department to ensure compliance with reporting requirements (as applicable), to help prevent any inadvertent violations of U.S. securities laws, and to avoid even the appearance of trading on inside information.</w:t>
      </w:r>
    </w:p>
    <w:p>
      <w:pPr>
        <w:sectPr>
          <w:pgSz w:w="11900" w:h="16838" w:orient="portrait"/>
          <w:cols w:equalWidth="0" w:num="1">
            <w:col w:w="11240"/>
          </w:cols>
          <w:pgMar w:left="320" w:top="1404"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22"/>
          <w:szCs w:val="22"/>
          <w:b w:val="1"/>
          <w:bCs w:val="1"/>
          <w:color w:val="auto"/>
        </w:rPr>
        <w:t>Further Guidance</w:t>
      </w:r>
    </w:p>
    <w:p>
      <w:pPr>
        <w:spacing w:after="0" w:line="23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 xml:space="preserve">Please see </w:t>
      </w:r>
      <w:r>
        <w:rPr>
          <w:rFonts w:ascii="Times New Roman" w:cs="Times New Roman" w:eastAsia="Times New Roman" w:hAnsi="Times New Roman"/>
          <w:sz w:val="22"/>
          <w:szCs w:val="22"/>
          <w:i w:val="1"/>
          <w:iCs w:val="1"/>
          <w:color w:val="auto"/>
        </w:rPr>
        <w:t>Section 2</w:t>
      </w:r>
      <w:r>
        <w:rPr>
          <w:rFonts w:ascii="Times New Roman" w:cs="Times New Roman" w:eastAsia="Times New Roman" w:hAnsi="Times New Roman"/>
          <w:sz w:val="22"/>
          <w:szCs w:val="22"/>
          <w:color w:val="auto"/>
        </w:rPr>
        <w:t xml:space="preserve"> of the </w:t>
      </w:r>
      <w:r>
        <w:rPr>
          <w:rFonts w:ascii="Times New Roman" w:cs="Times New Roman" w:eastAsia="Times New Roman" w:hAnsi="Times New Roman"/>
          <w:sz w:val="22"/>
          <w:szCs w:val="22"/>
          <w:i w:val="1"/>
          <w:iCs w:val="1"/>
          <w:color w:val="auto"/>
        </w:rPr>
        <w:t>Manual of Compliance Procedures and Guidelines</w:t>
      </w:r>
      <w:r>
        <w:rPr>
          <w:rFonts w:ascii="Times New Roman" w:cs="Times New Roman" w:eastAsia="Times New Roman" w:hAnsi="Times New Roman"/>
          <w:sz w:val="22"/>
          <w:szCs w:val="22"/>
          <w:color w:val="auto"/>
        </w:rPr>
        <w:t xml:space="preserve"> for further guidance and detail. As a practical matter, before engaging in any transaction, err on the side of caution. If in doubt as to whether to engage in any transaction, Chevron Personnel are encouraged to seek professional advice and to discuss prospective transactions with the Corporate Governance Department.</w:t>
      </w:r>
    </w:p>
    <w:p>
      <w:pPr>
        <w:sectPr>
          <w:pgSz w:w="11900" w:h="16838" w:orient="portrait"/>
          <w:cols w:equalWidth="0" w:num="1">
            <w:col w:w="11240"/>
          </w:cols>
          <w:pgMar w:left="320" w:top="1404" w:right="3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25"/>
          <w:szCs w:val="25"/>
          <w:b w:val="1"/>
          <w:bCs w:val="1"/>
          <w:color w:val="0A2C70"/>
        </w:rPr>
        <w:t>Chevron Corporation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0A2C70"/>
        </w:rPr>
        <w:t>Manual of Compliance Procedures and Guidelines</w:t>
      </w:r>
    </w:p>
    <w:p>
      <w:pPr>
        <w:jc w:val="center"/>
        <w:spacing w:after="0"/>
        <w:rPr>
          <w:sz w:val="20"/>
          <w:szCs w:val="20"/>
          <w:color w:val="auto"/>
        </w:rPr>
      </w:pPr>
      <w:r>
        <w:rPr>
          <w:rFonts w:ascii="Times New Roman" w:cs="Times New Roman" w:eastAsia="Times New Roman" w:hAnsi="Times New Roman"/>
          <w:sz w:val="25"/>
          <w:szCs w:val="25"/>
          <w:b w:val="1"/>
          <w:bCs w:val="1"/>
          <w:color w:val="0A2C70"/>
        </w:rPr>
        <w:t>Section 2: Conflicts of Interest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A2C70"/>
        </w:rPr>
        <w:t>3.5.3 Insider trading</w:t>
      </w:r>
    </w:p>
    <w:p>
      <w:pPr>
        <w:spacing w:after="0" w:line="223" w:lineRule="exact"/>
        <w:rPr>
          <w:sz w:val="20"/>
          <w:szCs w:val="20"/>
          <w:color w:val="auto"/>
        </w:rPr>
      </w:pPr>
    </w:p>
    <w:p>
      <w:pPr>
        <w:jc w:val="both"/>
        <w:ind w:left="660" w:hanging="328"/>
        <w:spacing w:after="0" w:line="249" w:lineRule="auto"/>
        <w:tabs>
          <w:tab w:leader="none" w:pos="655" w:val="left"/>
        </w:tabs>
        <w:numPr>
          <w:ilvl w:val="0"/>
          <w:numId w:val="90"/>
        </w:numPr>
        <w:rPr>
          <w:rFonts w:ascii="Arial" w:cs="Arial" w:eastAsia="Arial" w:hAnsi="Arial"/>
          <w:sz w:val="22"/>
          <w:szCs w:val="22"/>
          <w:color w:val="auto"/>
        </w:rPr>
      </w:pPr>
      <w:r>
        <w:rPr>
          <w:rFonts w:ascii="Times New Roman" w:cs="Times New Roman" w:eastAsia="Times New Roman" w:hAnsi="Times New Roman"/>
          <w:sz w:val="22"/>
          <w:szCs w:val="22"/>
          <w:color w:val="auto"/>
        </w:rPr>
        <w:t>Insider trading is prohibited. Employees (1) may not transact (as defined in Policy 20 – Insider Trading) directly or indirectly, including through family members or affiliates, in Chevron securities while aware of material information about Chevron that has not yet been made public and (2) may not transact in securities of other public companies (including companies that deal with Chevron as a supplier, customer, contractor, purchaser, or distributor, or that compete with Chevron) as a result of having obtained confidential knowledge about Chevron’s operations, relationships, or negotiations or while aware of material information about that other company that has not yet been made publicly known and that was obtained as a result of the individual’s employment or relationship with Chevron.</w:t>
      </w:r>
    </w:p>
    <w:p>
      <w:pPr>
        <w:spacing w:after="0" w:line="78" w:lineRule="exact"/>
        <w:rPr>
          <w:rFonts w:ascii="Arial" w:cs="Arial" w:eastAsia="Arial" w:hAnsi="Arial"/>
          <w:sz w:val="22"/>
          <w:szCs w:val="22"/>
          <w:color w:val="auto"/>
        </w:rPr>
      </w:pPr>
    </w:p>
    <w:p>
      <w:pPr>
        <w:jc w:val="both"/>
        <w:ind w:left="660" w:hanging="328"/>
        <w:spacing w:after="0" w:line="249" w:lineRule="auto"/>
        <w:tabs>
          <w:tab w:leader="none" w:pos="655"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policy applies not only to employees but also to employees’ family members who reside with them, anyone else who lives in their household and any family members who do not live in their household but whose transactions in company securities are directed by employees or are subject to their influence or control (such as parents or children who consult with employees before they transact in company securities). This policy also applies to (1) any entities employees or their family members control, such as partnerships, trusts and corporations, and (2) brokerage accounts maintained for the benefit of employees or their family members if anyone has discretion over the accounts. Employees are responsible for the transactions of these other individuals and entities and therefore should make them aware of the need to confer with the employee before they transact in Chevron securities.</w:t>
      </w:r>
    </w:p>
    <w:p>
      <w:pPr>
        <w:spacing w:after="0" w:line="73" w:lineRule="exact"/>
        <w:rPr>
          <w:rFonts w:ascii="Times New Roman" w:cs="Times New Roman" w:eastAsia="Times New Roman" w:hAnsi="Times New Roman"/>
          <w:sz w:val="22"/>
          <w:szCs w:val="22"/>
          <w:color w:val="auto"/>
        </w:rPr>
      </w:pPr>
    </w:p>
    <w:p>
      <w:pPr>
        <w:jc w:val="both"/>
        <w:ind w:left="660" w:hanging="328"/>
        <w:spacing w:after="0" w:line="263" w:lineRule="auto"/>
        <w:tabs>
          <w:tab w:leader="none" w:pos="655"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Ultimately, employees must avoid situations where their actions could reasonably lead one to believe that they are using material, non-public information for their own personal profit or that of their family members, friends, or other persons or entities – whether or not this is the case.</w:t>
      </w:r>
    </w:p>
    <w:p>
      <w:pPr>
        <w:spacing w:after="0" w:line="59" w:lineRule="exact"/>
        <w:rPr>
          <w:rFonts w:ascii="Times New Roman" w:cs="Times New Roman" w:eastAsia="Times New Roman" w:hAnsi="Times New Roman"/>
          <w:sz w:val="22"/>
          <w:szCs w:val="22"/>
          <w:color w:val="auto"/>
        </w:rPr>
      </w:pPr>
    </w:p>
    <w:p>
      <w:pPr>
        <w:jc w:val="both"/>
        <w:ind w:left="660" w:hanging="328"/>
        <w:spacing w:after="0" w:line="257" w:lineRule="auto"/>
        <w:tabs>
          <w:tab w:leader="none" w:pos="655"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information” is information that a reasonable investor would consider important when deciding to buy, sell or gift a company’s securities and/or information that could affect a company’s financial condition or stock price. Both positive and negative information can be material. Common examples of information that may be material include:</w:t>
      </w:r>
    </w:p>
    <w:p>
      <w:pPr>
        <w:spacing w:after="0" w:line="78"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Projections of earnings or operational results, changes in such projections, or other financial guidance</w:t>
      </w:r>
    </w:p>
    <w:p>
      <w:pPr>
        <w:spacing w:after="0" w:line="111" w:lineRule="exact"/>
        <w:rPr>
          <w:rFonts w:ascii="Times New Roman" w:cs="Times New Roman" w:eastAsia="Times New Roman" w:hAnsi="Times New Roman"/>
          <w:sz w:val="22"/>
          <w:szCs w:val="22"/>
          <w:color w:val="auto"/>
        </w:rPr>
      </w:pPr>
    </w:p>
    <w:p>
      <w:pPr>
        <w:ind w:left="1300" w:hanging="320"/>
        <w:spacing w:after="0" w:line="271" w:lineRule="auto"/>
        <w:tabs>
          <w:tab w:leader="none" w:pos="1296"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Actual earnings or operational results, including profits or operational results by asset, business unit, or geographic region or financial restatements</w:t>
      </w:r>
    </w:p>
    <w:p>
      <w:pPr>
        <w:spacing w:after="0" w:line="49" w:lineRule="exact"/>
        <w:rPr>
          <w:rFonts w:ascii="Times New Roman" w:cs="Times New Roman" w:eastAsia="Times New Roman" w:hAnsi="Times New Roman"/>
          <w:sz w:val="22"/>
          <w:szCs w:val="22"/>
          <w:color w:val="auto"/>
        </w:rPr>
      </w:pPr>
    </w:p>
    <w:p>
      <w:pPr>
        <w:ind w:left="1300" w:hanging="320"/>
        <w:spacing w:after="0" w:line="271" w:lineRule="auto"/>
        <w:tabs>
          <w:tab w:leader="none" w:pos="1296"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pending or prospective mergers, acquisitions, joint ventures, divestitures, or other changes in company assets</w:t>
      </w:r>
    </w:p>
    <w:p>
      <w:pPr>
        <w:spacing w:after="0" w:line="63"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management changes or changes in control of Chevron</w:t>
      </w:r>
    </w:p>
    <w:p>
      <w:pPr>
        <w:sectPr>
          <w:pgSz w:w="11900" w:h="16838" w:orient="portrait"/>
          <w:cols w:equalWidth="0" w:num="1">
            <w:col w:w="11240"/>
          </w:cols>
          <w:pgMar w:left="320" w:top="1393" w:right="339" w:bottom="1440" w:gutter="0" w:footer="0" w:header="0"/>
        </w:sectPr>
      </w:pPr>
    </w:p>
    <w:bookmarkStart w:id="136" w:name="page137"/>
    <w:bookmarkEnd w:id="136"/>
    <w:p>
      <w:pPr>
        <w:ind w:left="1300" w:hanging="320"/>
        <w:spacing w:after="0"/>
        <w:tabs>
          <w:tab w:leader="none" w:pos="130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Updates regarding production and/or reserves</w:t>
      </w:r>
    </w:p>
    <w:p>
      <w:pPr>
        <w:spacing w:after="0" w:line="111"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Updates regarding new assets, discoveries or exploration results</w:t>
      </w:r>
    </w:p>
    <w:p>
      <w:pPr>
        <w:spacing w:after="0" w:line="111"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capital project milestones, work programs and project status</w:t>
      </w:r>
    </w:p>
    <w:p>
      <w:pPr>
        <w:spacing w:after="0" w:line="125"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 expenditure and/or operating costs or plans, or significant changes to these expected costs or plans</w:t>
      </w:r>
    </w:p>
    <w:p>
      <w:pPr>
        <w:spacing w:after="0" w:line="111" w:lineRule="exact"/>
        <w:rPr>
          <w:rFonts w:ascii="Times New Roman" w:cs="Times New Roman" w:eastAsia="Times New Roman" w:hAnsi="Times New Roman"/>
          <w:sz w:val="22"/>
          <w:szCs w:val="22"/>
          <w:color w:val="auto"/>
        </w:rPr>
      </w:pPr>
    </w:p>
    <w:p>
      <w:pPr>
        <w:ind w:left="1300" w:hanging="320"/>
        <w:spacing w:after="0" w:line="271" w:lineRule="auto"/>
        <w:tabs>
          <w:tab w:leader="none" w:pos="1323"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significant increase or decline in an important line of business or important new product lines, licenses or patents</w:t>
      </w:r>
    </w:p>
    <w:p>
      <w:pPr>
        <w:spacing w:after="0" w:line="4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significant new business or strategic relationship or a significant change in, or the loss of, such a relationship</w:t>
      </w:r>
    </w:p>
    <w:p>
      <w:pPr>
        <w:spacing w:after="0" w:line="111" w:lineRule="exact"/>
        <w:rPr>
          <w:rFonts w:ascii="Times New Roman" w:cs="Times New Roman" w:eastAsia="Times New Roman" w:hAnsi="Times New Roman"/>
          <w:sz w:val="22"/>
          <w:szCs w:val="22"/>
          <w:color w:val="auto"/>
        </w:rPr>
      </w:pPr>
    </w:p>
    <w:p>
      <w:pPr>
        <w:ind w:left="1300" w:hanging="320"/>
        <w:spacing w:after="0" w:line="284" w:lineRule="auto"/>
        <w:tabs>
          <w:tab w:leader="none" w:pos="135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Beginning of, or developments in, major litigation, government or other investigations (including without limitation those related to significant operational incidents), or regulatory actions or proceedings</w:t>
      </w:r>
    </w:p>
    <w:p>
      <w:pPr>
        <w:spacing w:after="0" w:line="35"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Assessments of a potentially significant data loss or other major cybersecurity breach or incident</w:t>
      </w:r>
    </w:p>
    <w:p>
      <w:pPr>
        <w:spacing w:after="0" w:line="111"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asset impairments</w:t>
      </w:r>
    </w:p>
    <w:p>
      <w:pPr>
        <w:spacing w:after="0" w:line="111" w:lineRule="exact"/>
        <w:rPr>
          <w:rFonts w:ascii="Times New Roman" w:cs="Times New Roman" w:eastAsia="Times New Roman" w:hAnsi="Times New Roman"/>
          <w:sz w:val="22"/>
          <w:szCs w:val="22"/>
          <w:color w:val="auto"/>
        </w:rPr>
      </w:pPr>
    </w:p>
    <w:p>
      <w:pPr>
        <w:jc w:val="both"/>
        <w:ind w:left="1300" w:hanging="320"/>
        <w:spacing w:after="0" w:line="257" w:lineRule="auto"/>
        <w:tabs>
          <w:tab w:leader="none" w:pos="129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 payments, dividend increases or decreases, a change in dividend policy, the declaration of a stock split, or a private or public offering of additional debt or equity securities (but not simply rollovers or replacements of existing debt on expected terms)</w:t>
      </w:r>
    </w:p>
    <w:p>
      <w:pPr>
        <w:spacing w:after="0" w:line="78"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Implementation, increase, decrease or cessation of share buyback programs</w:t>
      </w:r>
    </w:p>
    <w:p>
      <w:pPr>
        <w:spacing w:after="0" w:line="111"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Deterioration or improvement in Chevron’s credit status with rating agencies or the existence of liquidity problems</w:t>
      </w:r>
    </w:p>
    <w:p>
      <w:pPr>
        <w:spacing w:after="0" w:line="123" w:lineRule="exact"/>
        <w:rPr>
          <w:rFonts w:ascii="Times New Roman" w:cs="Times New Roman" w:eastAsia="Times New Roman" w:hAnsi="Times New Roman"/>
          <w:sz w:val="21"/>
          <w:szCs w:val="21"/>
          <w:color w:val="auto"/>
        </w:rPr>
      </w:pPr>
    </w:p>
    <w:p>
      <w:pPr>
        <w:ind w:left="1300" w:hanging="320"/>
        <w:spacing w:after="0"/>
        <w:tabs>
          <w:tab w:leader="none" w:pos="130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in auditors and agreements/disagreements with auditors</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The foregoing are merely examples and should not be treated as an all-inclusive list. Depending on the circumstances, information about other events or about other possible changes or developments not listed above may also be regarded as material. If in doubt, employees should err on the side of caution and not engage in the transaction without first seeking legal guidance.</w:t>
      </w:r>
    </w:p>
    <w:p>
      <w:pPr>
        <w:spacing w:after="0" w:line="68" w:lineRule="exact"/>
        <w:rPr>
          <w:sz w:val="20"/>
          <w:szCs w:val="20"/>
          <w:color w:val="auto"/>
        </w:rPr>
      </w:pPr>
    </w:p>
    <w:p>
      <w:pPr>
        <w:jc w:val="both"/>
        <w:ind w:left="660" w:hanging="328"/>
        <w:spacing w:after="0" w:line="249" w:lineRule="auto"/>
        <w:tabs>
          <w:tab w:leader="none" w:pos="655" w:val="left"/>
        </w:tabs>
        <w:numPr>
          <w:ilvl w:val="0"/>
          <w:numId w:val="92"/>
        </w:numPr>
        <w:rPr>
          <w:rFonts w:ascii="Arial" w:cs="Arial" w:eastAsia="Arial" w:hAnsi="Arial"/>
          <w:sz w:val="22"/>
          <w:szCs w:val="22"/>
          <w:color w:val="auto"/>
        </w:rPr>
      </w:pPr>
      <w:r>
        <w:rPr>
          <w:rFonts w:ascii="Times New Roman" w:cs="Times New Roman" w:eastAsia="Times New Roman" w:hAnsi="Times New Roman"/>
          <w:sz w:val="22"/>
          <w:szCs w:val="22"/>
          <w:color w:val="auto"/>
        </w:rPr>
        <w:t>Material information is “non-public” until it has been disclosed broadly to the marketplace and the investing public has had time to absorb and evaluate the information. Employees must safeguard material, non-public information from unauthorized use or disclosure prior to the release of the information to the public through appropriate channels, such as in an SEC filing (e.g., on a Form 10-Q, Form 10-K or Form 8-K), on the quarterly earnings call or in a press release. Typically, drafts of documents containing material information are distributed internally for review before their release to the public. Employees are prohibited from trading in stock on the basis of this information. Employees who are aware of this information should circulate this information on a “need to know” basis only. Any other circulation or sharing of information in these documents is prohibited.</w:t>
      </w:r>
    </w:p>
    <w:p>
      <w:pPr>
        <w:sectPr>
          <w:pgSz w:w="11900" w:h="16838" w:orient="portrait"/>
          <w:cols w:equalWidth="0" w:num="1">
            <w:col w:w="11240"/>
          </w:cols>
          <w:pgMar w:left="320" w:top="1421" w:right="339" w:bottom="1440" w:gutter="0" w:footer="0" w:header="0"/>
        </w:sectPr>
      </w:pPr>
    </w:p>
    <w:bookmarkStart w:id="137" w:name="page138"/>
    <w:bookmarkEnd w:id="137"/>
    <w:p>
      <w:pPr>
        <w:jc w:val="both"/>
        <w:ind w:left="328" w:hanging="328"/>
        <w:spacing w:after="0" w:line="249" w:lineRule="auto"/>
        <w:tabs>
          <w:tab w:leader="none" w:pos="323" w:val="left"/>
        </w:tabs>
        <w:numPr>
          <w:ilvl w:val="0"/>
          <w:numId w:val="93"/>
        </w:numPr>
        <w:rPr>
          <w:rFonts w:ascii="Arial" w:cs="Arial" w:eastAsia="Arial" w:hAnsi="Arial"/>
          <w:sz w:val="22"/>
          <w:szCs w:val="22"/>
          <w:color w:val="auto"/>
        </w:rPr>
      </w:pPr>
      <w:r>
        <w:rPr>
          <w:rFonts w:ascii="Times New Roman" w:cs="Times New Roman" w:eastAsia="Times New Roman" w:hAnsi="Times New Roman"/>
          <w:sz w:val="22"/>
          <w:szCs w:val="22"/>
          <w:color w:val="auto"/>
        </w:rPr>
        <w:t>Employees are required to understand their Policy 20 – Insider Trading responsibilities. Employees who have been notified that they must comply with certain trading window or blackout periods are subject to additional timing restrictions on trading in Chevron securities. In general, employees who are aware of material, non-public information may not complete a securities transaction until the first business day that is at least 24 hours after the time that the material, non-public information is publicly released. Further, employees who must comply with certain trading window or blackout periods under Policy 20 must cancel any Good ‘Til Cancelled orders during the periods in which trading is prohibited.</w:t>
      </w:r>
    </w:p>
    <w:p>
      <w:pPr>
        <w:spacing w:after="0" w:line="78" w:lineRule="exact"/>
        <w:rPr>
          <w:rFonts w:ascii="Arial" w:cs="Arial" w:eastAsia="Arial" w:hAnsi="Arial"/>
          <w:sz w:val="22"/>
          <w:szCs w:val="22"/>
          <w:color w:val="auto"/>
        </w:rPr>
      </w:pPr>
    </w:p>
    <w:p>
      <w:pPr>
        <w:jc w:val="both"/>
        <w:ind w:left="328" w:right="20" w:hanging="328"/>
        <w:spacing w:after="0" w:line="263" w:lineRule="auto"/>
        <w:tabs>
          <w:tab w:leader="none" w:pos="323"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clarity, with respect to the following Chevron plans, employees are restricted from trading in Chevron securities when they are aware of material, non-public information, or when they are subject to a Trading Window Period or trading blackout period as described in Policy 20, in the following instances:</w:t>
      </w:r>
    </w:p>
    <w:p>
      <w:pPr>
        <w:spacing w:after="0" w:line="59" w:lineRule="exact"/>
        <w:rPr>
          <w:rFonts w:ascii="Times New Roman" w:cs="Times New Roman" w:eastAsia="Times New Roman" w:hAnsi="Times New Roman"/>
          <w:sz w:val="22"/>
          <w:szCs w:val="22"/>
          <w:color w:val="auto"/>
        </w:rPr>
      </w:pPr>
    </w:p>
    <w:p>
      <w:pPr>
        <w:jc w:val="both"/>
        <w:ind w:left="968" w:hanging="320"/>
        <w:spacing w:after="0" w:line="251" w:lineRule="auto"/>
        <w:tabs>
          <w:tab w:leader="none" w:pos="977"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Option Exercises: (1) the sale of shares as part of a broker-assisted cashless exercise of an option; and (2) any other market sale for the purpose of generating the cash needed to pay the exercise price or tax withholding related to an option, as well as to the sale of the stock underlying the option. This restriction does not prohibit (a) the exercise of a stock option if employees pay the exercise price and tax withholding in cash and hold the underlying shares; (b) the withholding of shares by Chevron to satisfy tax withholding requirements; or (c) the receipt or vesting of stock options.</w:t>
      </w:r>
    </w:p>
    <w:p>
      <w:pPr>
        <w:spacing w:after="0" w:line="73" w:lineRule="exact"/>
        <w:rPr>
          <w:rFonts w:ascii="Times New Roman" w:cs="Times New Roman" w:eastAsia="Times New Roman" w:hAnsi="Times New Roman"/>
          <w:sz w:val="22"/>
          <w:szCs w:val="22"/>
          <w:color w:val="auto"/>
        </w:rPr>
      </w:pPr>
    </w:p>
    <w:p>
      <w:pPr>
        <w:jc w:val="both"/>
        <w:ind w:left="968" w:hanging="320"/>
        <w:spacing w:after="0" w:line="257" w:lineRule="auto"/>
        <w:tabs>
          <w:tab w:leader="none" w:pos="1004"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Stock Units: the sale of any shares underlying restricted share units awarded to employees. This restriction does not prohibit (1) the receipt or vesting of restricted stock units; or (2) the withholding of shares by Chevron to satisfy tax withholding requirements.</w:t>
      </w:r>
    </w:p>
    <w:p>
      <w:pPr>
        <w:spacing w:after="0" w:line="78" w:lineRule="exact"/>
        <w:rPr>
          <w:rFonts w:ascii="Times New Roman" w:cs="Times New Roman" w:eastAsia="Times New Roman" w:hAnsi="Times New Roman"/>
          <w:sz w:val="22"/>
          <w:szCs w:val="22"/>
          <w:color w:val="auto"/>
        </w:rPr>
      </w:pPr>
    </w:p>
    <w:p>
      <w:pPr>
        <w:jc w:val="both"/>
        <w:ind w:left="968" w:hanging="320"/>
        <w:spacing w:after="0" w:line="266" w:lineRule="auto"/>
        <w:tabs>
          <w:tab w:leader="none" w:pos="964"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Deferred Compensation Plan: (1) the selection into or out of the Chevron stock fund as an investment election; (2) an increase or decrease of the percentage of an employee’s periodic contributions to the Chevron stock fund; and</w:t>
      </w:r>
    </w:p>
    <w:p>
      <w:pPr>
        <w:spacing w:after="0" w:line="1" w:lineRule="exact"/>
        <w:rPr>
          <w:rFonts w:ascii="Times New Roman" w:cs="Times New Roman" w:eastAsia="Times New Roman" w:hAnsi="Times New Roman"/>
          <w:sz w:val="21"/>
          <w:szCs w:val="21"/>
          <w:color w:val="auto"/>
        </w:rPr>
      </w:pPr>
    </w:p>
    <w:p>
      <w:pPr>
        <w:ind w:left="968"/>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(3) an intra-plan transfer of an existing account balance into or out of the Chevron stock account.</w:t>
      </w:r>
    </w:p>
    <w:p>
      <w:pPr>
        <w:spacing w:after="0" w:line="87" w:lineRule="exact"/>
        <w:rPr>
          <w:rFonts w:ascii="Times New Roman" w:cs="Times New Roman" w:eastAsia="Times New Roman" w:hAnsi="Times New Roman"/>
          <w:sz w:val="21"/>
          <w:szCs w:val="21"/>
          <w:color w:val="auto"/>
        </w:rPr>
      </w:pPr>
    </w:p>
    <w:p>
      <w:pPr>
        <w:jc w:val="both"/>
        <w:ind w:left="968" w:hanging="320"/>
        <w:spacing w:after="0" w:line="251" w:lineRule="auto"/>
        <w:tabs>
          <w:tab w:leader="none" w:pos="964"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ESIP: (1) the selection into or out of the Chevron stock fund as an investment election; (2) an intra-plan transfer of an existing account balance into or out of the Chevron stock fund; (3) an election to borrow money against or withdraw funds from an employee’s account if the loan or withdrawal will result in a liquidation of some or all of the employee’s Chevron stock fund; and (4) an election to prepay a plan loan if the prepayment will result in additional loan payments elected outside of regular payroll deductions and/or early payoffs of outstanding loan balances.</w:t>
      </w:r>
    </w:p>
    <w:p>
      <w:pPr>
        <w:spacing w:after="0" w:line="73" w:lineRule="exact"/>
        <w:rPr>
          <w:rFonts w:ascii="Times New Roman" w:cs="Times New Roman" w:eastAsia="Times New Roman" w:hAnsi="Times New Roman"/>
          <w:sz w:val="22"/>
          <w:szCs w:val="22"/>
          <w:color w:val="auto"/>
        </w:rPr>
      </w:pPr>
    </w:p>
    <w:p>
      <w:pPr>
        <w:jc w:val="both"/>
        <w:ind w:left="328" w:hanging="328"/>
        <w:spacing w:after="0" w:line="263" w:lineRule="auto"/>
        <w:tabs>
          <w:tab w:leader="none" w:pos="323"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Deferred Compensation Plan and ESIP, this restriction does not prohibit continuing transactions in the Chevron stock fund that occur under an investment election that an employee made when the employee was not aware of material, non-public information or subject to a Trading Window Period or trading blackout period.</w:t>
      </w:r>
    </w:p>
    <w:p>
      <w:pPr>
        <w:sectPr>
          <w:pgSz w:w="11900" w:h="16838" w:orient="portrait"/>
          <w:cols w:equalWidth="0" w:num="1">
            <w:col w:w="10908"/>
          </w:cols>
          <w:pgMar w:left="652" w:top="1421" w:right="339" w:bottom="1440" w:gutter="0" w:footer="0" w:header="0"/>
        </w:sectPr>
      </w:pPr>
    </w:p>
    <w:bookmarkStart w:id="138" w:name="page139"/>
    <w:bookmarkEnd w:id="138"/>
    <w:p>
      <w:pPr>
        <w:jc w:val="both"/>
        <w:ind w:left="328" w:hanging="328"/>
        <w:spacing w:after="0" w:line="256" w:lineRule="auto"/>
        <w:tabs>
          <w:tab w:leader="none" w:pos="323"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Insider trading is a crime. Violation of insider trading laws may subject individuals to civil and criminal penalties, including fines and imprisonment. No violation is too small. Your fellow employees and Chevron itself may also be subject to such penalties, even if they did not authorize or condone the wrongdoing. Violation of Policy 20 will also lead to disciplinary action, up to and including discharge.</w:t>
      </w:r>
    </w:p>
    <w:p>
      <w:pPr>
        <w:sectPr>
          <w:pgSz w:w="11900" w:h="16838" w:orient="portrait"/>
          <w:cols w:equalWidth="0" w:num="1">
            <w:col w:w="10908"/>
          </w:cols>
          <w:pgMar w:left="652" w:top="1421"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tbl>
      <w:tblPr>
        <w:tblLayout w:type="fixed"/>
        <w:tblInd w:w="248" w:type="dxa"/>
        <w:tblCellMar>
          <w:top w:w="0" w:type="dxa"/>
          <w:left w:w="0" w:type="dxa"/>
          <w:bottom w:w="0" w:type="dxa"/>
          <w:right w:w="0" w:type="dxa"/>
        </w:tblCellMar>
      </w:tblPr>
      <w:tr>
        <w:trPr>
          <w:trHeight w:val="263"/>
        </w:trPr>
        <w:tc>
          <w:tcPr>
            <w:tcW w:w="9760" w:type="dxa"/>
            <w:vAlign w:val="bottom"/>
            <w:gridSpan w:val="2"/>
          </w:tcPr>
          <w:p>
            <w:pPr>
              <w:ind w:left="3020"/>
              <w:spacing w:after="0" w:line="263" w:lineRule="exact"/>
              <w:rPr>
                <w:sz w:val="20"/>
                <w:szCs w:val="20"/>
                <w:color w:val="auto"/>
              </w:rPr>
            </w:pPr>
            <w:r>
              <w:rPr>
                <w:rFonts w:ascii="Times New Roman" w:cs="Times New Roman" w:eastAsia="Times New Roman" w:hAnsi="Times New Roman"/>
                <w:sz w:val="18"/>
                <w:szCs w:val="18"/>
                <w:b w:val="1"/>
                <w:bCs w:val="1"/>
                <w:color w:val="auto"/>
              </w:rPr>
              <w:t>SUBSIDIARIES OF CHEVRON CORPORATION</w:t>
            </w:r>
            <w:r>
              <w:rPr>
                <w:rFonts w:ascii="Times New Roman" w:cs="Times New Roman" w:eastAsia="Times New Roman" w:hAnsi="Times New Roman"/>
                <w:sz w:val="23"/>
                <w:szCs w:val="23"/>
                <w:b w:val="1"/>
                <w:bCs w:val="1"/>
                <w:color w:val="auto"/>
                <w:vertAlign w:val="superscript"/>
              </w:rPr>
              <w:t>1</w:t>
            </w:r>
          </w:p>
        </w:tc>
      </w:tr>
      <w:tr>
        <w:trPr>
          <w:trHeight w:val="190"/>
        </w:trPr>
        <w:tc>
          <w:tcPr>
            <w:tcW w:w="4060" w:type="dxa"/>
            <w:vAlign w:val="bottom"/>
          </w:tcPr>
          <w:p>
            <w:pPr>
              <w:spacing w:after="0"/>
              <w:rPr>
                <w:sz w:val="16"/>
                <w:szCs w:val="16"/>
                <w:color w:val="auto"/>
              </w:rPr>
            </w:pPr>
          </w:p>
        </w:tc>
        <w:tc>
          <w:tcPr>
            <w:tcW w:w="57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At December 31, 2024</w:t>
            </w:r>
          </w:p>
        </w:tc>
      </w:tr>
      <w:tr>
        <w:trPr>
          <w:trHeight w:val="496"/>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570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rPr>
              <w:t>State, Province or Country in Which Organized</w:t>
            </w:r>
          </w:p>
        </w:tc>
      </w:tr>
      <w:tr>
        <w:trPr>
          <w:trHeight w:val="218"/>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Cabinda Gulf Oil Company Limited</w:t>
            </w:r>
          </w:p>
        </w:tc>
        <w:tc>
          <w:tcPr>
            <w:tcW w:w="57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Bermuda</w:t>
            </w: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Chevron Argentina S.R.L.</w:t>
            </w:r>
          </w:p>
        </w:tc>
        <w:tc>
          <w:tcPr>
            <w:tcW w:w="57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Argentina</w:t>
            </w: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Chevron Australia Pty Ltd</w:t>
            </w:r>
          </w:p>
        </w:tc>
        <w:tc>
          <w:tcPr>
            <w:tcW w:w="57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Australia</w:t>
            </w: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Chevron Australia Holdings Pty Ltd</w:t>
            </w:r>
          </w:p>
        </w:tc>
        <w:tc>
          <w:tcPr>
            <w:tcW w:w="57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Australia</w:t>
            </w: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Chevron Canada Limited</w:t>
            </w:r>
          </w:p>
        </w:tc>
        <w:tc>
          <w:tcPr>
            <w:tcW w:w="57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Canada</w:t>
            </w: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Chevron Global Energy Inc.</w:t>
            </w:r>
          </w:p>
        </w:tc>
        <w:tc>
          <w:tcPr>
            <w:tcW w:w="57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Chevron Global Technology Services Company</w:t>
            </w:r>
          </w:p>
        </w:tc>
        <w:tc>
          <w:tcPr>
            <w:tcW w:w="57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Chevron Investments Inc.</w:t>
            </w:r>
          </w:p>
        </w:tc>
        <w:tc>
          <w:tcPr>
            <w:tcW w:w="57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Chevron LNG Shipping Company Limited</w:t>
            </w:r>
          </w:p>
        </w:tc>
        <w:tc>
          <w:tcPr>
            <w:tcW w:w="57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Bermuda</w:t>
            </w: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Chevron Nigeria Limited</w:t>
            </w:r>
          </w:p>
        </w:tc>
        <w:tc>
          <w:tcPr>
            <w:tcW w:w="57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Nigeria</w:t>
            </w: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Chevron Overseas Company</w:t>
            </w:r>
          </w:p>
        </w:tc>
        <w:tc>
          <w:tcPr>
            <w:tcW w:w="57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Chevron (Overseas) Holdings Limited</w:t>
            </w:r>
          </w:p>
        </w:tc>
        <w:tc>
          <w:tcPr>
            <w:tcW w:w="57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Chevron Overseas Petroleum Limited</w:t>
            </w:r>
          </w:p>
        </w:tc>
        <w:tc>
          <w:tcPr>
            <w:tcW w:w="57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Bahamas</w:t>
            </w: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Chevron Petroleum Company</w:t>
            </w:r>
          </w:p>
        </w:tc>
        <w:tc>
          <w:tcPr>
            <w:tcW w:w="57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New Jersey</w:t>
            </w: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Chevron Petroleum Limited</w:t>
            </w:r>
          </w:p>
        </w:tc>
        <w:tc>
          <w:tcPr>
            <w:tcW w:w="57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Bermuda</w:t>
            </w: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Chevron Petroleum Nigeria Limited</w:t>
            </w:r>
          </w:p>
        </w:tc>
        <w:tc>
          <w:tcPr>
            <w:tcW w:w="57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Nigeria</w:t>
            </w: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Chevron Thailand Exploration and Production, Ltd.</w:t>
            </w:r>
          </w:p>
        </w:tc>
        <w:tc>
          <w:tcPr>
            <w:tcW w:w="57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Bermuda</w:t>
            </w: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Chevron (Thailand) Limited</w:t>
            </w:r>
          </w:p>
        </w:tc>
        <w:tc>
          <w:tcPr>
            <w:tcW w:w="57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Bahamas</w:t>
            </w: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Chevron Thailand LLC</w:t>
            </w:r>
          </w:p>
        </w:tc>
        <w:tc>
          <w:tcPr>
            <w:tcW w:w="57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Chevron U.S.A. Holdings Inc.</w:t>
            </w:r>
          </w:p>
        </w:tc>
        <w:tc>
          <w:tcPr>
            <w:tcW w:w="57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Chevron U.S.A. Inc.</w:t>
            </w:r>
          </w:p>
        </w:tc>
        <w:tc>
          <w:tcPr>
            <w:tcW w:w="57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Pennsylvania</w:t>
            </w: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Chevron Venezuela Holdings LLC</w:t>
            </w:r>
          </w:p>
        </w:tc>
        <w:tc>
          <w:tcPr>
            <w:tcW w:w="57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Noble Energy, Inc.</w:t>
            </w:r>
          </w:p>
        </w:tc>
        <w:tc>
          <w:tcPr>
            <w:tcW w:w="57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PDC Energy, Inc.</w:t>
            </w:r>
          </w:p>
        </w:tc>
        <w:tc>
          <w:tcPr>
            <w:tcW w:w="57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PT Chevron Pacific Indonesia</w:t>
            </w:r>
          </w:p>
        </w:tc>
        <w:tc>
          <w:tcPr>
            <w:tcW w:w="57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Indonesia</w:t>
            </w: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Renewable Energy Group, Inc.</w:t>
            </w:r>
          </w:p>
        </w:tc>
        <w:tc>
          <w:tcPr>
            <w:tcW w:w="57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Saudi Arabian Chevron Inc.</w:t>
            </w:r>
          </w:p>
        </w:tc>
        <w:tc>
          <w:tcPr>
            <w:tcW w:w="57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Star Petroleum Refining Public Company Limited</w:t>
            </w:r>
          </w:p>
        </w:tc>
        <w:tc>
          <w:tcPr>
            <w:tcW w:w="57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Thailand</w:t>
            </w: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Texaco Inc.</w:t>
            </w:r>
          </w:p>
        </w:tc>
        <w:tc>
          <w:tcPr>
            <w:tcW w:w="57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Texaco Overseas Holdings Inc.</w:t>
            </w:r>
          </w:p>
        </w:tc>
        <w:tc>
          <w:tcPr>
            <w:tcW w:w="57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Texaco Venezuela Holdings (I) Company</w:t>
            </w:r>
          </w:p>
        </w:tc>
        <w:tc>
          <w:tcPr>
            <w:tcW w:w="57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Union Oil Company of California</w:t>
            </w:r>
          </w:p>
        </w:tc>
        <w:tc>
          <w:tcPr>
            <w:tcW w:w="57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California</w:t>
            </w: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Unocal Corporation</w:t>
            </w:r>
          </w:p>
        </w:tc>
        <w:tc>
          <w:tcPr>
            <w:tcW w:w="57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Unocal International Corporation</w:t>
            </w:r>
          </w:p>
        </w:tc>
        <w:tc>
          <w:tcPr>
            <w:tcW w:w="57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Nevada</w:t>
            </w:r>
          </w:p>
        </w:tc>
      </w:tr>
    </w:tbl>
    <w:p>
      <w:pPr>
        <w:spacing w:after="0" w:line="76" w:lineRule="exact"/>
        <w:rPr>
          <w:sz w:val="20"/>
          <w:szCs w:val="20"/>
          <w:color w:val="auto"/>
        </w:rPr>
      </w:pPr>
    </w:p>
    <w:p>
      <w:pPr>
        <w:ind w:left="168" w:hanging="168"/>
        <w:spacing w:after="0" w:line="225" w:lineRule="auto"/>
        <w:tabs>
          <w:tab w:leader="none" w:pos="200" w:val="left"/>
        </w:tabs>
        <w:numPr>
          <w:ilvl w:val="0"/>
          <w:numId w:val="9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All of the subsidiaries in the above list are wholly owned, either directly or indirectly, by Chevron Corporation. Certain subsidiaries are not listed since, considered in the aggregate as a single subsidiary, they would not constitute a significant subsidiary at December 31, 2024.</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E-1</w:t>
      </w:r>
    </w:p>
    <w:p>
      <w:pPr>
        <w:sectPr>
          <w:pgSz w:w="11900" w:h="16838" w:orient="portrait"/>
          <w:cols w:equalWidth="0" w:num="1">
            <w:col w:w="10908"/>
          </w:cols>
          <w:pgMar w:left="652" w:top="887"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Subsidiary Issuer of Guaranteed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Chevron Corporation (Parent Guarantor) was the sole guarantor of the following unsecured notes issued by Chevron U.S.A.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Issuer), a Pennsylvania corporation and wholly-owned subsidiary of Parent Guarantor: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0.687% notes due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1.018% notes due 2027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8.000% notes due 2027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3.850% notes due 2028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3.250% notes due 2029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6.000% notes due 2041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5.250% notes due 2043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5.050% notes due 2044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4.950% notes due 2047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4.200% notes due 2049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2.343% notes due 2050</w:t>
      </w:r>
    </w:p>
    <w:p>
      <w:pPr>
        <w:sectPr>
          <w:pgSz w:w="11900" w:h="16838" w:orient="portrait"/>
          <w:cols w:equalWidth="0" w:num="1">
            <w:col w:w="11240"/>
          </w:cols>
          <w:pgMar w:left="320" w:top="1413"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(Nos. 333-283053, 333-283054) and Form S-8 (Nos. 333-265728, 333-258484, 333-244369, 333-212894, 333-212893, 333-202203, 333-190422, 333-190421, 333-152846, 333-105136, 333-72672, 333-26731) of Chevron Corporation of our report dated February 21, 2025 relating to the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2025</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E-2</w:t>
      </w:r>
    </w:p>
    <w:p>
      <w:pPr>
        <w:sectPr>
          <w:pgSz w:w="11900" w:h="16838" w:orient="portrait"/>
          <w:cols w:equalWidth="0" w:num="1">
            <w:col w:w="11240"/>
          </w:cols>
          <w:pgMar w:left="320" w:top="887"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POWER OF ATTORNEY</w:t>
      </w:r>
    </w:p>
    <w:p>
      <w:pPr>
        <w:spacing w:after="0" w:line="200" w:lineRule="exact"/>
        <w:rPr>
          <w:sz w:val="20"/>
          <w:szCs w:val="20"/>
          <w:color w:val="auto"/>
        </w:rPr>
      </w:pPr>
    </w:p>
    <w:p>
      <w:pPr>
        <w:spacing w:after="0" w:line="268" w:lineRule="exact"/>
        <w:rPr>
          <w:sz w:val="20"/>
          <w:szCs w:val="20"/>
          <w:color w:val="auto"/>
        </w:rPr>
      </w:pPr>
    </w:p>
    <w:p>
      <w:pPr>
        <w:ind w:right="180" w:firstLine="18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Chevron Corporation, a Delaware corporation (the "Corporation"), contemplates filing with the United States Securities and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Commission in Washington, D.C., under the provisions of the Securities Exchange Act of 1934, as amended, and the regulations promulgated thereunder, an Annual Report on Form 10-K for the year ended December 31, 2024;</w:t>
      </w:r>
    </w:p>
    <w:p>
      <w:pPr>
        <w:spacing w:after="0" w:line="1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undersigned is an officer or director, or both, of the Corporation;</w:t>
      </w:r>
    </w:p>
    <w:p>
      <w:pPr>
        <w:spacing w:after="0" w:line="225" w:lineRule="exact"/>
        <w:rPr>
          <w:sz w:val="20"/>
          <w:szCs w:val="20"/>
          <w:color w:val="auto"/>
        </w:rPr>
      </w:pPr>
    </w:p>
    <w:p>
      <w:pPr>
        <w:ind w:right="200" w:firstLine="180"/>
        <w:spacing w:after="0" w:line="25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undersigned hereby constitutes and appoints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MARY A. FRANCIS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CHRISTOPHER A. BUTNER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CHRISTINE 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CAVALLO, KARI H. ENDRIES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ROSE Z. PIERSON,</w:t>
      </w:r>
      <w:r>
        <w:rPr>
          <w:rFonts w:ascii="Times New Roman" w:cs="Times New Roman" w:eastAsia="Times New Roman" w:hAnsi="Times New Roman"/>
          <w:sz w:val="18"/>
          <w:szCs w:val="18"/>
          <w:color w:val="auto"/>
        </w:rPr>
        <w:t xml:space="preserve"> or any of them, his or her attorneys-in-fact and agents, with full power of substitution and resubstitution, for such person and in his or her name, place and stead, in any and all capacities, to sign the aforementioned Annual Report on Form 10-K (and any and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as to all intents and purposes he or she might or could do in person, hereby ratifying and confirming all that said attorneys-in-fact and agents, or their substitutes, may lawfully do and cause to be done by virtue hereof.</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has hereunto set his or her hand as of this 3rd day of January, 2025.</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2800"/>
        <w:spacing w:after="0"/>
        <w:rPr>
          <w:sz w:val="20"/>
          <w:szCs w:val="20"/>
          <w:color w:val="auto"/>
        </w:rPr>
      </w:pPr>
      <w:r>
        <w:rPr>
          <w:rFonts w:ascii="Times New Roman" w:cs="Times New Roman" w:eastAsia="Times New Roman" w:hAnsi="Times New Roman"/>
          <w:sz w:val="18"/>
          <w:szCs w:val="18"/>
          <w:color w:val="auto"/>
        </w:rPr>
        <w:t>/s/ Wanda M. Austin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28371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9">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16" w:lineRule="exact"/>
        <w:rPr>
          <w:sz w:val="20"/>
          <w:szCs w:val="20"/>
          <w:color w:val="auto"/>
        </w:rPr>
      </w:pPr>
    </w:p>
    <w:p>
      <w:pPr>
        <w:jc w:val="center"/>
        <w:ind w:right="2800"/>
        <w:spacing w:after="0"/>
        <w:rPr>
          <w:sz w:val="20"/>
          <w:szCs w:val="20"/>
          <w:color w:val="auto"/>
        </w:rPr>
      </w:pPr>
      <w:r>
        <w:rPr>
          <w:rFonts w:ascii="Times New Roman" w:cs="Times New Roman" w:eastAsia="Times New Roman" w:hAnsi="Times New Roman"/>
          <w:sz w:val="18"/>
          <w:szCs w:val="18"/>
          <w:color w:val="auto"/>
        </w:rPr>
        <w:t>Wanda M. Austin</w:t>
      </w:r>
    </w:p>
    <w:p>
      <w:pPr>
        <w:spacing w:after="0" w:line="293" w:lineRule="exact"/>
        <w:rPr>
          <w:sz w:val="20"/>
          <w:szCs w:val="20"/>
          <w:color w:val="auto"/>
        </w:rPr>
      </w:pPr>
    </w:p>
    <w:p>
      <w:pPr>
        <w:jc w:val="center"/>
        <w:ind w:right="2800"/>
        <w:spacing w:after="0"/>
        <w:rPr>
          <w:sz w:val="20"/>
          <w:szCs w:val="20"/>
          <w:color w:val="auto"/>
        </w:rPr>
      </w:pPr>
      <w:r>
        <w:rPr>
          <w:rFonts w:ascii="Times New Roman" w:cs="Times New Roman" w:eastAsia="Times New Roman" w:hAnsi="Times New Roman"/>
          <w:sz w:val="18"/>
          <w:szCs w:val="18"/>
          <w:color w:val="auto"/>
        </w:rPr>
        <w:t>/s/ John B.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28371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0">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16" w:lineRule="exact"/>
        <w:rPr>
          <w:sz w:val="20"/>
          <w:szCs w:val="20"/>
          <w:color w:val="auto"/>
        </w:rPr>
      </w:pPr>
    </w:p>
    <w:p>
      <w:pPr>
        <w:jc w:val="center"/>
        <w:ind w:right="2800"/>
        <w:spacing w:after="0"/>
        <w:rPr>
          <w:sz w:val="20"/>
          <w:szCs w:val="20"/>
          <w:color w:val="auto"/>
        </w:rPr>
      </w:pPr>
      <w:r>
        <w:rPr>
          <w:rFonts w:ascii="Times New Roman" w:cs="Times New Roman" w:eastAsia="Times New Roman" w:hAnsi="Times New Roman"/>
          <w:sz w:val="18"/>
          <w:szCs w:val="18"/>
          <w:color w:val="auto"/>
        </w:rPr>
        <w:t>John B. Frank</w:t>
      </w:r>
    </w:p>
    <w:p>
      <w:pPr>
        <w:spacing w:after="0" w:line="293" w:lineRule="exact"/>
        <w:rPr>
          <w:sz w:val="20"/>
          <w:szCs w:val="20"/>
          <w:color w:val="auto"/>
        </w:rPr>
      </w:pPr>
    </w:p>
    <w:p>
      <w:pPr>
        <w:jc w:val="center"/>
        <w:ind w:right="2800"/>
        <w:spacing w:after="0"/>
        <w:rPr>
          <w:sz w:val="20"/>
          <w:szCs w:val="20"/>
          <w:color w:val="auto"/>
        </w:rPr>
      </w:pPr>
      <w:r>
        <w:rPr>
          <w:rFonts w:ascii="Times New Roman" w:cs="Times New Roman" w:eastAsia="Times New Roman" w:hAnsi="Times New Roman"/>
          <w:sz w:val="18"/>
          <w:szCs w:val="18"/>
          <w:color w:val="auto"/>
        </w:rPr>
        <w:t>/s/ Alice P. Gast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28371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1">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16" w:lineRule="exact"/>
        <w:rPr>
          <w:sz w:val="20"/>
          <w:szCs w:val="20"/>
          <w:color w:val="auto"/>
        </w:rPr>
      </w:pPr>
    </w:p>
    <w:p>
      <w:pPr>
        <w:jc w:val="center"/>
        <w:ind w:right="2800"/>
        <w:spacing w:after="0"/>
        <w:rPr>
          <w:sz w:val="20"/>
          <w:szCs w:val="20"/>
          <w:color w:val="auto"/>
        </w:rPr>
      </w:pPr>
      <w:r>
        <w:rPr>
          <w:rFonts w:ascii="Times New Roman" w:cs="Times New Roman" w:eastAsia="Times New Roman" w:hAnsi="Times New Roman"/>
          <w:sz w:val="18"/>
          <w:szCs w:val="18"/>
          <w:color w:val="auto"/>
        </w:rPr>
        <w:t>Alice P. Gast</w:t>
      </w:r>
    </w:p>
    <w:p>
      <w:pPr>
        <w:spacing w:after="0" w:line="293" w:lineRule="exact"/>
        <w:rPr>
          <w:sz w:val="20"/>
          <w:szCs w:val="20"/>
          <w:color w:val="auto"/>
        </w:rPr>
      </w:pPr>
    </w:p>
    <w:p>
      <w:pPr>
        <w:jc w:val="center"/>
        <w:ind w:right="2800"/>
        <w:spacing w:after="0"/>
        <w:rPr>
          <w:sz w:val="20"/>
          <w:szCs w:val="20"/>
          <w:color w:val="auto"/>
        </w:rPr>
      </w:pPr>
      <w:r>
        <w:rPr>
          <w:rFonts w:ascii="Times New Roman" w:cs="Times New Roman" w:eastAsia="Times New Roman" w:hAnsi="Times New Roman"/>
          <w:sz w:val="17"/>
          <w:szCs w:val="17"/>
          <w:color w:val="auto"/>
        </w:rPr>
        <w:t>/s/ Enrique Hernandez,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24765</wp:posOffset>
            </wp:positionV>
            <wp:extent cx="28371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2">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28" w:lineRule="exact"/>
        <w:rPr>
          <w:sz w:val="20"/>
          <w:szCs w:val="20"/>
          <w:color w:val="auto"/>
        </w:rPr>
      </w:pPr>
    </w:p>
    <w:p>
      <w:pPr>
        <w:jc w:val="center"/>
        <w:ind w:right="2800"/>
        <w:spacing w:after="0"/>
        <w:rPr>
          <w:sz w:val="20"/>
          <w:szCs w:val="20"/>
          <w:color w:val="auto"/>
        </w:rPr>
      </w:pPr>
      <w:r>
        <w:rPr>
          <w:rFonts w:ascii="Times New Roman" w:cs="Times New Roman" w:eastAsia="Times New Roman" w:hAnsi="Times New Roman"/>
          <w:sz w:val="18"/>
          <w:szCs w:val="18"/>
          <w:color w:val="auto"/>
        </w:rPr>
        <w:t>Enrique Hernandez, Jr.</w:t>
      </w:r>
    </w:p>
    <w:p>
      <w:pPr>
        <w:spacing w:after="0" w:line="293" w:lineRule="exact"/>
        <w:rPr>
          <w:sz w:val="20"/>
          <w:szCs w:val="20"/>
          <w:color w:val="auto"/>
        </w:rPr>
      </w:pPr>
    </w:p>
    <w:p>
      <w:pPr>
        <w:jc w:val="center"/>
        <w:ind w:right="2800"/>
        <w:spacing w:after="0"/>
        <w:rPr>
          <w:sz w:val="20"/>
          <w:szCs w:val="20"/>
          <w:color w:val="auto"/>
        </w:rPr>
      </w:pPr>
      <w:r>
        <w:rPr>
          <w:rFonts w:ascii="Times New Roman" w:cs="Times New Roman" w:eastAsia="Times New Roman" w:hAnsi="Times New Roman"/>
          <w:sz w:val="18"/>
          <w:szCs w:val="18"/>
          <w:color w:val="auto"/>
        </w:rPr>
        <w:t>/s/ Marillyn A. Hewson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28371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3">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16" w:lineRule="exact"/>
        <w:rPr>
          <w:sz w:val="20"/>
          <w:szCs w:val="20"/>
          <w:color w:val="auto"/>
        </w:rPr>
      </w:pPr>
    </w:p>
    <w:p>
      <w:pPr>
        <w:jc w:val="center"/>
        <w:ind w:right="2800"/>
        <w:spacing w:after="0"/>
        <w:rPr>
          <w:sz w:val="20"/>
          <w:szCs w:val="20"/>
          <w:color w:val="auto"/>
        </w:rPr>
      </w:pPr>
      <w:r>
        <w:rPr>
          <w:rFonts w:ascii="Times New Roman" w:cs="Times New Roman" w:eastAsia="Times New Roman" w:hAnsi="Times New Roman"/>
          <w:sz w:val="18"/>
          <w:szCs w:val="18"/>
          <w:color w:val="auto"/>
        </w:rPr>
        <w:t>Marillyn A. Hewson</w:t>
      </w:r>
    </w:p>
    <w:p>
      <w:pPr>
        <w:spacing w:after="0" w:line="293" w:lineRule="exact"/>
        <w:rPr>
          <w:sz w:val="20"/>
          <w:szCs w:val="20"/>
          <w:color w:val="auto"/>
        </w:rPr>
      </w:pPr>
    </w:p>
    <w:p>
      <w:pPr>
        <w:jc w:val="center"/>
        <w:ind w:right="2800"/>
        <w:spacing w:after="0"/>
        <w:rPr>
          <w:sz w:val="20"/>
          <w:szCs w:val="20"/>
          <w:color w:val="auto"/>
        </w:rPr>
      </w:pPr>
      <w:r>
        <w:rPr>
          <w:rFonts w:ascii="Times New Roman" w:cs="Times New Roman" w:eastAsia="Times New Roman" w:hAnsi="Times New Roman"/>
          <w:sz w:val="18"/>
          <w:szCs w:val="18"/>
          <w:color w:val="auto"/>
        </w:rPr>
        <w:t>/s/ Jon M. Huntsman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28371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4">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16" w:lineRule="exact"/>
        <w:rPr>
          <w:sz w:val="20"/>
          <w:szCs w:val="20"/>
          <w:color w:val="auto"/>
        </w:rPr>
      </w:pPr>
    </w:p>
    <w:p>
      <w:pPr>
        <w:jc w:val="center"/>
        <w:ind w:right="2800"/>
        <w:spacing w:after="0"/>
        <w:rPr>
          <w:sz w:val="20"/>
          <w:szCs w:val="20"/>
          <w:color w:val="auto"/>
        </w:rPr>
      </w:pPr>
      <w:r>
        <w:rPr>
          <w:rFonts w:ascii="Times New Roman" w:cs="Times New Roman" w:eastAsia="Times New Roman" w:hAnsi="Times New Roman"/>
          <w:sz w:val="18"/>
          <w:szCs w:val="18"/>
          <w:color w:val="auto"/>
        </w:rPr>
        <w:t>Jon M. Huntsman Jr.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8"/>
          <w:szCs w:val="18"/>
          <w:color w:val="auto"/>
        </w:rPr>
        <w:t>/s/ Charles W. Moorman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17145</wp:posOffset>
            </wp:positionV>
            <wp:extent cx="28460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8"/>
          <w:szCs w:val="18"/>
          <w:color w:val="auto"/>
        </w:rPr>
        <w:t>Charles W. Moorman</w:t>
      </w:r>
    </w:p>
    <w:p>
      <w:pPr>
        <w:spacing w:after="0" w:line="293"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8"/>
          <w:szCs w:val="18"/>
          <w:color w:val="auto"/>
        </w:rPr>
        <w:t>/s/ Dambisa F. Moyo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17145</wp:posOffset>
            </wp:positionV>
            <wp:extent cx="284607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8"/>
          <w:szCs w:val="18"/>
          <w:color w:val="auto"/>
        </w:rPr>
        <w:t>Dambisa F. Moyo</w:t>
      </w:r>
    </w:p>
    <w:p>
      <w:pPr>
        <w:spacing w:after="0" w:line="293"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8"/>
          <w:szCs w:val="18"/>
          <w:color w:val="auto"/>
        </w:rPr>
        <w:t>/s/ Debra Reed-Klages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17145</wp:posOffset>
            </wp:positionV>
            <wp:extent cx="284607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8"/>
          <w:szCs w:val="18"/>
          <w:color w:val="auto"/>
        </w:rPr>
        <w:t>Debra Reed-Klages</w:t>
      </w:r>
    </w:p>
    <w:p>
      <w:pPr>
        <w:spacing w:after="0" w:line="293"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8"/>
          <w:szCs w:val="18"/>
          <w:color w:val="auto"/>
        </w:rPr>
        <w:t>/s/ D. James Umpleby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17145</wp:posOffset>
            </wp:positionV>
            <wp:extent cx="284607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8"/>
          <w:szCs w:val="18"/>
          <w:color w:val="auto"/>
        </w:rPr>
        <w:t>D. James Umpleby III</w:t>
      </w:r>
    </w:p>
    <w:p>
      <w:pPr>
        <w:spacing w:after="0" w:line="293"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8"/>
          <w:szCs w:val="18"/>
          <w:color w:val="auto"/>
        </w:rPr>
        <w:t>/s/ Cynthia J. Warner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17145</wp:posOffset>
            </wp:positionV>
            <wp:extent cx="28460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8"/>
          <w:szCs w:val="18"/>
          <w:color w:val="auto"/>
        </w:rPr>
        <w:t>Cynthia J. Warner</w:t>
      </w:r>
    </w:p>
    <w:p>
      <w:pPr>
        <w:spacing w:after="0" w:line="293"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8"/>
          <w:szCs w:val="18"/>
          <w:color w:val="auto"/>
        </w:rPr>
        <w:t>/s/ Michael K. Wirth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17145</wp:posOffset>
            </wp:positionV>
            <wp:extent cx="28460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8"/>
          <w:szCs w:val="18"/>
          <w:color w:val="auto"/>
        </w:rPr>
        <w:t>Michael K. Wirth</w:t>
      </w:r>
    </w:p>
    <w:p>
      <w:pPr>
        <w:sectPr>
          <w:pgSz w:w="11900" w:h="16838" w:orient="portrait"/>
          <w:cols w:equalWidth="0" w:num="2">
            <w:col w:w="7340" w:space="720"/>
            <w:col w:w="3180"/>
          </w:cols>
          <w:pgMar w:left="320" w:top="887" w:right="339" w:bottom="1440" w:gutter="0" w:footer="0" w:header="0"/>
          <w:type w:val="continuous"/>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K. Wirth, certify that:</w:t>
      </w:r>
    </w:p>
    <w:p>
      <w:pPr>
        <w:spacing w:after="0" w:line="252" w:lineRule="exact"/>
        <w:rPr>
          <w:sz w:val="20"/>
          <w:szCs w:val="20"/>
          <w:color w:val="auto"/>
        </w:rPr>
      </w:pPr>
    </w:p>
    <w:p>
      <w:pPr>
        <w:ind w:left="660" w:hanging="328"/>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Chevron Corporation;</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060" w:hanging="242"/>
        <w:spacing w:after="0" w:line="266" w:lineRule="auto"/>
        <w:tabs>
          <w:tab w:leader="none" w:pos="1057"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060" w:hanging="242"/>
        <w:spacing w:after="0" w:line="266" w:lineRule="auto"/>
        <w:tabs>
          <w:tab w:leader="none" w:pos="105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060" w:right="20" w:hanging="242"/>
        <w:spacing w:after="0" w:line="282" w:lineRule="auto"/>
        <w:tabs>
          <w:tab w:leader="none" w:pos="1057"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060" w:hanging="242"/>
        <w:spacing w:after="0" w:line="266" w:lineRule="auto"/>
        <w:tabs>
          <w:tab w:leader="none" w:pos="105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060" w:hanging="242"/>
        <w:spacing w:after="0" w:line="282" w:lineRule="auto"/>
        <w:tabs>
          <w:tab w:leader="none" w:pos="1057"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060" w:right="20" w:hanging="242"/>
        <w:spacing w:after="0" w:line="273" w:lineRule="auto"/>
        <w:tabs>
          <w:tab w:leader="none" w:pos="105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8080"/>
        <w:spacing w:after="0"/>
        <w:tabs>
          <w:tab w:leader="none" w:pos="842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M</w:t>
      </w:r>
      <w:r>
        <w:rPr>
          <w:rFonts w:ascii="Times New Roman" w:cs="Times New Roman" w:eastAsia="Times New Roman" w:hAnsi="Times New Roman"/>
          <w:sz w:val="14"/>
          <w:szCs w:val="14"/>
          <w:color w:val="auto"/>
        </w:rPr>
        <w:t>ICHAEL</w:t>
      </w:r>
      <w:r>
        <w:rPr>
          <w:rFonts w:ascii="Times New Roman" w:cs="Times New Roman" w:eastAsia="Times New Roman" w:hAnsi="Times New Roman"/>
          <w:sz w:val="18"/>
          <w:szCs w:val="18"/>
          <w:color w:val="auto"/>
        </w:rPr>
        <w:t xml:space="preserve"> K. W</w:t>
      </w:r>
      <w:r>
        <w:rPr>
          <w:rFonts w:ascii="Times New Roman" w:cs="Times New Roman" w:eastAsia="Times New Roman" w:hAnsi="Times New Roman"/>
          <w:sz w:val="14"/>
          <w:szCs w:val="14"/>
          <w:color w:val="auto"/>
        </w:rPr>
        <w:t>IRTH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26035</wp:posOffset>
            </wp:positionV>
            <wp:extent cx="289750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1">
                      <a:extLst>
                        <a:ext uri="{28A0092B-C50C-407E-A947-70E740481C1C}"/>
                      </a:extLst>
                    </a:blip>
                    <a:srcRect/>
                    <a:stretch>
                      <a:fillRect/>
                    </a:stretch>
                  </pic:blipFill>
                  <pic:spPr bwMode="auto">
                    <a:xfrm>
                      <a:off x="0" y="0"/>
                      <a:ext cx="2897505" cy="8890"/>
                    </a:xfrm>
                    <a:prstGeom prst="rect">
                      <a:avLst/>
                    </a:prstGeom>
                    <a:noFill/>
                  </pic:spPr>
                </pic:pic>
              </a:graphicData>
            </a:graphic>
          </wp:anchor>
        </w:drawing>
      </w:r>
    </w:p>
    <w:p>
      <w:pPr>
        <w:spacing w:after="0" w:line="18" w:lineRule="exact"/>
        <w:rPr>
          <w:sz w:val="20"/>
          <w:szCs w:val="20"/>
          <w:color w:val="auto"/>
        </w:rPr>
      </w:pPr>
    </w:p>
    <w:p>
      <w:pPr>
        <w:jc w:val="center"/>
        <w:ind w:left="6660"/>
        <w:spacing w:after="0"/>
        <w:rPr>
          <w:sz w:val="20"/>
          <w:szCs w:val="20"/>
          <w:color w:val="auto"/>
        </w:rPr>
      </w:pPr>
      <w:r>
        <w:rPr>
          <w:rFonts w:ascii="Times New Roman" w:cs="Times New Roman" w:eastAsia="Times New Roman" w:hAnsi="Times New Roman"/>
          <w:sz w:val="18"/>
          <w:szCs w:val="18"/>
          <w:color w:val="auto"/>
        </w:rPr>
        <w:t>Michael K. Wirth</w:t>
      </w:r>
    </w:p>
    <w:p>
      <w:pPr>
        <w:jc w:val="center"/>
        <w:ind w:left="6660"/>
        <w:spacing w:after="0" w:line="203" w:lineRule="auto"/>
        <w:rPr>
          <w:sz w:val="20"/>
          <w:szCs w:val="20"/>
          <w:color w:val="auto"/>
        </w:rPr>
      </w:pPr>
      <w:r>
        <w:rPr>
          <w:rFonts w:ascii="Times New Roman" w:cs="Times New Roman" w:eastAsia="Times New Roman" w:hAnsi="Times New Roman"/>
          <w:sz w:val="18"/>
          <w:szCs w:val="18"/>
          <w:i w:val="1"/>
          <w:iCs w:val="1"/>
          <w:color w:val="auto"/>
        </w:rPr>
        <w:t>Chairman of the Board and</w:t>
      </w:r>
    </w:p>
    <w:p>
      <w:pPr>
        <w:jc w:val="center"/>
        <w:ind w:left="66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21, 2025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E-3</w:t>
      </w:r>
    </w:p>
    <w:p>
      <w:pPr>
        <w:sectPr>
          <w:pgSz w:w="11900" w:h="16838" w:orient="portrait"/>
          <w:cols w:equalWidth="0" w:num="1">
            <w:col w:w="11240"/>
          </w:cols>
          <w:pgMar w:left="320" w:top="765"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Eimear P. Bonner, certify that:</w:t>
      </w:r>
    </w:p>
    <w:p>
      <w:pPr>
        <w:spacing w:after="0" w:line="252" w:lineRule="exact"/>
        <w:rPr>
          <w:sz w:val="20"/>
          <w:szCs w:val="20"/>
          <w:color w:val="auto"/>
        </w:rPr>
      </w:pPr>
    </w:p>
    <w:p>
      <w:pPr>
        <w:ind w:left="660" w:hanging="409"/>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Chevron Corporation;</w:t>
      </w:r>
    </w:p>
    <w:p>
      <w:pPr>
        <w:spacing w:after="0" w:line="252" w:lineRule="exact"/>
        <w:rPr>
          <w:rFonts w:ascii="Times New Roman" w:cs="Times New Roman" w:eastAsia="Times New Roman" w:hAnsi="Times New Roman"/>
          <w:sz w:val="18"/>
          <w:szCs w:val="18"/>
          <w:color w:val="auto"/>
        </w:rPr>
      </w:pPr>
    </w:p>
    <w:p>
      <w:pPr>
        <w:jc w:val="both"/>
        <w:ind w:left="660" w:hanging="409"/>
        <w:spacing w:after="0" w:line="266"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409"/>
        <w:spacing w:after="0" w:line="282"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409"/>
        <w:spacing w:after="0" w:line="266"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060" w:hanging="242"/>
        <w:spacing w:after="0" w:line="266" w:lineRule="auto"/>
        <w:tabs>
          <w:tab w:leader="none" w:pos="1057"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060" w:hanging="242"/>
        <w:spacing w:after="0" w:line="266" w:lineRule="auto"/>
        <w:tabs>
          <w:tab w:leader="none" w:pos="1054"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060" w:right="20" w:hanging="242"/>
        <w:spacing w:after="0" w:line="282" w:lineRule="auto"/>
        <w:tabs>
          <w:tab w:leader="none" w:pos="1057"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060" w:hanging="242"/>
        <w:spacing w:after="0" w:line="266" w:lineRule="auto"/>
        <w:tabs>
          <w:tab w:leader="none" w:pos="1054"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409"/>
        <w:spacing w:after="0" w:line="282"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060" w:hanging="242"/>
        <w:spacing w:after="0" w:line="282" w:lineRule="auto"/>
        <w:tabs>
          <w:tab w:leader="none" w:pos="1057"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060" w:right="20" w:hanging="242"/>
        <w:spacing w:after="0" w:line="273" w:lineRule="auto"/>
        <w:tabs>
          <w:tab w:leader="none" w:pos="1054"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8180"/>
        <w:spacing w:after="0"/>
        <w:tabs>
          <w:tab w:leader="none" w:pos="852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EIMEAR P. BONNER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26035</wp:posOffset>
            </wp:positionV>
            <wp:extent cx="264858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2">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18"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8"/>
          <w:szCs w:val="18"/>
          <w:color w:val="auto"/>
        </w:rPr>
        <w:t>Eimear P. Bonner</w:t>
      </w:r>
    </w:p>
    <w:p>
      <w:pPr>
        <w:jc w:val="center"/>
        <w:ind w:left="7040"/>
        <w:spacing w:after="0" w:line="203" w:lineRule="auto"/>
        <w:rPr>
          <w:sz w:val="20"/>
          <w:szCs w:val="20"/>
          <w:color w:val="auto"/>
        </w:rPr>
      </w:pPr>
      <w:r>
        <w:rPr>
          <w:rFonts w:ascii="Times New Roman" w:cs="Times New Roman" w:eastAsia="Times New Roman" w:hAnsi="Times New Roman"/>
          <w:sz w:val="18"/>
          <w:szCs w:val="18"/>
          <w:i w:val="1"/>
          <w:iCs w:val="1"/>
          <w:color w:val="auto"/>
        </w:rPr>
        <w:t>Vice President and</w:t>
      </w:r>
    </w:p>
    <w:p>
      <w:pPr>
        <w:jc w:val="center"/>
        <w:ind w:left="70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21, 2025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E-4</w:t>
      </w:r>
    </w:p>
    <w:p>
      <w:pPr>
        <w:sectPr>
          <w:pgSz w:w="11900" w:h="16838" w:orient="portrait"/>
          <w:cols w:equalWidth="0" w:num="1">
            <w:col w:w="11240"/>
          </w:cols>
          <w:pgMar w:left="320" w:top="765"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13a-14(b)/15d-14(b) 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 (18 U.S.C. SECTION 1350)</w:t>
      </w:r>
    </w:p>
    <w:p>
      <w:pPr>
        <w:spacing w:after="0" w:line="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Chevron Corporation (the “Company”) for the period ended December 31, 2024, as filed with the U.S. Securities and Exchange Commission on the date hereof (the “Report”), I, Michael K. Wirth, Chairman and Chief Executive Officer of the Company, certify, pursuant to 18 U.S.C. Section 1350, as adopted pursuant to Section 906 of the Sarbanes-Oxley Act of 2002, that, to my knowledge:</w:t>
      </w:r>
    </w:p>
    <w:p>
      <w:pPr>
        <w:spacing w:after="0" w:line="203" w:lineRule="exact"/>
        <w:rPr>
          <w:sz w:val="20"/>
          <w:szCs w:val="20"/>
          <w:color w:val="auto"/>
        </w:rPr>
      </w:pPr>
    </w:p>
    <w:p>
      <w:pPr>
        <w:ind w:left="900" w:hanging="325"/>
        <w:spacing w:after="0"/>
        <w:tabs>
          <w:tab w:leader="none" w:pos="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900" w:hanging="325"/>
        <w:spacing w:after="0" w:line="273" w:lineRule="auto"/>
        <w:tabs>
          <w:tab w:leader="none" w:pos="89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 w:lineRule="exact"/>
        <w:rPr>
          <w:sz w:val="20"/>
          <w:szCs w:val="20"/>
          <w:color w:val="auto"/>
        </w:rPr>
      </w:pPr>
    </w:p>
    <w:p>
      <w:pPr>
        <w:ind w:left="7980"/>
        <w:spacing w:after="0"/>
        <w:tabs>
          <w:tab w:leader="none" w:pos="832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M</w:t>
      </w:r>
      <w:r>
        <w:rPr>
          <w:rFonts w:ascii="Times New Roman" w:cs="Times New Roman" w:eastAsia="Times New Roman" w:hAnsi="Times New Roman"/>
          <w:sz w:val="14"/>
          <w:szCs w:val="14"/>
          <w:color w:val="auto"/>
        </w:rPr>
        <w:t>ICHAEL</w:t>
      </w:r>
      <w:r>
        <w:rPr>
          <w:rFonts w:ascii="Times New Roman" w:cs="Times New Roman" w:eastAsia="Times New Roman" w:hAnsi="Times New Roman"/>
          <w:sz w:val="18"/>
          <w:szCs w:val="18"/>
          <w:color w:val="auto"/>
        </w:rPr>
        <w:t xml:space="preserve"> K. W</w:t>
      </w:r>
      <w:r>
        <w:rPr>
          <w:rFonts w:ascii="Times New Roman" w:cs="Times New Roman" w:eastAsia="Times New Roman" w:hAnsi="Times New Roman"/>
          <w:sz w:val="14"/>
          <w:szCs w:val="14"/>
          <w:color w:val="auto"/>
        </w:rPr>
        <w:t>IRTH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26035</wp:posOffset>
            </wp:positionV>
            <wp:extent cx="30175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3">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18" w:lineRule="exact"/>
        <w:rPr>
          <w:sz w:val="20"/>
          <w:szCs w:val="20"/>
          <w:color w:val="auto"/>
        </w:rPr>
      </w:pPr>
    </w:p>
    <w:p>
      <w:pPr>
        <w:jc w:val="center"/>
        <w:ind w:left="6460"/>
        <w:spacing w:after="0"/>
        <w:rPr>
          <w:sz w:val="20"/>
          <w:szCs w:val="20"/>
          <w:color w:val="auto"/>
        </w:rPr>
      </w:pPr>
      <w:r>
        <w:rPr>
          <w:rFonts w:ascii="Times New Roman" w:cs="Times New Roman" w:eastAsia="Times New Roman" w:hAnsi="Times New Roman"/>
          <w:sz w:val="18"/>
          <w:szCs w:val="18"/>
          <w:color w:val="auto"/>
        </w:rPr>
        <w:t>Michael K. Wirth</w:t>
      </w:r>
    </w:p>
    <w:p>
      <w:pPr>
        <w:jc w:val="center"/>
        <w:ind w:left="6460"/>
        <w:spacing w:after="0" w:line="203" w:lineRule="auto"/>
        <w:rPr>
          <w:sz w:val="20"/>
          <w:szCs w:val="20"/>
          <w:color w:val="auto"/>
        </w:rPr>
      </w:pPr>
      <w:r>
        <w:rPr>
          <w:rFonts w:ascii="Times New Roman" w:cs="Times New Roman" w:eastAsia="Times New Roman" w:hAnsi="Times New Roman"/>
          <w:sz w:val="18"/>
          <w:szCs w:val="18"/>
          <w:i w:val="1"/>
          <w:iCs w:val="1"/>
          <w:color w:val="auto"/>
        </w:rPr>
        <w:t>Chairman of the Board and</w:t>
      </w:r>
    </w:p>
    <w:p>
      <w:pPr>
        <w:jc w:val="center"/>
        <w:ind w:left="64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E-5</w:t>
      </w:r>
    </w:p>
    <w:p>
      <w:pPr>
        <w:sectPr>
          <w:pgSz w:w="11900" w:h="16838" w:orient="portrait"/>
          <w:cols w:equalWidth="0" w:num="1">
            <w:col w:w="11240"/>
          </w:cols>
          <w:pgMar w:left="320" w:top="1413"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13a-14(b)/15d-14(b) 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 (18 U.S.C. SECTION 1350)</w:t>
      </w:r>
    </w:p>
    <w:p>
      <w:pPr>
        <w:spacing w:after="0" w:line="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Chevron Corporation (the “Company”) for the period ended December 31, 2024, as filed with the U.S. Securities and Exchange Commission on the date hereof (the “Report”), I, Eimear P. Bonner, Vice President and Chief Financial Officer of the Company, certify, pursuant to 18 U.S.C. Section 1350, as adopted pursuant to Section 906 of the Sarbanes-Oxley Act of 2002, that, to my knowledge:</w:t>
      </w:r>
    </w:p>
    <w:p>
      <w:pPr>
        <w:spacing w:after="0" w:line="203" w:lineRule="exact"/>
        <w:rPr>
          <w:sz w:val="20"/>
          <w:szCs w:val="20"/>
          <w:color w:val="auto"/>
        </w:rPr>
      </w:pPr>
    </w:p>
    <w:p>
      <w:pPr>
        <w:ind w:left="900" w:hanging="325"/>
        <w:spacing w:after="0"/>
        <w:tabs>
          <w:tab w:leader="none" w:pos="9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900" w:hanging="325"/>
        <w:spacing w:after="0" w:line="282" w:lineRule="auto"/>
        <w:tabs>
          <w:tab w:leader="none" w:pos="89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67" w:lineRule="exact"/>
        <w:rPr>
          <w:sz w:val="20"/>
          <w:szCs w:val="20"/>
          <w:color w:val="auto"/>
        </w:rPr>
      </w:pPr>
    </w:p>
    <w:p>
      <w:pPr>
        <w:ind w:left="7880"/>
        <w:spacing w:after="0"/>
        <w:tabs>
          <w:tab w:leader="none" w:pos="822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EIMEAR P. BONNER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26035</wp:posOffset>
            </wp:positionV>
            <wp:extent cx="30175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4">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30"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color w:val="auto"/>
        </w:rPr>
        <w:t>Eimear P. Bonner</w:t>
      </w:r>
    </w:p>
    <w:p>
      <w:pPr>
        <w:jc w:val="center"/>
        <w:ind w:left="6460"/>
        <w:spacing w:after="0" w:line="205" w:lineRule="auto"/>
        <w:rPr>
          <w:sz w:val="20"/>
          <w:szCs w:val="20"/>
          <w:color w:val="auto"/>
        </w:rPr>
      </w:pPr>
      <w:r>
        <w:rPr>
          <w:rFonts w:ascii="Times New Roman" w:cs="Times New Roman" w:eastAsia="Times New Roman" w:hAnsi="Times New Roman"/>
          <w:sz w:val="18"/>
          <w:szCs w:val="18"/>
          <w:i w:val="1"/>
          <w:iCs w:val="1"/>
          <w:color w:val="auto"/>
        </w:rPr>
        <w:t>Vice President and</w:t>
      </w:r>
    </w:p>
    <w:p>
      <w:pPr>
        <w:spacing w:after="0" w:line="1" w:lineRule="exact"/>
        <w:rPr>
          <w:sz w:val="20"/>
          <w:szCs w:val="20"/>
          <w:color w:val="auto"/>
        </w:rPr>
      </w:pPr>
    </w:p>
    <w:p>
      <w:pPr>
        <w:jc w:val="center"/>
        <w:ind w:left="64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E-6</w:t>
      </w:r>
    </w:p>
    <w:p>
      <w:pPr>
        <w:sectPr>
          <w:pgSz w:w="11900" w:h="16838" w:orient="portrait"/>
          <w:cols w:equalWidth="0" w:num="1">
            <w:col w:w="11240"/>
          </w:cols>
          <w:pgMar w:left="320" w:top="1413"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OF SELECTED ENERGY TERMS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Acreage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Land leased for oil and gas exploration and production.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Additives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Specialty chemicals incorporated into fuels and lubricants that enhance the performance of the finished product.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Barrels of oil-equivalent (BOE)</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A unit of measure to quantify crude oil, natural gas liquids and natural gas amounts using the same basis. Natural gas volumes are converted to barrels on the basis of energy content. See </w:t>
      </w:r>
      <w:r>
        <w:rPr>
          <w:rFonts w:ascii="Times New Roman" w:cs="Times New Roman" w:eastAsia="Times New Roman" w:hAnsi="Times New Roman"/>
          <w:sz w:val="18"/>
          <w:szCs w:val="18"/>
          <w:i w:val="1"/>
          <w:iCs w:val="1"/>
          <w:color w:val="auto"/>
        </w:rPr>
        <w:t>oil-equivalent gas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production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Carbon capture, utilization and storage (CCUS)</w:t>
      </w:r>
    </w:p>
    <w:p>
      <w:pPr>
        <w:jc w:val="both"/>
        <w:ind w:right="20"/>
        <w:spacing w:after="0" w:line="233" w:lineRule="auto"/>
        <w:rPr>
          <w:sz w:val="20"/>
          <w:szCs w:val="20"/>
          <w:color w:val="auto"/>
        </w:rPr>
      </w:pPr>
      <w:r>
        <w:rPr>
          <w:rFonts w:ascii="Times New Roman" w:cs="Times New Roman" w:eastAsia="Times New Roman" w:hAnsi="Times New Roman"/>
          <w:sz w:val="18"/>
          <w:szCs w:val="18"/>
          <w:color w:val="auto"/>
        </w:rPr>
        <w:t>The process of capturing carbon dioxide emissions and either using them as a feedstock (utilization) or permanently storing them in geological formations deep underground (storage).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Carbon efficiency</w:t>
      </w:r>
    </w:p>
    <w:p>
      <w:pPr>
        <w:spacing w:after="0"/>
        <w:rPr>
          <w:sz w:val="20"/>
          <w:szCs w:val="20"/>
          <w:color w:val="auto"/>
        </w:rPr>
      </w:pPr>
      <w:r>
        <w:rPr>
          <w:rFonts w:ascii="Times New Roman" w:cs="Times New Roman" w:eastAsia="Times New Roman" w:hAnsi="Times New Roman"/>
          <w:sz w:val="18"/>
          <w:szCs w:val="18"/>
          <w:color w:val="auto"/>
        </w:rPr>
        <w:t>The extent to which a given level of output is produced with fewer carbon emissions relative to average output.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Carbon intensity</w:t>
      </w:r>
    </w:p>
    <w:p>
      <w:pPr>
        <w:spacing w:after="0" w:line="206" w:lineRule="auto"/>
        <w:rPr>
          <w:sz w:val="20"/>
          <w:szCs w:val="20"/>
          <w:color w:val="auto"/>
        </w:rPr>
      </w:pPr>
      <w:r>
        <w:rPr>
          <w:rFonts w:ascii="Times New Roman" w:cs="Times New Roman" w:eastAsia="Times New Roman" w:hAnsi="Times New Roman"/>
          <w:sz w:val="18"/>
          <w:szCs w:val="18"/>
          <w:color w:val="auto"/>
        </w:rPr>
        <w:t>The amount of carbon dioxide or carbon dioxide-equivalent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e) per unit of measure.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Condensate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Hydrocarbons that are in a gaseous state at reservoir conditions, but when produced are in liquid state at surface conditions.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Drilling, construction and related activities following discovery that are necessary to begin production and transportation of crude oil and/or natural gas.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Entitlement effects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impact on Chevron’s share of net production and net proved reserves due to changes in crude oil and natural gas prices, and spending levels, between periods. Under PSCs and variable-royalty provisions of certain agreements, price and spend variability can increase or decrease royalty burdens and/or volumes attributable to the company. For example, at higher prices, fewer volumes are required for Chevron to recover its costs under certain PSCs. Also under certain PSCs, Chevron’s share of future profit oil and/or gas is reduced once specified contractual thresholds are met, such as a cumulative return on investment.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Searching for crude oil and/or natural gas by utilizing geologic and topographical studies, geophysical and seismic surveys, and drilling of wells.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Gas-to-liquids (GTL)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process that converts natural gas into high-quality liquid transportation fuels and other products.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Lower carbon intensity hydrogen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specified hydrogen production pathways like steam methane reforming with carbon capture and storage and electrolysis with lower carbon power.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Liquefied natural gas (LNG)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Natural gas that is liquefied under extremely cold temperatures to facilitate storage or transportation in specially designed vessels.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Liquefied petroleum gas (LPG)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Light gases, such as butane and propane, that can be maintained as liquids while under pressure.</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E-7</w:t>
      </w:r>
    </w:p>
    <w:p>
      <w:pPr>
        <w:sectPr>
          <w:pgSz w:w="11900" w:h="16838" w:orient="portrait"/>
          <w:cols w:equalWidth="0" w:num="1">
            <w:col w:w="11240"/>
          </w:cols>
          <w:pgMar w:left="320" w:top="927" w:right="339" w:bottom="1440" w:gutter="0" w:footer="0" w:header="0"/>
          <w:type w:val="continuous"/>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color w:val="auto"/>
        </w:rPr>
        <w:t>Lower carbon</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 term describing environments, technologies, business sectors, markets, energy sources and mixes of energy sources, including oil and natural gas, among other things, characterized by or enabling the reduction of carbon emissions or carbon intensities.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Lower carbon energy</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Energy sources and mixes of energy sources, including oil and natural gas, that, in their production and use, emit less carbon emissions or have lower carbon intensity than other forms.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Lower carbon intensity oil, products and natural gas</w:t>
      </w:r>
    </w:p>
    <w:p>
      <w:pPr>
        <w:spacing w:after="0" w:line="3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Oil, natural gas and hydrocarbon-based products that are produced and sold to customers with a carbon intensity below that of traditional oil, natural gas and hydrocarbon-based products.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Natural gas liquids (NGLs)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Separated from natural gas, these include ethane, propane, butane and natural gasoline.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reserves and resources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Chevron's interest share of oil and gas after removing royalty share and overriding royalties paid to others. Net includes any applicable Chevron-owned overriding royalties.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zero upstream aspiration (Scope 1 and 2)</w:t>
      </w:r>
    </w:p>
    <w:p>
      <w:pPr>
        <w:spacing w:after="0" w:line="3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Chevron aspires to achieve net zero for upstream production Scope 1 and 2 GHG emissions on an equity basis by 2050. Chevron's ability to achieve any aspiration, target or goal depends on, among other things: (1) sufficient and substantial advances in technology, including the continuing progress of commercially viable technologies and low- or non-carbon-based energy sources; (2) laws, governmental regulation, policies, and other enabling actions, including those regarding subsidies, tax and other incentives as well as the granting of necessary permits by governing authorities; (3) the availability and acceptability of cost-effective, verifiable carbon credits; (4) the availability of suppliers that can meet our sustainability-related standards; (5) evolving regulatory requirements, including changes to IPCC’s Global Warming Potentials and the U.S. EPA Greenhouse Gas Reporting Program, affecting ESG standards or disclosures; (6) evolving standards for tracking and reporting on emissions and emission reductions and removals; (7) customers’ and consumers’ preferences and use of the company’s products or substitute products; (8) actions taken by the company’s competitors in response to legislation and regulations; and (9) successful negotiations for carbon capture and storage and nature-based solutions with customers, suppliers, partners and governments.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Oil-equivalent gas (OEG)</w:t>
      </w:r>
    </w:p>
    <w:p>
      <w:pPr>
        <w:spacing w:after="0" w:line="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volume of natural gas needed to generate the equivalent amount of heat as a barrel of crude oil. Approximately 6,000 cubic feet of natural gas is equivalent to one barrel of crude oil.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Oil sands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 xml:space="preserve">Naturally occurring mixture of </w:t>
      </w:r>
      <w:r>
        <w:rPr>
          <w:rFonts w:ascii="Times New Roman" w:cs="Times New Roman" w:eastAsia="Times New Roman" w:hAnsi="Times New Roman"/>
          <w:sz w:val="18"/>
          <w:szCs w:val="18"/>
          <w:i w:val="1"/>
          <w:iCs w:val="1"/>
          <w:color w:val="auto"/>
        </w:rPr>
        <w:t>bitumen (</w:t>
      </w:r>
      <w:r>
        <w:rPr>
          <w:rFonts w:ascii="Times New Roman" w:cs="Times New Roman" w:eastAsia="Times New Roman" w:hAnsi="Times New Roman"/>
          <w:sz w:val="18"/>
          <w:szCs w:val="18"/>
          <w:color w:val="auto"/>
        </w:rPr>
        <w:t>a heavy, viscous form of crude oil), water, sand and clay. Using hydroprocessing technology, bitumen can be refined to yield synthetic oil.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Petrochemicals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Compounds derived from petroleum. These include: aromatics, which are used to make plastics, adhesives, synthetic fibers and household detergents; and olefins, which are used to make packaging, plastic pipes, tires, batteries, household detergents and synthetic motor oils.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Carbon Intensity (PCI)</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Representation of the estimated energy-weighted average greenhouse gas emissions intensity from a simplified value chain from the production, refinement, distribution and end use of marketed energy products per unit of energy delivered.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Total production </w:t>
      </w:r>
      <w:r>
        <w:rPr>
          <w:rFonts w:ascii="Times New Roman" w:cs="Times New Roman" w:eastAsia="Times New Roman" w:hAnsi="Times New Roman"/>
          <w:sz w:val="18"/>
          <w:szCs w:val="18"/>
          <w:color w:val="auto"/>
        </w:rPr>
        <w:t>refers to all the crude oil (including synthetic oil), NGLs and natural gas produced from a property.</w:t>
      </w:r>
      <w:r>
        <w:rPr>
          <w:rFonts w:ascii="Times New Roman" w:cs="Times New Roman" w:eastAsia="Times New Roman" w:hAnsi="Times New Roman"/>
          <w:sz w:val="18"/>
          <w:szCs w:val="18"/>
          <w:i w:val="1"/>
          <w:iCs w:val="1"/>
          <w:color w:val="auto"/>
        </w:rPr>
        <w:t xml:space="preserve"> Net production </w:t>
      </w:r>
      <w:r>
        <w:rPr>
          <w:rFonts w:ascii="Times New Roman" w:cs="Times New Roman" w:eastAsia="Times New Roman" w:hAnsi="Times New Roman"/>
          <w:sz w:val="18"/>
          <w:szCs w:val="18"/>
          <w:color w:val="auto"/>
        </w:rPr>
        <w:t>is the company's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total production after deducting both royalties paid to landowners and a government’s agreed-upon share of production under a </w:t>
      </w:r>
      <w:r>
        <w:rPr>
          <w:rFonts w:ascii="Times New Roman" w:cs="Times New Roman" w:eastAsia="Times New Roman" w:hAnsi="Times New Roman"/>
          <w:sz w:val="18"/>
          <w:szCs w:val="18"/>
          <w:i w:val="1"/>
          <w:iCs w:val="1"/>
          <w:color w:val="auto"/>
        </w:rPr>
        <w:t>production-sharing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Liquids production </w:t>
      </w:r>
      <w:r>
        <w:rPr>
          <w:rFonts w:ascii="Times New Roman" w:cs="Times New Roman" w:eastAsia="Times New Roman" w:hAnsi="Times New Roman"/>
          <w:sz w:val="18"/>
          <w:szCs w:val="18"/>
          <w:color w:val="auto"/>
        </w:rPr>
        <w:t>refers to crude oil, condensate, NGLs and synthetic oil volumes.</w:t>
      </w:r>
      <w:r>
        <w:rPr>
          <w:rFonts w:ascii="Times New Roman" w:cs="Times New Roman" w:eastAsia="Times New Roman" w:hAnsi="Times New Roman"/>
          <w:sz w:val="18"/>
          <w:szCs w:val="18"/>
          <w:i w:val="1"/>
          <w:iCs w:val="1"/>
          <w:color w:val="auto"/>
        </w:rPr>
        <w:t xml:space="preserve"> Oil-equivalent production </w:t>
      </w:r>
      <w:r>
        <w:rPr>
          <w:rFonts w:ascii="Times New Roman" w:cs="Times New Roman" w:eastAsia="Times New Roman" w:hAnsi="Times New Roman"/>
          <w:sz w:val="18"/>
          <w:szCs w:val="18"/>
          <w:color w:val="auto"/>
        </w:rPr>
        <w:t>is the sum of the barrels of liquids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the oil-equivalent barrels of natural gas produced. See </w:t>
      </w:r>
      <w:r>
        <w:rPr>
          <w:rFonts w:ascii="Times New Roman" w:cs="Times New Roman" w:eastAsia="Times New Roman" w:hAnsi="Times New Roman"/>
          <w:sz w:val="18"/>
          <w:szCs w:val="18"/>
          <w:i w:val="1"/>
          <w:iCs w:val="1"/>
          <w:color w:val="auto"/>
        </w:rPr>
        <w:t>barrels of oil-equivalent, oil-equivalent gas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production-sharing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E-8</w:t>
      </w:r>
    </w:p>
    <w:p>
      <w:pPr>
        <w:sectPr>
          <w:pgSz w:w="11900" w:h="16838" w:orient="portrait"/>
          <w:cols w:equalWidth="0" w:num="1">
            <w:col w:w="11240"/>
          </w:cols>
          <w:pgMar w:left="320" w:top="927"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color w:val="auto"/>
        </w:rPr>
        <w:t>Production-sharing contract (PSC)</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An agreement between a government and a contractor (generally an oil and gas company) whereby production is shared between the parties in a prearranged manner. The contractor typically incurs all exploration, development and production costs, which are subsequently recoverable out of an agreed-upon share of any future PSC production, referred to as cost recovery oil and/or gas. Any remaining production, referred to as profit oil and/or gas, is shared between the parties on an agreed-upon basis as stipulated in the PSC. The government may also retain a share of PSC production as a royalty payment, and the contractor typically owes income tax on its portion of the profit oil or gas. The contractor’s share of PSC oil and/or gas production and reserves varies over time, as it is dependent on prices, costs and specific PSC terms.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Refinery crude unit distillation utilization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feedstocks consumed in the crude unit in refineries for the year, expressed as a percentage of the refineries’ average annual crude unit capacity.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Reserves</w:t>
      </w:r>
    </w:p>
    <w:p>
      <w:pPr>
        <w:spacing w:after="0" w:line="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Crude oil, NGLs and natural gas contained in underground rock formations called reservoirs and saleable hydrocarbons extracted from oil sands, shale, coalbeds or other nonrenewable natural resources that are intended to be upgraded into synthetic oil or gas. </w:t>
      </w:r>
      <w:r>
        <w:rPr>
          <w:rFonts w:ascii="Times New Roman" w:cs="Times New Roman" w:eastAsia="Times New Roman" w:hAnsi="Times New Roman"/>
          <w:sz w:val="18"/>
          <w:szCs w:val="18"/>
          <w:i w:val="1"/>
          <w:iCs w:val="1"/>
          <w:color w:val="auto"/>
        </w:rPr>
        <w:t>Net proved reserves</w:t>
      </w:r>
      <w:r>
        <w:rPr>
          <w:rFonts w:ascii="Times New Roman" w:cs="Times New Roman" w:eastAsia="Times New Roman" w:hAnsi="Times New Roman"/>
          <w:sz w:val="18"/>
          <w:szCs w:val="18"/>
          <w:color w:val="auto"/>
        </w:rPr>
        <w:t xml:space="preserve"> are the estimated quantities that geoscience and engineering data demonstrate with reasonable certainty to be economically producible in the future from known reservoirs under existing economic conditions, operating methods and government regulations and exclude royalties and interests owned by others. Estimates change as additional information becomes available. </w:t>
      </w:r>
      <w:r>
        <w:rPr>
          <w:rFonts w:ascii="Times New Roman" w:cs="Times New Roman" w:eastAsia="Times New Roman" w:hAnsi="Times New Roman"/>
          <w:sz w:val="18"/>
          <w:szCs w:val="18"/>
          <w:i w:val="1"/>
          <w:iCs w:val="1"/>
          <w:color w:val="auto"/>
        </w:rPr>
        <w:t>Oil-equivalent reserves</w:t>
      </w:r>
      <w:r>
        <w:rPr>
          <w:rFonts w:ascii="Times New Roman" w:cs="Times New Roman" w:eastAsia="Times New Roman" w:hAnsi="Times New Roman"/>
          <w:sz w:val="18"/>
          <w:szCs w:val="18"/>
          <w:color w:val="auto"/>
        </w:rPr>
        <w:t xml:space="preserve"> are the sum of the liquids reserves and the oil-equivalent gas reserves. See </w:t>
      </w:r>
      <w:r>
        <w:rPr>
          <w:rFonts w:ascii="Times New Roman" w:cs="Times New Roman" w:eastAsia="Times New Roman" w:hAnsi="Times New Roman"/>
          <w:sz w:val="18"/>
          <w:szCs w:val="18"/>
          <w:i w:val="1"/>
          <w:iCs w:val="1"/>
          <w:color w:val="auto"/>
        </w:rPr>
        <w:t xml:space="preserve">barrels of oil-equivalent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oil-equivalent gas. </w:t>
      </w:r>
      <w:r>
        <w:rPr>
          <w:rFonts w:ascii="Times New Roman" w:cs="Times New Roman" w:eastAsia="Times New Roman" w:hAnsi="Times New Roman"/>
          <w:sz w:val="18"/>
          <w:szCs w:val="18"/>
          <w:color w:val="auto"/>
        </w:rPr>
        <w:t>The company discloses only net proved reserves in its filings with the U.S. Securities and Exchange Commission.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Resources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Estimated quantities of oil and gas resources are recorded under Chevron’s 6P system, which is modeled after the Society of Petroleum Engineers’ Petroleum Resources Management System, and include quantities classified as proved, probable and possible reserves, plus those that remain contingent on commerciality. </w:t>
      </w:r>
      <w:r>
        <w:rPr>
          <w:rFonts w:ascii="Times New Roman" w:cs="Times New Roman" w:eastAsia="Times New Roman" w:hAnsi="Times New Roman"/>
          <w:sz w:val="18"/>
          <w:szCs w:val="18"/>
          <w:i w:val="1"/>
          <w:iCs w:val="1"/>
          <w:color w:val="auto"/>
        </w:rPr>
        <w:t>Unrisked resources, unrisked resource base</w:t>
      </w:r>
      <w:r>
        <w:rPr>
          <w:rFonts w:ascii="Times New Roman" w:cs="Times New Roman" w:eastAsia="Times New Roman" w:hAnsi="Times New Roman"/>
          <w:sz w:val="18"/>
          <w:szCs w:val="18"/>
          <w:color w:val="auto"/>
        </w:rPr>
        <w:t xml:space="preserve"> and similar terms represent the arithmetic sum of the amounts recorded under each of these classifications. </w:t>
      </w:r>
      <w:r>
        <w:rPr>
          <w:rFonts w:ascii="Times New Roman" w:cs="Times New Roman" w:eastAsia="Times New Roman" w:hAnsi="Times New Roman"/>
          <w:sz w:val="18"/>
          <w:szCs w:val="18"/>
          <w:i w:val="1"/>
          <w:iCs w:val="1"/>
          <w:color w:val="auto"/>
        </w:rPr>
        <w:t>Recoverable resources, potentially recoverable volumes</w:t>
      </w:r>
      <w:r>
        <w:rPr>
          <w:rFonts w:ascii="Times New Roman" w:cs="Times New Roman" w:eastAsia="Times New Roman" w:hAnsi="Times New Roman"/>
          <w:sz w:val="18"/>
          <w:szCs w:val="18"/>
          <w:color w:val="auto"/>
        </w:rPr>
        <w:t xml:space="preserve"> and other similar terms represent estimated remaining quantities that are forecast to be ultimately recoverable and produced in the future, adjusted to reflect the relative uncertainty represented by the various classifications. These estimates may change significantly as development work provides additional information. All of these measures are considered by management in making capital investment and operating decisions and may provide some indication to stockholders of the resource potential of oil and gas properties in which the company has an interest.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Shale gas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Natural gas produced from shale rock formations where the gas was sourced from within the shale itself. Shale is very fine-grained rock, characterized by low porosity and extremely low permeability. Production of shale gas normally requires formation stimulation such as the use of </w:t>
      </w:r>
      <w:r>
        <w:rPr>
          <w:rFonts w:ascii="Times New Roman" w:cs="Times New Roman" w:eastAsia="Times New Roman" w:hAnsi="Times New Roman"/>
          <w:sz w:val="18"/>
          <w:szCs w:val="18"/>
          <w:i w:val="1"/>
          <w:iCs w:val="1"/>
          <w:color w:val="auto"/>
        </w:rPr>
        <w:t>hydraulic fracturing</w:t>
      </w:r>
      <w:r>
        <w:rPr>
          <w:rFonts w:ascii="Times New Roman" w:cs="Times New Roman" w:eastAsia="Times New Roman" w:hAnsi="Times New Roman"/>
          <w:sz w:val="18"/>
          <w:szCs w:val="18"/>
          <w:color w:val="auto"/>
        </w:rPr>
        <w:t xml:space="preserve"> (pumping a fluid-sand mixture into the formation under high pressure) to help produce the gas.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Synthetic oil</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A marketable and transportable hydrocarbon liquid, resembling crude oil, that is produced by upgrading highly viscous or solid hydrocarbons, such as extra-heavy crude oil or </w:t>
      </w:r>
      <w:r>
        <w:rPr>
          <w:rFonts w:ascii="Times New Roman" w:cs="Times New Roman" w:eastAsia="Times New Roman" w:hAnsi="Times New Roman"/>
          <w:sz w:val="18"/>
          <w:szCs w:val="18"/>
          <w:i w:val="1"/>
          <w:iCs w:val="1"/>
          <w:color w:val="auto"/>
        </w:rPr>
        <w:t>oil sands</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Tight oil</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 xml:space="preserve">Liquid hydrocarbons produced from shale (also referred to as </w:t>
      </w:r>
      <w:r>
        <w:rPr>
          <w:rFonts w:ascii="Times New Roman" w:cs="Times New Roman" w:eastAsia="Times New Roman" w:hAnsi="Times New Roman"/>
          <w:sz w:val="18"/>
          <w:szCs w:val="18"/>
          <w:i w:val="1"/>
          <w:iCs w:val="1"/>
          <w:color w:val="auto"/>
        </w:rPr>
        <w:t>shale oil</w:t>
      </w:r>
      <w:r>
        <w:rPr>
          <w:rFonts w:ascii="Times New Roman" w:cs="Times New Roman" w:eastAsia="Times New Roman" w:hAnsi="Times New Roman"/>
          <w:sz w:val="18"/>
          <w:szCs w:val="18"/>
          <w:color w:val="auto"/>
        </w:rPr>
        <w:t xml:space="preserve">) and other rock formations with extremely low permeability. As with </w:t>
      </w:r>
      <w:r>
        <w:rPr>
          <w:rFonts w:ascii="Times New Roman" w:cs="Times New Roman" w:eastAsia="Times New Roman" w:hAnsi="Times New Roman"/>
          <w:sz w:val="18"/>
          <w:szCs w:val="18"/>
          <w:i w:val="1"/>
          <w:iCs w:val="1"/>
          <w:color w:val="auto"/>
        </w:rPr>
        <w:t>shale gas</w:t>
      </w:r>
      <w:r>
        <w:rPr>
          <w:rFonts w:ascii="Times New Roman" w:cs="Times New Roman" w:eastAsia="Times New Roman" w:hAnsi="Times New Roman"/>
          <w:sz w:val="18"/>
          <w:szCs w:val="18"/>
          <w:color w:val="auto"/>
        </w:rPr>
        <w:t xml:space="preserve">, production from tight oil reservoirs normally requires formation stimulation such as </w:t>
      </w:r>
      <w:r>
        <w:rPr>
          <w:rFonts w:ascii="Times New Roman" w:cs="Times New Roman" w:eastAsia="Times New Roman" w:hAnsi="Times New Roman"/>
          <w:sz w:val="18"/>
          <w:szCs w:val="18"/>
          <w:i w:val="1"/>
          <w:iCs w:val="1"/>
          <w:color w:val="auto"/>
        </w:rPr>
        <w:t>hydraulic fracturing</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Unconventional oil and gas resources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Hydrocarbons contained in formations over very large areas with extremely low permeability that are not influenced by buoyancy. In contrast, conventional resources are contained within geologic structures/stratigraphy and float buoyantly over water. Unconventional resources include shale gas, coalbed methane, crude oil and natural gas from tight rock formations, tar sands, kerogen from oil shale, and gas hydrates that cannot commercially flow without well stimulation.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Wells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Oil and gas wells are classified as either exploration or development wells. </w:t>
      </w:r>
      <w:r>
        <w:rPr>
          <w:rFonts w:ascii="Times New Roman" w:cs="Times New Roman" w:eastAsia="Times New Roman" w:hAnsi="Times New Roman"/>
          <w:sz w:val="18"/>
          <w:szCs w:val="18"/>
          <w:i w:val="1"/>
          <w:iCs w:val="1"/>
          <w:color w:val="auto"/>
        </w:rPr>
        <w:t>Exploration wells</w:t>
      </w:r>
      <w:r>
        <w:rPr>
          <w:rFonts w:ascii="Times New Roman" w:cs="Times New Roman" w:eastAsia="Times New Roman" w:hAnsi="Times New Roman"/>
          <w:sz w:val="18"/>
          <w:szCs w:val="18"/>
          <w:color w:val="auto"/>
        </w:rPr>
        <w:t xml:space="preserve"> are wells drilled to find a new field or to find a new reservoir in a field previously found to be productive of oil and gas in another reservoir.</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E-9</w:t>
      </w:r>
    </w:p>
    <w:p>
      <w:pPr>
        <w:sectPr>
          <w:pgSz w:w="11900" w:h="16838" w:orient="portrait"/>
          <w:cols w:equalWidth="0" w:num="1">
            <w:col w:w="11240"/>
          </w:cols>
          <w:pgMar w:left="320" w:top="927" w:right="339" w:bottom="1440" w:gutter="0" w:footer="0" w:header="0"/>
        </w:sectPr>
      </w:pPr>
    </w:p>
    <w:bookmarkStart w:id="150" w:name="page151"/>
    <w:bookmarkEnd w:id="150"/>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Appraisal wells </w:t>
      </w:r>
      <w:r>
        <w:rPr>
          <w:rFonts w:ascii="Times New Roman" w:cs="Times New Roman" w:eastAsia="Times New Roman" w:hAnsi="Times New Roman"/>
          <w:sz w:val="18"/>
          <w:szCs w:val="18"/>
          <w:color w:val="auto"/>
        </w:rPr>
        <w:t>are exploration wells drilled to confirm the results of a discovery well.</w:t>
      </w:r>
      <w:r>
        <w:rPr>
          <w:rFonts w:ascii="Times New Roman" w:cs="Times New Roman" w:eastAsia="Times New Roman" w:hAnsi="Times New Roman"/>
          <w:sz w:val="18"/>
          <w:szCs w:val="18"/>
          <w:i w:val="1"/>
          <w:iCs w:val="1"/>
          <w:color w:val="auto"/>
        </w:rPr>
        <w:t xml:space="preserve"> Delineation wells </w:t>
      </w:r>
      <w:r>
        <w:rPr>
          <w:rFonts w:ascii="Times New Roman" w:cs="Times New Roman" w:eastAsia="Times New Roman" w:hAnsi="Times New Roman"/>
          <w:sz w:val="18"/>
          <w:szCs w:val="18"/>
          <w:color w:val="auto"/>
        </w:rPr>
        <w:t>are exploration wells drilled to determine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boundaries of a productive formation or to delineate the extent of a find. </w:t>
      </w:r>
      <w:r>
        <w:rPr>
          <w:rFonts w:ascii="Times New Roman" w:cs="Times New Roman" w:eastAsia="Times New Roman" w:hAnsi="Times New Roman"/>
          <w:sz w:val="18"/>
          <w:szCs w:val="18"/>
          <w:i w:val="1"/>
          <w:iCs w:val="1"/>
          <w:color w:val="auto"/>
        </w:rPr>
        <w:t>Development wells</w:t>
      </w:r>
      <w:r>
        <w:rPr>
          <w:rFonts w:ascii="Times New Roman" w:cs="Times New Roman" w:eastAsia="Times New Roman" w:hAnsi="Times New Roman"/>
          <w:sz w:val="18"/>
          <w:szCs w:val="18"/>
          <w:color w:val="auto"/>
        </w:rPr>
        <w:t xml:space="preserve"> are wells drilled in an existing reservoir in a proved oil- or gas-producing area. </w:t>
      </w:r>
      <w:r>
        <w:rPr>
          <w:rFonts w:ascii="Times New Roman" w:cs="Times New Roman" w:eastAsia="Times New Roman" w:hAnsi="Times New Roman"/>
          <w:sz w:val="18"/>
          <w:szCs w:val="18"/>
          <w:i w:val="1"/>
          <w:iCs w:val="1"/>
          <w:color w:val="auto"/>
        </w:rPr>
        <w:t>Completed wells</w:t>
      </w:r>
      <w:r>
        <w:rPr>
          <w:rFonts w:ascii="Times New Roman" w:cs="Times New Roman" w:eastAsia="Times New Roman" w:hAnsi="Times New Roman"/>
          <w:sz w:val="18"/>
          <w:szCs w:val="18"/>
          <w:color w:val="auto"/>
        </w:rPr>
        <w:t xml:space="preserve"> are wells for which drilling work has been completed and that are capable of producing. </w:t>
      </w:r>
      <w:r>
        <w:rPr>
          <w:rFonts w:ascii="Times New Roman" w:cs="Times New Roman" w:eastAsia="Times New Roman" w:hAnsi="Times New Roman"/>
          <w:sz w:val="18"/>
          <w:szCs w:val="18"/>
          <w:i w:val="1"/>
          <w:iCs w:val="1"/>
          <w:color w:val="auto"/>
        </w:rPr>
        <w:t>Dry wells</w:t>
      </w:r>
      <w:r>
        <w:rPr>
          <w:rFonts w:ascii="Times New Roman" w:cs="Times New Roman" w:eastAsia="Times New Roman" w:hAnsi="Times New Roman"/>
          <w:sz w:val="18"/>
          <w:szCs w:val="18"/>
          <w:color w:val="auto"/>
        </w:rPr>
        <w:t xml:space="preserve"> are wells completed as dry holes, that is, wells not capable of producing in commercial quantities.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OF SELECTED FINANCIAL TERMS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employed</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sum of Chevron Corporation stockholders’ equity, total debt and noncontrolling interests. Average capital employed is computed by averaging the sum of capital employed at the beginning and end of the year.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from operating activities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Cash generated from the company’s businesses; an indicator of a company’s ability to fund capital programs and stockholder distributions. Excludes cash flows related to the company’s financing and investing activities.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ratio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assets divided by current liabilities.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Ratio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debt, including finance lease liabilities, divided by total debt plus Chevron Corporation Stockholders’ Equity.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attributable to Chevron Corporation as presented on the Consolidated Statement of Income.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Free Cash Flow</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cash provided by operating activities less capital expenditures.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31" w:lineRule="exact"/>
        <w:rPr>
          <w:sz w:val="20"/>
          <w:szCs w:val="20"/>
          <w:color w:val="auto"/>
        </w:rPr>
      </w:pPr>
    </w:p>
    <w:p>
      <w:pPr>
        <w:ind w:right="2940"/>
        <w:spacing w:after="0" w:line="260" w:lineRule="auto"/>
        <w:rPr>
          <w:sz w:val="20"/>
          <w:szCs w:val="20"/>
          <w:color w:val="auto"/>
        </w:rPr>
      </w:pPr>
      <w:r>
        <w:rPr>
          <w:rFonts w:ascii="Times New Roman" w:cs="Times New Roman" w:eastAsia="Times New Roman" w:hAnsi="Times New Roman"/>
          <w:sz w:val="18"/>
          <w:szCs w:val="18"/>
          <w:color w:val="auto"/>
        </w:rPr>
        <w:t>An asset representing the future economic benefits arising from the other assets acquired in a business combination that are not individually identified and separately recognized.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coverage ratio</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Income before income tax expense, plus interest and debt expense and amortization of capitalized interest, less net income attributable to noncontrolling interests, divided by before-tax interest costs.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Margin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difference between the cost of purchasing, producing and/or marketing a product and its sales price.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Debt Ratio</w:t>
      </w:r>
    </w:p>
    <w:p>
      <w:pPr>
        <w:spacing w:after="0" w:line="31"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Total debt less the sum of cash and cash equivalents, time deposits, and marketable securities, as a percentage of total debt less the sum of cash and cash equivalents, time deposits, and marketable securities, plus Chevron Corporation Stockholders' Equity.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Return on capital employed (ROCE)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is calculated by dividing </w:t>
      </w:r>
      <w:r>
        <w:rPr>
          <w:rFonts w:ascii="Times New Roman" w:cs="Times New Roman" w:eastAsia="Times New Roman" w:hAnsi="Times New Roman"/>
          <w:sz w:val="18"/>
          <w:szCs w:val="18"/>
          <w:i w:val="1"/>
          <w:iCs w:val="1"/>
          <w:color w:val="auto"/>
        </w:rPr>
        <w:t>earnings</w:t>
      </w:r>
      <w:r>
        <w:rPr>
          <w:rFonts w:ascii="Times New Roman" w:cs="Times New Roman" w:eastAsia="Times New Roman" w:hAnsi="Times New Roman"/>
          <w:sz w:val="18"/>
          <w:szCs w:val="18"/>
          <w:color w:val="auto"/>
        </w:rPr>
        <w:t xml:space="preserve"> (adjusted for after-tax interest expense and noncontrolling interests) by average capital employed.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Return on stockholders’ equity (ROSE)</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 xml:space="preserve">This is calculated by dividing </w:t>
      </w:r>
      <w:r>
        <w:rPr>
          <w:rFonts w:ascii="Times New Roman" w:cs="Times New Roman" w:eastAsia="Times New Roman" w:hAnsi="Times New Roman"/>
          <w:sz w:val="18"/>
          <w:szCs w:val="18"/>
          <w:i w:val="1"/>
          <w:iCs w:val="1"/>
          <w:color w:val="auto"/>
        </w:rPr>
        <w:t>earnings</w:t>
      </w:r>
      <w:r>
        <w:rPr>
          <w:rFonts w:ascii="Times New Roman" w:cs="Times New Roman" w:eastAsia="Times New Roman" w:hAnsi="Times New Roman"/>
          <w:sz w:val="18"/>
          <w:szCs w:val="18"/>
          <w:color w:val="auto"/>
        </w:rPr>
        <w:t xml:space="preserve"> by average Chevron Corporation Stockholders’ Equity. Average Chevron Corporation Stockholders’ Equity is computed by averaging the sum of the beginning-of-year and end-of-year balances.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E-10</w:t>
      </w:r>
    </w:p>
    <w:sectPr>
      <w:pgSz w:w="11900" w:h="16838" w:orient="portrait"/>
      <w:cols w:equalWidth="0" w:num="1">
        <w:col w:w="11240"/>
      </w:cols>
      <w:pgMar w:left="320" w:top="9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lvl w:ilvl="1">
      <w:lvlJc w:val="left"/>
      <w:lvlText w:val="☑"/>
      <w:numFmt w:val="bullet"/>
      <w:start w:val="1"/>
    </w:lvl>
  </w:abstractNum>
  <w:abstractNum w:abstractNumId="1">
    <w:nsid w:val="3DC240FB"/>
    <w:multiLevelType w:val="hybridMultilevel"/>
    <w:lvl w:ilvl="0">
      <w:lvlJc w:val="left"/>
      <w:lvlText w:val="1"/>
      <w:numFmt w:val="bullet"/>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2"/>
      <w:numFmt w:val="bullet"/>
      <w:start w:val="1"/>
    </w:lvl>
  </w:abstractNum>
  <w:abstractNum w:abstractNumId="4">
    <w:nsid w:val="75C6C33A"/>
    <w:multiLevelType w:val="hybridMultilevel"/>
    <w:lvl w:ilvl="0">
      <w:lvlJc w:val="left"/>
      <w:lvlText w:val="1"/>
      <w:numFmt w:val="bullet"/>
      <w:start w:val="1"/>
    </w:lvl>
  </w:abstractNum>
  <w:abstractNum w:abstractNumId="5">
    <w:nsid w:val="12E685FB"/>
    <w:multiLevelType w:val="hybridMultilevel"/>
    <w:lvl w:ilvl="0">
      <w:lvlJc w:val="left"/>
      <w:lvlText w:val="1"/>
      <w:numFmt w:val="bullet"/>
      <w:start w:val="1"/>
    </w:lvl>
  </w:abstractNum>
  <w:abstractNum w:abstractNumId="6">
    <w:nsid w:val="70C6A529"/>
    <w:multiLevelType w:val="hybridMultilevel"/>
    <w:lvl w:ilvl="0">
      <w:lvlJc w:val="left"/>
      <w:lvlText w:val="1"/>
      <w:numFmt w:val="bullet"/>
      <w:start w:val="1"/>
    </w:lvl>
  </w:abstractNum>
  <w:abstractNum w:abstractNumId="7">
    <w:nsid w:val="520EEDD1"/>
    <w:multiLevelType w:val="hybridMultilevel"/>
    <w:lvl w:ilvl="0">
      <w:lvlJc w:val="left"/>
      <w:lvlText w:val="2"/>
      <w:numFmt w:val="bullet"/>
      <w:start w:val="1"/>
    </w:lvl>
  </w:abstractNum>
  <w:abstractNum w:abstractNumId="8">
    <w:nsid w:val="374A3FE6"/>
    <w:multiLevelType w:val="hybridMultilevel"/>
    <w:lvl w:ilvl="0">
      <w:lvlJc w:val="left"/>
      <w:lvlText w:val="4"/>
      <w:numFmt w:val="bullet"/>
      <w:start w:val="1"/>
    </w:lvl>
  </w:abstractNum>
  <w:abstractNum w:abstractNumId="9">
    <w:nsid w:val="4F4EF005"/>
    <w:multiLevelType w:val="hybridMultilevel"/>
    <w:lvl w:ilvl="0">
      <w:lvlJc w:val="left"/>
      <w:lvlText w:val="7"/>
      <w:numFmt w:val="bullet"/>
      <w:start w:val="1"/>
    </w:lvl>
  </w:abstractNum>
  <w:abstractNum w:abstractNumId="10">
    <w:nsid w:val="23F9C13C"/>
    <w:multiLevelType w:val="hybridMultilevel"/>
    <w:lvl w:ilvl="0">
      <w:lvlJc w:val="left"/>
      <w:lvlText w:val="8"/>
      <w:numFmt w:val="bullet"/>
      <w:start w:val="1"/>
    </w:lvl>
  </w:abstractNum>
  <w:abstractNum w:abstractNumId="11">
    <w:nsid w:val="649BB77C"/>
    <w:multiLevelType w:val="hybridMultilevel"/>
    <w:lvl w:ilvl="0">
      <w:lvlJc w:val="left"/>
      <w:lvlText w:val="2"/>
      <w:numFmt w:val="bullet"/>
      <w:start w:val="1"/>
    </w:lvl>
  </w:abstractNum>
  <w:abstractNum w:abstractNumId="12">
    <w:nsid w:val="275AC794"/>
    <w:multiLevelType w:val="hybridMultilevel"/>
    <w:lvl w:ilvl="0">
      <w:lvlJc w:val="left"/>
      <w:lvlText w:val="1"/>
      <w:numFmt w:val="bullet"/>
      <w:start w:val="1"/>
    </w:lvl>
  </w:abstractNum>
  <w:abstractNum w:abstractNumId="13">
    <w:nsid w:val="39386575"/>
    <w:multiLevelType w:val="hybridMultilevel"/>
    <w:lvl w:ilvl="0">
      <w:lvlJc w:val="left"/>
      <w:lvlText w:val="(%1)"/>
      <w:numFmt w:val="lowerLetter"/>
      <w:start w:val="1"/>
    </w:lvl>
  </w:abstractNum>
  <w:abstractNum w:abstractNumId="14">
    <w:nsid w:val="1CF10FD8"/>
    <w:multiLevelType w:val="hybridMultilevel"/>
    <w:lvl w:ilvl="0">
      <w:lvlJc w:val="left"/>
      <w:lvlText w:val="(%1)"/>
      <w:numFmt w:val="lowerLetter"/>
      <w:start w:val="3"/>
    </w:lvl>
  </w:abstractNum>
  <w:abstractNum w:abstractNumId="15">
    <w:nsid w:val="180115BE"/>
    <w:multiLevelType w:val="hybridMultilevel"/>
    <w:lvl w:ilvl="0">
      <w:lvlJc w:val="left"/>
      <w:lvlText w:val="2"/>
      <w:numFmt w:val="bullet"/>
      <w:start w:val="1"/>
    </w:lvl>
  </w:abstractNum>
  <w:abstractNum w:abstractNumId="16">
    <w:nsid w:val="235BA861"/>
    <w:multiLevelType w:val="hybridMultilevel"/>
    <w:lvl w:ilvl="0">
      <w:lvlJc w:val="left"/>
      <w:lvlText w:val="•"/>
      <w:numFmt w:val="bullet"/>
      <w:start w:val="1"/>
    </w:lvl>
  </w:abstractNum>
  <w:abstractNum w:abstractNumId="17">
    <w:nsid w:val="47398C89"/>
    <w:multiLevelType w:val="hybridMultilevel"/>
    <w:lvl w:ilvl="0">
      <w:lvlJc w:val="left"/>
      <w:lvlText w:val="*"/>
      <w:numFmt w:val="bullet"/>
      <w:start w:val="1"/>
    </w:lvl>
  </w:abstractNum>
  <w:abstractNum w:abstractNumId="18">
    <w:nsid w:val="354FE9F9"/>
    <w:multiLevelType w:val="hybridMultilevel"/>
    <w:lvl w:ilvl="0">
      <w:lvlJc w:val="left"/>
      <w:lvlText w:val="2"/>
      <w:numFmt w:val="bullet"/>
      <w:start w:val="1"/>
    </w:lvl>
  </w:abstractNum>
  <w:abstractNum w:abstractNumId="19">
    <w:nsid w:val="15B5AF5C"/>
    <w:multiLevelType w:val="hybridMultilevel"/>
    <w:lvl w:ilvl="0">
      <w:lvlJc w:val="left"/>
      <w:lvlText w:val="*"/>
      <w:numFmt w:val="bullet"/>
      <w:start w:val="1"/>
    </w:lvl>
  </w:abstractNum>
  <w:abstractNum w:abstractNumId="20">
    <w:nsid w:val="741226BB"/>
    <w:multiLevelType w:val="hybridMultilevel"/>
    <w:lvl w:ilvl="0">
      <w:lvlJc w:val="left"/>
      <w:lvlText w:val="1"/>
      <w:numFmt w:val="bullet"/>
      <w:start w:val="1"/>
    </w:lvl>
  </w:abstractNum>
  <w:abstractNum w:abstractNumId="21">
    <w:nsid w:val="D34B6A8"/>
    <w:multiLevelType w:val="hybridMultilevel"/>
    <w:lvl w:ilvl="0">
      <w:lvlJc w:val="left"/>
      <w:lvlText w:val="2"/>
      <w:numFmt w:val="bullet"/>
      <w:start w:val="1"/>
    </w:lvl>
  </w:abstractNum>
  <w:abstractNum w:abstractNumId="22">
    <w:nsid w:val="10233C99"/>
    <w:multiLevelType w:val="hybridMultilevel"/>
    <w:lvl w:ilvl="0">
      <w:lvlJc w:val="left"/>
      <w:lvlText w:val="3"/>
      <w:numFmt w:val="bullet"/>
      <w:start w:val="1"/>
    </w:lvl>
  </w:abstractNum>
  <w:abstractNum w:abstractNumId="23">
    <w:nsid w:val="3F6AB60F"/>
    <w:multiLevelType w:val="hybridMultilevel"/>
    <w:lvl w:ilvl="0">
      <w:lvlJc w:val="left"/>
      <w:lvlText w:val="4"/>
      <w:numFmt w:val="bullet"/>
      <w:start w:val="1"/>
    </w:lvl>
  </w:abstractNum>
  <w:abstractNum w:abstractNumId="24">
    <w:nsid w:val="61574095"/>
    <w:multiLevelType w:val="hybridMultilevel"/>
    <w:lvl w:ilvl="0">
      <w:lvlJc w:val="left"/>
      <w:lvlText w:val="6"/>
      <w:numFmt w:val="bullet"/>
      <w:start w:val="1"/>
    </w:lvl>
  </w:abstractNum>
  <w:abstractNum w:abstractNumId="25">
    <w:nsid w:val="7E0C57B1"/>
    <w:multiLevelType w:val="hybridMultilevel"/>
    <w:lvl w:ilvl="0">
      <w:lvlJc w:val="left"/>
      <w:lvlText w:val="8"/>
      <w:numFmt w:val="bullet"/>
      <w:start w:val="1"/>
    </w:lvl>
  </w:abstractNum>
  <w:abstractNum w:abstractNumId="26">
    <w:nsid w:val="77AE35EB"/>
    <w:multiLevelType w:val="hybridMultilevel"/>
    <w:lvl w:ilvl="0">
      <w:lvlJc w:val="left"/>
      <w:lvlText w:val="%1."/>
      <w:numFmt w:val="decimal"/>
      <w:start w:val="1"/>
    </w:lvl>
  </w:abstractNum>
  <w:abstractNum w:abstractNumId="27">
    <w:nsid w:val="579BE4F1"/>
    <w:multiLevelType w:val="hybridMultilevel"/>
    <w:lvl w:ilvl="0">
      <w:lvlJc w:val="left"/>
      <w:lvlText w:val="%1."/>
      <w:numFmt w:val="decimal"/>
      <w:start w:val="1"/>
    </w:lvl>
  </w:abstractNum>
  <w:abstractNum w:abstractNumId="28">
    <w:nsid w:val="310C50B3"/>
    <w:multiLevelType w:val="hybridMultilevel"/>
    <w:lvl w:ilvl="0">
      <w:lvlJc w:val="left"/>
      <w:lvlText w:val="1"/>
      <w:numFmt w:val="bullet"/>
      <w:start w:val="1"/>
    </w:lvl>
  </w:abstractNum>
  <w:abstractNum w:abstractNumId="29">
    <w:nsid w:val="5FF87E05"/>
    <w:multiLevelType w:val="hybridMultilevel"/>
    <w:lvl w:ilvl="0">
      <w:lvlJc w:val="left"/>
      <w:lvlText w:val="1"/>
      <w:numFmt w:val="bullet"/>
      <w:start w:val="1"/>
    </w:lvl>
  </w:abstractNum>
  <w:abstractNum w:abstractNumId="30">
    <w:nsid w:val="2F305DEF"/>
    <w:multiLevelType w:val="hybridMultilevel"/>
    <w:lvl w:ilvl="0">
      <w:lvlJc w:val="left"/>
      <w:lvlText w:val="2"/>
      <w:numFmt w:val="bullet"/>
      <w:start w:val="1"/>
    </w:lvl>
  </w:abstractNum>
  <w:abstractNum w:abstractNumId="31">
    <w:nsid w:val="25A70BF7"/>
    <w:multiLevelType w:val="hybridMultilevel"/>
    <w:lvl w:ilvl="0">
      <w:lvlJc w:val="left"/>
      <w:lvlText w:val="3"/>
      <w:numFmt w:val="bullet"/>
      <w:start w:val="1"/>
    </w:lvl>
  </w:abstractNum>
  <w:abstractNum w:abstractNumId="32">
    <w:nsid w:val="1DBABF00"/>
    <w:multiLevelType w:val="hybridMultilevel"/>
    <w:lvl w:ilvl="0">
      <w:lvlJc w:val="left"/>
      <w:lvlText w:val="*"/>
      <w:numFmt w:val="bullet"/>
      <w:start w:val="1"/>
    </w:lvl>
  </w:abstractNum>
  <w:abstractNum w:abstractNumId="33">
    <w:nsid w:val="4AD084E9"/>
    <w:multiLevelType w:val="hybridMultilevel"/>
    <w:lvl w:ilvl="0">
      <w:lvlJc w:val="left"/>
      <w:lvlText w:val="*"/>
      <w:numFmt w:val="bullet"/>
      <w:start w:val="1"/>
    </w:lvl>
  </w:abstractNum>
  <w:abstractNum w:abstractNumId="34">
    <w:nsid w:val="1F48EAA1"/>
    <w:multiLevelType w:val="hybridMultilevel"/>
    <w:lvl w:ilvl="0">
      <w:lvlJc w:val="left"/>
      <w:lvlText w:val="*"/>
      <w:numFmt w:val="bullet"/>
      <w:start w:val="1"/>
    </w:lvl>
  </w:abstractNum>
  <w:abstractNum w:abstractNumId="35">
    <w:nsid w:val="1381823A"/>
    <w:multiLevelType w:val="hybridMultilevel"/>
    <w:lvl w:ilvl="0">
      <w:lvlJc w:val="left"/>
      <w:lvlText w:val="1"/>
      <w:numFmt w:val="bullet"/>
      <w:start w:val="1"/>
    </w:lvl>
  </w:abstractNum>
  <w:abstractNum w:abstractNumId="36">
    <w:nsid w:val="5DB70AE5"/>
    <w:multiLevelType w:val="hybridMultilevel"/>
    <w:lvl w:ilvl="0">
      <w:lvlJc w:val="left"/>
      <w:lvlText w:val="2"/>
      <w:numFmt w:val="bullet"/>
      <w:start w:val="1"/>
    </w:lvl>
  </w:abstractNum>
  <w:abstractNum w:abstractNumId="37">
    <w:nsid w:val="100F8FCA"/>
    <w:multiLevelType w:val="hybridMultilevel"/>
    <w:lvl w:ilvl="0">
      <w:lvlJc w:val="left"/>
      <w:lvlText w:val="3"/>
      <w:numFmt w:val="bullet"/>
      <w:start w:val="1"/>
    </w:lvl>
  </w:abstractNum>
  <w:abstractNum w:abstractNumId="38">
    <w:nsid w:val="6590700B"/>
    <w:multiLevelType w:val="hybridMultilevel"/>
    <w:lvl w:ilvl="0">
      <w:lvlJc w:val="left"/>
      <w:lvlText w:val="1"/>
      <w:numFmt w:val="bullet"/>
      <w:start w:val="1"/>
    </w:lvl>
  </w:abstractNum>
  <w:abstractNum w:abstractNumId="39">
    <w:nsid w:val="15014ACB"/>
    <w:multiLevelType w:val="hybridMultilevel"/>
    <w:lvl w:ilvl="0">
      <w:lvlJc w:val="left"/>
      <w:lvlText w:val="2"/>
      <w:numFmt w:val="bullet"/>
      <w:start w:val="1"/>
    </w:lvl>
  </w:abstractNum>
  <w:abstractNum w:abstractNumId="40">
    <w:nsid w:val="5F5E7FD0"/>
    <w:multiLevelType w:val="hybridMultilevel"/>
    <w:lvl w:ilvl="0">
      <w:lvlJc w:val="left"/>
      <w:lvlText w:val="3"/>
      <w:numFmt w:val="bullet"/>
      <w:start w:val="1"/>
    </w:lvl>
  </w:abstractNum>
  <w:abstractNum w:abstractNumId="41">
    <w:nsid w:val="98A3148"/>
    <w:multiLevelType w:val="hybridMultilevel"/>
    <w:lvl w:ilvl="0">
      <w:lvlJc w:val="left"/>
      <w:lvlText w:val="1"/>
      <w:numFmt w:val="bullet"/>
      <w:start w:val="1"/>
    </w:lvl>
  </w:abstractNum>
  <w:abstractNum w:abstractNumId="42">
    <w:nsid w:val="799D0247"/>
    <w:multiLevelType w:val="hybridMultilevel"/>
    <w:lvl w:ilvl="0">
      <w:lvlJc w:val="left"/>
      <w:lvlText w:val="2"/>
      <w:numFmt w:val="bullet"/>
      <w:start w:val="1"/>
    </w:lvl>
  </w:abstractNum>
  <w:abstractNum w:abstractNumId="43">
    <w:nsid w:val="6B94764"/>
    <w:multiLevelType w:val="hybridMultilevel"/>
    <w:lvl w:ilvl="0">
      <w:lvlJc w:val="left"/>
      <w:lvlText w:val="3"/>
      <w:numFmt w:val="bullet"/>
      <w:start w:val="1"/>
    </w:lvl>
  </w:abstractNum>
  <w:abstractNum w:abstractNumId="44">
    <w:nsid w:val="42C296BD"/>
    <w:multiLevelType w:val="hybridMultilevel"/>
    <w:lvl w:ilvl="0">
      <w:lvlJc w:val="left"/>
      <w:lvlText w:val="*"/>
      <w:numFmt w:val="bullet"/>
      <w:start w:val="1"/>
    </w:lvl>
  </w:abstractNum>
  <w:abstractNum w:abstractNumId="45">
    <w:nsid w:val="168E121F"/>
    <w:multiLevelType w:val="hybridMultilevel"/>
    <w:lvl w:ilvl="0">
      <w:lvlJc w:val="left"/>
      <w:lvlText w:val="3"/>
      <w:numFmt w:val="bullet"/>
      <w:start w:val="1"/>
    </w:lvl>
  </w:abstractNum>
  <w:abstractNum w:abstractNumId="46">
    <w:nsid w:val="1EBA5D23"/>
    <w:multiLevelType w:val="hybridMultilevel"/>
    <w:lvl w:ilvl="0">
      <w:lvlJc w:val="left"/>
      <w:lvlText w:val="4"/>
      <w:numFmt w:val="bullet"/>
      <w:start w:val="1"/>
    </w:lvl>
  </w:abstractNum>
  <w:abstractNum w:abstractNumId="47">
    <w:nsid w:val="661E3F1E"/>
    <w:multiLevelType w:val="hybridMultilevel"/>
    <w:lvl w:ilvl="0">
      <w:lvlJc w:val="left"/>
      <w:lvlText w:val="1"/>
      <w:numFmt w:val="bullet"/>
      <w:start w:val="1"/>
    </w:lvl>
  </w:abstractNum>
  <w:abstractNum w:abstractNumId="48">
    <w:nsid w:val="5DC79EA8"/>
    <w:multiLevelType w:val="hybridMultilevel"/>
    <w:lvl w:ilvl="0">
      <w:lvlJc w:val="left"/>
      <w:lvlText w:val="2"/>
      <w:numFmt w:val="bullet"/>
      <w:start w:val="1"/>
    </w:lvl>
  </w:abstractNum>
  <w:abstractNum w:abstractNumId="49">
    <w:nsid w:val="540A471C"/>
    <w:multiLevelType w:val="hybridMultilevel"/>
    <w:lvl w:ilvl="0">
      <w:lvlJc w:val="left"/>
      <w:lvlText w:val="3"/>
      <w:numFmt w:val="bullet"/>
      <w:start w:val="1"/>
    </w:lvl>
  </w:abstractNum>
  <w:abstractNum w:abstractNumId="50">
    <w:nsid w:val="7BD3EE7B"/>
    <w:multiLevelType w:val="hybridMultilevel"/>
    <w:lvl w:ilvl="0">
      <w:lvlJc w:val="left"/>
      <w:lvlText w:val="1"/>
      <w:numFmt w:val="bullet"/>
      <w:start w:val="1"/>
    </w:lvl>
  </w:abstractNum>
  <w:abstractNum w:abstractNumId="51">
    <w:nsid w:val="51D9C564"/>
    <w:multiLevelType w:val="hybridMultilevel"/>
    <w:lvl w:ilvl="0">
      <w:lvlJc w:val="left"/>
      <w:lvlText w:val="2"/>
      <w:numFmt w:val="bullet"/>
      <w:start w:val="1"/>
    </w:lvl>
  </w:abstractNum>
  <w:abstractNum w:abstractNumId="52">
    <w:nsid w:val="613EFDC5"/>
    <w:multiLevelType w:val="hybridMultilevel"/>
    <w:lvl w:ilvl="0">
      <w:lvlJc w:val="left"/>
      <w:lvlText w:val="3"/>
      <w:numFmt w:val="bullet"/>
      <w:start w:val="1"/>
    </w:lvl>
  </w:abstractNum>
  <w:abstractNum w:abstractNumId="53">
    <w:nsid w:val="BF72B14"/>
    <w:multiLevelType w:val="hybridMultilevel"/>
    <w:lvl w:ilvl="0">
      <w:lvlJc w:val="left"/>
      <w:lvlText w:val="*"/>
      <w:numFmt w:val="bullet"/>
      <w:start w:val="1"/>
    </w:lvl>
  </w:abstractNum>
  <w:abstractNum w:abstractNumId="54">
    <w:nsid w:val="11447B73"/>
    <w:multiLevelType w:val="hybridMultilevel"/>
    <w:lvl w:ilvl="0">
      <w:lvlJc w:val="left"/>
      <w:lvlText w:val="1"/>
      <w:numFmt w:val="bullet"/>
      <w:start w:val="1"/>
    </w:lvl>
  </w:abstractNum>
  <w:abstractNum w:abstractNumId="55">
    <w:nsid w:val="42963E5A"/>
    <w:multiLevelType w:val="hybridMultilevel"/>
    <w:lvl w:ilvl="0">
      <w:lvlJc w:val="left"/>
      <w:lvlText w:val="1"/>
      <w:numFmt w:val="bullet"/>
      <w:start w:val="1"/>
    </w:lvl>
  </w:abstractNum>
  <w:abstractNum w:abstractNumId="56">
    <w:nsid w:val="A0382C5"/>
    <w:multiLevelType w:val="hybridMultilevel"/>
    <w:lvl w:ilvl="0">
      <w:lvlJc w:val="left"/>
      <w:lvlText w:val="2"/>
      <w:numFmt w:val="bullet"/>
      <w:start w:val="1"/>
    </w:lvl>
  </w:abstractNum>
  <w:abstractNum w:abstractNumId="57">
    <w:nsid w:val="8F2B15E"/>
    <w:multiLevelType w:val="hybridMultilevel"/>
    <w:lvl w:ilvl="0">
      <w:lvlJc w:val="left"/>
      <w:lvlText w:val="1"/>
      <w:numFmt w:val="bullet"/>
      <w:start w:val="1"/>
    </w:lvl>
  </w:abstractNum>
  <w:abstractNum w:abstractNumId="58">
    <w:nsid w:val="1A32234B"/>
    <w:multiLevelType w:val="hybridMultilevel"/>
    <w:lvl w:ilvl="0">
      <w:lvlJc w:val="left"/>
      <w:lvlText w:val="2"/>
      <w:numFmt w:val="bullet"/>
      <w:start w:val="1"/>
    </w:lvl>
  </w:abstractNum>
  <w:abstractNum w:abstractNumId="59">
    <w:nsid w:val="3B0FD379"/>
    <w:multiLevelType w:val="hybridMultilevel"/>
    <w:lvl w:ilvl="0">
      <w:lvlJc w:val="left"/>
      <w:lvlText w:val="4"/>
      <w:numFmt w:val="bullet"/>
      <w:start w:val="1"/>
    </w:lvl>
  </w:abstractNum>
  <w:abstractNum w:abstractNumId="60">
    <w:nsid w:val="68EB2F63"/>
    <w:multiLevelType w:val="hybridMultilevel"/>
    <w:lvl w:ilvl="0">
      <w:lvlJc w:val="left"/>
      <w:lvlText w:val="5"/>
      <w:numFmt w:val="bullet"/>
      <w:start w:val="1"/>
    </w:lvl>
  </w:abstractNum>
  <w:abstractNum w:abstractNumId="61">
    <w:nsid w:val="4962813B"/>
    <w:multiLevelType w:val="hybridMultilevel"/>
    <w:lvl w:ilvl="0">
      <w:lvlJc w:val="left"/>
      <w:lvlText w:val="1"/>
      <w:numFmt w:val="bullet"/>
      <w:start w:val="1"/>
    </w:lvl>
  </w:abstractNum>
  <w:abstractNum w:abstractNumId="62">
    <w:nsid w:val="60B6DF70"/>
    <w:multiLevelType w:val="hybridMultilevel"/>
    <w:lvl w:ilvl="0">
      <w:lvlJc w:val="left"/>
      <w:lvlText w:val="1"/>
      <w:numFmt w:val="bullet"/>
      <w:start w:val="1"/>
    </w:lvl>
  </w:abstractNum>
  <w:abstractNum w:abstractNumId="63">
    <w:nsid w:val="6A5EE64"/>
    <w:multiLevelType w:val="hybridMultilevel"/>
    <w:lvl w:ilvl="0">
      <w:lvlJc w:val="left"/>
      <w:lvlText w:val="1"/>
      <w:numFmt w:val="bullet"/>
      <w:start w:val="1"/>
    </w:lvl>
  </w:abstractNum>
  <w:abstractNum w:abstractNumId="64">
    <w:nsid w:val="14330624"/>
    <w:multiLevelType w:val="hybridMultilevel"/>
    <w:lvl w:ilvl="0">
      <w:lvlJc w:val="left"/>
      <w:lvlText w:val="1"/>
      <w:numFmt w:val="bullet"/>
      <w:start w:val="1"/>
    </w:lvl>
  </w:abstractNum>
  <w:abstractNum w:abstractNumId="65">
    <w:nsid w:val="7FFFCA11"/>
    <w:multiLevelType w:val="hybridMultilevel"/>
    <w:lvl w:ilvl="0">
      <w:lvlJc w:val="left"/>
      <w:lvlText w:val="*"/>
      <w:numFmt w:val="bullet"/>
      <w:start w:val="1"/>
    </w:lvl>
  </w:abstractNum>
  <w:abstractNum w:abstractNumId="66">
    <w:nsid w:val="1A27709E"/>
    <w:multiLevelType w:val="hybridMultilevel"/>
    <w:lvl w:ilvl="0">
      <w:lvlJc w:val="left"/>
      <w:lvlText w:val="1"/>
      <w:numFmt w:val="bullet"/>
      <w:start w:val="1"/>
    </w:lvl>
  </w:abstractNum>
  <w:abstractNum w:abstractNumId="67">
    <w:nsid w:val="71EA1109"/>
    <w:multiLevelType w:val="hybridMultilevel"/>
    <w:lvl w:ilvl="0">
      <w:lvlJc w:val="left"/>
      <w:lvlText w:val="1"/>
      <w:numFmt w:val="bullet"/>
      <w:start w:val="1"/>
    </w:lvl>
  </w:abstractNum>
  <w:abstractNum w:abstractNumId="68">
    <w:nsid w:val="100F59DC"/>
    <w:multiLevelType w:val="hybridMultilevel"/>
    <w:lvl w:ilvl="0">
      <w:lvlJc w:val="left"/>
      <w:lvlText w:val="1"/>
      <w:numFmt w:val="bullet"/>
      <w:start w:val="1"/>
    </w:lvl>
  </w:abstractNum>
  <w:abstractNum w:abstractNumId="69">
    <w:nsid w:val="7FB7E0AA"/>
    <w:multiLevelType w:val="hybridMultilevel"/>
    <w:lvl w:ilvl="0">
      <w:lvlJc w:val="left"/>
      <w:lvlText w:val="*"/>
      <w:numFmt w:val="bullet"/>
      <w:start w:val="1"/>
    </w:lvl>
  </w:abstractNum>
  <w:abstractNum w:abstractNumId="70">
    <w:nsid w:val="6EB5BD4"/>
    <w:multiLevelType w:val="hybridMultilevel"/>
    <w:lvl w:ilvl="0">
      <w:lvlJc w:val="left"/>
      <w:lvlText w:val="+"/>
      <w:numFmt w:val="bullet"/>
      <w:start w:val="1"/>
    </w:lvl>
  </w:abstractNum>
  <w:abstractNum w:abstractNumId="71">
    <w:nsid w:val="6F6DD9AC"/>
    <w:multiLevelType w:val="hybridMultilevel"/>
    <w:lvl w:ilvl="0">
      <w:lvlJc w:val="left"/>
      <w:lvlText w:val="%1."/>
      <w:numFmt w:val="decimal"/>
      <w:start w:val="1"/>
    </w:lvl>
  </w:abstractNum>
  <w:abstractNum w:abstractNumId="72">
    <w:nsid w:val="94211F2"/>
    <w:multiLevelType w:val="hybridMultilevel"/>
    <w:lvl w:ilvl="0">
      <w:lvlJc w:val="left"/>
      <w:lvlText w:val="%1."/>
      <w:numFmt w:val="upperLetter"/>
      <w:start w:val="1"/>
    </w:lvl>
  </w:abstractNum>
  <w:abstractNum w:abstractNumId="73">
    <w:nsid w:val="885E1B"/>
    <w:multiLevelType w:val="hybridMultilevel"/>
    <w:lvl w:ilvl="0">
      <w:lvlJc w:val="left"/>
      <w:lvlText w:val="(%1)"/>
      <w:numFmt w:val="upperLetter"/>
      <w:start w:val="1"/>
    </w:lvl>
  </w:abstractNum>
  <w:abstractNum w:abstractNumId="74">
    <w:nsid w:val="76272110"/>
    <w:multiLevelType w:val="hybridMultilevel"/>
    <w:lvl w:ilvl="0">
      <w:lvlJc w:val="left"/>
      <w:lvlText w:val="(%1)"/>
      <w:numFmt w:val="upperLetter"/>
      <w:start w:val="3"/>
    </w:lvl>
  </w:abstractNum>
  <w:abstractNum w:abstractNumId="75">
    <w:nsid w:val="4C04A8AF"/>
    <w:multiLevelType w:val="hybridMultilevel"/>
    <w:lvl w:ilvl="0">
      <w:lvlJc w:val="left"/>
      <w:lvlText w:val="(%1)"/>
      <w:numFmt w:val="upperLetter"/>
      <w:start w:val="1"/>
    </w:lvl>
  </w:abstractNum>
  <w:abstractNum w:abstractNumId="76">
    <w:nsid w:val="1716703B"/>
    <w:multiLevelType w:val="hybridMultilevel"/>
    <w:lvl w:ilvl="0">
      <w:lvlJc w:val="left"/>
      <w:lvlText w:val="(%1)"/>
      <w:numFmt w:val="upperLetter"/>
      <w:start w:val="1"/>
    </w:lvl>
  </w:abstractNum>
  <w:abstractNum w:abstractNumId="77">
    <w:nsid w:val="14E17E33"/>
    <w:multiLevelType w:val="hybridMultilevel"/>
    <w:lvl w:ilvl="0">
      <w:lvlJc w:val="left"/>
      <w:lvlText w:val="%1."/>
      <w:numFmt w:val="decimal"/>
      <w:start w:val="4"/>
    </w:lvl>
  </w:abstractNum>
  <w:abstractNum w:abstractNumId="78">
    <w:nsid w:val="3222E7CD"/>
    <w:multiLevelType w:val="hybridMultilevel"/>
    <w:lvl w:ilvl="0">
      <w:lvlJc w:val="left"/>
      <w:lvlText w:val="(%1)"/>
      <w:numFmt w:val="upperLetter"/>
      <w:start w:val="1"/>
    </w:lvl>
  </w:abstractNum>
  <w:abstractNum w:abstractNumId="79">
    <w:nsid w:val="74DE0EE3"/>
    <w:multiLevelType w:val="hybridMultilevel"/>
    <w:lvl w:ilvl="0">
      <w:lvlJc w:val="left"/>
      <w:lvlText w:val="(%1)"/>
      <w:numFmt w:val="upperLetter"/>
      <w:start w:val="1"/>
    </w:lvl>
  </w:abstractNum>
  <w:abstractNum w:abstractNumId="80">
    <w:nsid w:val="68EBC550"/>
    <w:multiLevelType w:val="hybridMultilevel"/>
    <w:lvl w:ilvl="0">
      <w:lvlJc w:val="left"/>
      <w:lvlText w:val="%1."/>
      <w:numFmt w:val="decimal"/>
      <w:start w:val="11"/>
    </w:lvl>
  </w:abstractNum>
  <w:abstractNum w:abstractNumId="81">
    <w:nsid w:val="2DF6D648"/>
    <w:multiLevelType w:val="hybridMultilevel"/>
    <w:lvl w:ilvl="0">
      <w:lvlJc w:val="left"/>
      <w:lvlText w:val="(%1)"/>
      <w:numFmt w:val="upperLetter"/>
      <w:start w:val="1"/>
    </w:lvl>
  </w:abstractNum>
  <w:abstractNum w:abstractNumId="82">
    <w:nsid w:val="46B7D447"/>
    <w:multiLevelType w:val="hybridMultilevel"/>
    <w:lvl w:ilvl="0">
      <w:lvlJc w:val="left"/>
      <w:lvlText w:val="%1."/>
      <w:numFmt w:val="decimal"/>
      <w:start w:val="17"/>
    </w:lvl>
  </w:abstractNum>
  <w:abstractNum w:abstractNumId="83">
    <w:nsid w:val="4A2AC315"/>
    <w:multiLevelType w:val="hybridMultilevel"/>
    <w:lvl w:ilvl="0">
      <w:lvlJc w:val="left"/>
      <w:lvlText w:val="%1."/>
      <w:numFmt w:val="decimal"/>
      <w:start w:val="1"/>
    </w:lvl>
    <w:lvl w:ilvl="1">
      <w:lvlJc w:val="left"/>
      <w:lvlText w:val="•"/>
      <w:numFmt w:val="bullet"/>
      <w:start w:val="1"/>
    </w:lvl>
  </w:abstractNum>
  <w:abstractNum w:abstractNumId="84">
    <w:nsid w:val="39EE015C"/>
    <w:multiLevelType w:val="hybridMultilevel"/>
    <w:lvl w:ilvl="0">
      <w:lvlJc w:val="left"/>
      <w:lvlText w:val="1"/>
      <w:numFmt w:val="bullet"/>
      <w:start w:val="1"/>
    </w:lvl>
  </w:abstractNum>
  <w:abstractNum w:abstractNumId="85">
    <w:nsid w:val="57FC4FBB"/>
    <w:multiLevelType w:val="hybridMultilevel"/>
    <w:lvl w:ilvl="0">
      <w:lvlJc w:val="left"/>
      <w:lvlText w:val="%1."/>
      <w:numFmt w:val="decimal"/>
      <w:start w:val="2"/>
    </w:lvl>
    <w:lvl w:ilvl="1">
      <w:lvlJc w:val="left"/>
      <w:lvlText w:val="•"/>
      <w:numFmt w:val="bullet"/>
      <w:start w:val="1"/>
    </w:lvl>
  </w:abstractNum>
  <w:abstractNum w:abstractNumId="86">
    <w:nsid w:val="CC1016F"/>
    <w:multiLevelType w:val="hybridMultilevel"/>
    <w:lvl w:ilvl="0">
      <w:lvlJc w:val="left"/>
      <w:lvlText w:val="%1."/>
      <w:numFmt w:val="lowerLetter"/>
      <w:start w:val="1"/>
    </w:lvl>
    <w:lvl w:ilvl="1">
      <w:lvlJc w:val="left"/>
      <w:lvlText w:val="%2."/>
      <w:numFmt w:val="lowerRoman"/>
      <w:start w:val="1"/>
    </w:lvl>
  </w:abstractNum>
  <w:abstractNum w:abstractNumId="87">
    <w:nsid w:val="43F18422"/>
    <w:multiLevelType w:val="hybridMultilevel"/>
    <w:lvl w:ilvl="0">
      <w:lvlJc w:val="left"/>
      <w:lvlText w:val="2"/>
      <w:numFmt w:val="bullet"/>
      <w:start w:val="1"/>
    </w:lvl>
  </w:abstractNum>
  <w:abstractNum w:abstractNumId="88">
    <w:nsid w:val="60EF0119"/>
    <w:multiLevelType w:val="hybridMultilevel"/>
    <w:lvl w:ilvl="0">
      <w:lvlJc w:val="left"/>
      <w:lvlText w:val="%1."/>
      <w:numFmt w:val="decimal"/>
      <w:start w:val="1"/>
    </w:lvl>
  </w:abstractNum>
  <w:abstractNum w:abstractNumId="89">
    <w:nsid w:val="26F324BA"/>
    <w:multiLevelType w:val="hybridMultilevel"/>
    <w:lvl w:ilvl="0">
      <w:lvlJc w:val="left"/>
      <w:lvlText w:val="•"/>
      <w:numFmt w:val="bullet"/>
      <w:start w:val="1"/>
    </w:lvl>
    <w:lvl w:ilvl="1">
      <w:lvlJc w:val="left"/>
      <w:lvlText w:val="◦"/>
      <w:numFmt w:val="bullet"/>
      <w:start w:val="1"/>
    </w:lvl>
  </w:abstractNum>
  <w:abstractNum w:abstractNumId="90">
    <w:nsid w:val="7F01579B"/>
    <w:multiLevelType w:val="hybridMultilevel"/>
    <w:lvl w:ilvl="0">
      <w:lvlJc w:val="left"/>
      <w:lvlText w:val="◦"/>
      <w:numFmt w:val="bullet"/>
      <w:start w:val="1"/>
    </w:lvl>
  </w:abstractNum>
  <w:abstractNum w:abstractNumId="91">
    <w:nsid w:val="49DA307D"/>
    <w:multiLevelType w:val="hybridMultilevel"/>
    <w:lvl w:ilvl="0">
      <w:lvlJc w:val="left"/>
      <w:lvlText w:val="•"/>
      <w:numFmt w:val="bullet"/>
      <w:start w:val="1"/>
    </w:lvl>
  </w:abstractNum>
  <w:abstractNum w:abstractNumId="92">
    <w:nsid w:val="7055A5F5"/>
    <w:multiLevelType w:val="hybridMultilevel"/>
    <w:lvl w:ilvl="0">
      <w:lvlJc w:val="left"/>
      <w:lvlText w:val="•"/>
      <w:numFmt w:val="bullet"/>
      <w:start w:val="1"/>
    </w:lvl>
    <w:lvl w:ilvl="1">
      <w:lvlJc w:val="left"/>
      <w:lvlText w:val="◦"/>
      <w:numFmt w:val="bullet"/>
      <w:start w:val="1"/>
    </w:lvl>
  </w:abstractNum>
  <w:abstractNum w:abstractNumId="93">
    <w:nsid w:val="5FB8370B"/>
    <w:multiLevelType w:val="hybridMultilevel"/>
    <w:lvl w:ilvl="0">
      <w:lvlJc w:val="left"/>
      <w:lvlText w:val="•"/>
      <w:numFmt w:val="bullet"/>
      <w:start w:val="1"/>
    </w:lvl>
  </w:abstractNum>
  <w:abstractNum w:abstractNumId="94">
    <w:nsid w:val="50801EE1"/>
    <w:multiLevelType w:val="hybridMultilevel"/>
    <w:lvl w:ilvl="0">
      <w:lvlJc w:val="left"/>
      <w:lvlText w:val="1"/>
      <w:numFmt w:val="bullet"/>
      <w:start w:val="1"/>
    </w:lvl>
  </w:abstractNum>
  <w:abstractNum w:abstractNumId="95">
    <w:nsid w:val="488AC1A"/>
    <w:multiLevelType w:val="hybridMultilevel"/>
    <w:lvl w:ilvl="0">
      <w:lvlJc w:val="left"/>
      <w:lvlText w:val="%1."/>
      <w:numFmt w:val="decimal"/>
      <w:start w:val="1"/>
    </w:lvl>
    <w:lvl w:ilvl="1">
      <w:lvlJc w:val="left"/>
      <w:lvlText w:val="(%2)"/>
      <w:numFmt w:val="lowerLetter"/>
      <w:start w:val="1"/>
    </w:lvl>
  </w:abstractNum>
  <w:abstractNum w:abstractNumId="96">
    <w:nsid w:val="5FB8011C"/>
    <w:multiLevelType w:val="hybridMultilevel"/>
    <w:lvl w:ilvl="0">
      <w:lvlJc w:val="left"/>
      <w:lvlText w:val="%1."/>
      <w:numFmt w:val="decimal"/>
      <w:start w:val="1"/>
    </w:lvl>
    <w:lvl w:ilvl="1">
      <w:lvlJc w:val="left"/>
      <w:lvlText w:val="(%2)"/>
      <w:numFmt w:val="lowerLetter"/>
      <w:start w:val="1"/>
    </w:lvl>
  </w:abstractNum>
  <w:abstractNum w:abstractNumId="97">
    <w:nsid w:val="6AA78F7F"/>
    <w:multiLevelType w:val="hybridMultilevel"/>
    <w:lvl w:ilvl="0">
      <w:lvlJc w:val="left"/>
      <w:lvlText w:val="(%1)"/>
      <w:numFmt w:val="decimal"/>
      <w:start w:val="1"/>
    </w:lvl>
  </w:abstractNum>
  <w:abstractNum w:abstractNumId="98">
    <w:nsid w:val="7672B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86" Type="http://schemas.openxmlformats.org/officeDocument/2006/relationships/image" Target="media/image161.png"/><Relationship Id="rId187" Type="http://schemas.openxmlformats.org/officeDocument/2006/relationships/image" Target="media/image162.png"/><Relationship Id="rId206" Type="http://schemas.openxmlformats.org/officeDocument/2006/relationships/image" Target="media/image163.png"/><Relationship Id="rId214" Type="http://schemas.openxmlformats.org/officeDocument/2006/relationships/image" Target="media/image164.png"/><Relationship Id="rId215" Type="http://schemas.openxmlformats.org/officeDocument/2006/relationships/image" Target="media/image165.png"/><Relationship Id="rId216" Type="http://schemas.openxmlformats.org/officeDocument/2006/relationships/image" Target="media/image166.png"/><Relationship Id="rId217" Type="http://schemas.openxmlformats.org/officeDocument/2006/relationships/image" Target="media/image167.png"/><Relationship Id="rId218" Type="http://schemas.openxmlformats.org/officeDocument/2006/relationships/image" Target="media/image168.png"/><Relationship Id="rId219" Type="http://schemas.openxmlformats.org/officeDocument/2006/relationships/image" Target="media/image169.png"/><Relationship Id="rId220" Type="http://schemas.openxmlformats.org/officeDocument/2006/relationships/image" Target="media/image170.png"/><Relationship Id="rId221" Type="http://schemas.openxmlformats.org/officeDocument/2006/relationships/image" Target="media/image171.png"/><Relationship Id="rId222" Type="http://schemas.openxmlformats.org/officeDocument/2006/relationships/image" Target="media/image172.png"/><Relationship Id="rId223" Type="http://schemas.openxmlformats.org/officeDocument/2006/relationships/image" Target="media/image173.png"/><Relationship Id="rId224" Type="http://schemas.openxmlformats.org/officeDocument/2006/relationships/image" Target="media/image174.png"/><Relationship Id="rId225" Type="http://schemas.openxmlformats.org/officeDocument/2006/relationships/image" Target="media/image175.png"/><Relationship Id="rId226" Type="http://schemas.openxmlformats.org/officeDocument/2006/relationships/image" Target="media/image176.png"/><Relationship Id="rId227" Type="http://schemas.openxmlformats.org/officeDocument/2006/relationships/image" Target="media/image177.png"/><Relationship Id="rId228" Type="http://schemas.openxmlformats.org/officeDocument/2006/relationships/image" Target="media/image178.png"/><Relationship Id="rId229" Type="http://schemas.openxmlformats.org/officeDocument/2006/relationships/image" Target="media/image179.png"/><Relationship Id="rId230" Type="http://schemas.openxmlformats.org/officeDocument/2006/relationships/image" Target="media/image180.png"/><Relationship Id="rId231" Type="http://schemas.openxmlformats.org/officeDocument/2006/relationships/image" Target="media/image181.png"/><Relationship Id="rId232" Type="http://schemas.openxmlformats.org/officeDocument/2006/relationships/image" Target="media/image182.png"/><Relationship Id="rId233" Type="http://schemas.openxmlformats.org/officeDocument/2006/relationships/image" Target="media/image183.png"/><Relationship Id="rId234" Type="http://schemas.openxmlformats.org/officeDocument/2006/relationships/image" Target="media/image184.png"/><Relationship Id="rId168" Type="http://schemas.openxmlformats.org/officeDocument/2006/relationships/hyperlink" Target="https://www.sec.gov/Archives/edgar/data/93410/000095014223002670/eh230413259_ex0201.htm" TargetMode="External"/><Relationship Id="rId169" Type="http://schemas.openxmlformats.org/officeDocument/2006/relationships/hyperlink" Target="https://www.sec.gov/Archives/edgar/data/93410/000095013408014499/f42584exv3w1.htm" TargetMode="External"/><Relationship Id="rId170" Type="http://schemas.openxmlformats.org/officeDocument/2006/relationships/hyperlink" Target="https://www.sec.gov/Archives/edgar/data/93410/000009341024000066/exhibit32formbylawsamendme.htm" TargetMode="External"/><Relationship Id="rId171" Type="http://schemas.openxmlformats.org/officeDocument/2006/relationships/hyperlink" Target="https://www.sec.gov/Archives/edgar/data/93410/0000093410-95-000017.txt" TargetMode="External"/><Relationship Id="rId172" Type="http://schemas.openxmlformats.org/officeDocument/2006/relationships/hyperlink" Target="https://www.sec.gov/Archives/edgar/data/93410/000119312520139497/d877876dex41.htm" TargetMode="External"/><Relationship Id="rId173" Type="http://schemas.openxmlformats.org/officeDocument/2006/relationships/hyperlink" Target="https://www.sec.gov/Archives/edgar/data/93410/000119312520218015/d91339dex41.htm" TargetMode="External"/><Relationship Id="rId174" Type="http://schemas.openxmlformats.org/officeDocument/2006/relationships/hyperlink" Target="https://www.sec.gov/Archives/edgar/data/93410/000089161809000054/f50714exv4w2.htm" TargetMode="External"/><Relationship Id="rId175" Type="http://schemas.openxmlformats.org/officeDocument/2006/relationships/hyperlink" Target="https://www.sec.gov/Archives/edgar/data/93410/000009341020000010/cvx12312019ex44.htm" TargetMode="External"/><Relationship Id="rId176" Type="http://schemas.openxmlformats.org/officeDocument/2006/relationships/hyperlink" Target="https://www.sec.gov/Archives/edgar/data/93410/000089161809000054/f50714exv10w1.htm" TargetMode="External"/><Relationship Id="rId177" Type="http://schemas.openxmlformats.org/officeDocument/2006/relationships/hyperlink" Target="https://www.sec.gov/Archives/edgar/data/93410/000009341016000070/cvx06302016ex101.htm" TargetMode="External"/><Relationship Id="rId178" Type="http://schemas.openxmlformats.org/officeDocument/2006/relationships/hyperlink" Target="https://www.sec.gov/Archives/edgar/data/93410/000095012310016846/f54086exv10w17.htm" TargetMode="External"/><Relationship Id="rId179" Type="http://schemas.openxmlformats.org/officeDocument/2006/relationships/hyperlink" Target="https://www.sec.gov/Archives/edgar/data/93410/000089161809000054/f50714exv10w19.htm" TargetMode="External"/><Relationship Id="rId180" Type="http://schemas.openxmlformats.org/officeDocument/2006/relationships/hyperlink" Target="https://www.sec.gov/Archives/edgar/data/93410/000009341024000059/a09302024ex10110-q1.htm" TargetMode="External"/><Relationship Id="rId181" Type="http://schemas.openxmlformats.org/officeDocument/2006/relationships/hyperlink" Target="https://www.sec.gov/Archives/edgar/data/93410/000009341023000009/exhibit1062022.htm" TargetMode="External"/><Relationship Id="rId182" Type="http://schemas.openxmlformats.org/officeDocument/2006/relationships/hyperlink" Target="https://www.sec.gov/Archives/edgar/data/93410/000009341023000088/a09302023ex1052013ltip.htm" TargetMode="External"/><Relationship Id="rId183" Type="http://schemas.openxmlformats.org/officeDocument/2006/relationships/hyperlink" Target="https://www.sec.gov/Archives/edgar/data/93410/000009341015000010/cvx12312014ex108ltipnqso.htm" TargetMode="External"/><Relationship Id="rId184" Type="http://schemas.openxmlformats.org/officeDocument/2006/relationships/hyperlink" Target="https://www.sec.gov/Archives/edgar/data/93410/000009341017000009/exhibit101formofnqsoawarda.htm" TargetMode="External"/><Relationship Id="rId185" Type="http://schemas.openxmlformats.org/officeDocument/2006/relationships/hyperlink" Target="https://www.sec.gov/Archives/edgar/data/93410/000009341018000007/exhibit101-2018nqsoagr.htm" TargetMode="External"/><Relationship Id="rId188" Type="http://schemas.openxmlformats.org/officeDocument/2006/relationships/hyperlink" Target="https://www.sec.gov/Archives/edgar/data/93410/000009341020000007/exhibit103toform8-ksta.htm" TargetMode="External"/><Relationship Id="rId189" Type="http://schemas.openxmlformats.org/officeDocument/2006/relationships/hyperlink" Target="https://www.sec.gov/Archives/edgar/data/93410/000009341020000007/exhibit102toform8-knqs.htm" TargetMode="External"/><Relationship Id="rId190" Type="http://schemas.openxmlformats.org/officeDocument/2006/relationships/hyperlink" Target="https://www.sec.gov/Archives/edgar/data/93410/000009341021000005/formofpsuagreement2021.htm" TargetMode="External"/><Relationship Id="rId191" Type="http://schemas.openxmlformats.org/officeDocument/2006/relationships/hyperlink" Target="https://www.sec.gov/Archives/edgar/data/93410/000095013405023032/f15310exv10w5.htm" TargetMode="External"/><Relationship Id="rId192" Type="http://schemas.openxmlformats.org/officeDocument/2006/relationships/hyperlink" Target="https://www.sec.gov/Archives/edgar/data/93410/000009341023000088/a09302023ex101dcpii.htm" TargetMode="External"/><Relationship Id="rId193" Type="http://schemas.openxmlformats.org/officeDocument/2006/relationships/hyperlink" Target="https://www.sec.gov/Archives/edgar/data/93410/000009341023000088/a09302023ex102rrp.htm" TargetMode="External"/><Relationship Id="rId194" Type="http://schemas.openxmlformats.org/officeDocument/2006/relationships/hyperlink" Target="https://www.sec.gov/Archives/edgar/data/93410/000009341017000046/a09302017ex101esiprestorat.htm" TargetMode="External"/><Relationship Id="rId195" Type="http://schemas.openxmlformats.org/officeDocument/2006/relationships/hyperlink" Target="https://www.sec.gov/Archives/edgar/data/93410/000095012312002976/f60351exv10w16.htm" TargetMode="External"/><Relationship Id="rId196" Type="http://schemas.openxmlformats.org/officeDocument/2006/relationships/hyperlink" Target="https://www.sec.gov/Archives/edgar/data/93410/000009341024000013/a202310-kex1019.htm" TargetMode="External"/><Relationship Id="rId197" Type="http://schemas.openxmlformats.org/officeDocument/2006/relationships/hyperlink" Target="https://www.sec.gov/Archives/edgar/data/93410/000009341023000088/a09302023ex1042022ltip.htm" TargetMode="External"/><Relationship Id="rId198" Type="http://schemas.openxmlformats.org/officeDocument/2006/relationships/hyperlink" Target="https://www.sec.gov/Archives/edgar/data/93410/000009341023000005/exhibit101forjan2023recomp.htm" TargetMode="External"/><Relationship Id="rId199" Type="http://schemas.openxmlformats.org/officeDocument/2006/relationships/hyperlink" Target="https://www.sec.gov/Archives/edgar/data/93410/000009341023000005/exhibit102tojan2023formsta.htm" TargetMode="External"/><Relationship Id="rId200" Type="http://schemas.openxmlformats.org/officeDocument/2006/relationships/hyperlink" Target="https://www.sec.gov/Archives/edgar/data/93410/000009341023000005/ex103tojan2023formcompdeci.htm" TargetMode="External"/><Relationship Id="rId201" Type="http://schemas.openxmlformats.org/officeDocument/2006/relationships/hyperlink" Target="https://www.sec.gov/Archives/edgar/data/93410/000009341023000005/exhibit106jan2023formcompd.htm" TargetMode="External"/><Relationship Id="rId202" Type="http://schemas.openxmlformats.org/officeDocument/2006/relationships/hyperlink" Target="https://www.sec.gov/Archives/edgar/data/93410/000009341023000005/exhibit107tojan2023formcom.htm" TargetMode="External"/><Relationship Id="rId203" Type="http://schemas.openxmlformats.org/officeDocument/2006/relationships/hyperlink" Target="https://www.sec.gov/Archives/edgar/data/93410/000009341024000007/ex101psusharesettled.htm" TargetMode="External"/><Relationship Id="rId204" Type="http://schemas.openxmlformats.org/officeDocument/2006/relationships/hyperlink" Target="https://www.sec.gov/Archives/edgar/data/93410/000009341024000007/ex102psucashsettled.htm" TargetMode="External"/><Relationship Id="rId205" Type="http://schemas.openxmlformats.org/officeDocument/2006/relationships/hyperlink" Target="https://www.sec.gov/Archives/edgar/data/93410/000009341024000007/ex103stdrsusharesettled.htm" TargetMode="External"/><Relationship Id="rId207" Type="http://schemas.openxmlformats.org/officeDocument/2006/relationships/hyperlink" Target="https://www.sec.gov/Archives/edgar/data/93410/000009341024000007/ex104stdrsucashsettled.htm" TargetMode="External"/><Relationship Id="rId208" Type="http://schemas.openxmlformats.org/officeDocument/2006/relationships/hyperlink" Target="https://www.sec.gov/Archives/edgar/data/93410/000009341024000007/ex105specialrsusharesett.htm" TargetMode="External"/><Relationship Id="rId209" Type="http://schemas.openxmlformats.org/officeDocument/2006/relationships/hyperlink" Target="https://www.sec.gov/Archives/edgar/data/93410/000009341024000007/ex106specialrsucashsettl.htm" TargetMode="External"/><Relationship Id="rId210" Type="http://schemas.openxmlformats.org/officeDocument/2006/relationships/hyperlink" Target="https://www.sec.gov/Archives/edgar/data/93410/000009341024000007/ex107nqso.htm" TargetMode="External"/><Relationship Id="rId211" Type="http://schemas.openxmlformats.org/officeDocument/2006/relationships/hyperlink" Target="https://www.sec.gov/Archives/edgar/data/93410/000009341024000007/ex108nqsocashless.htm" TargetMode="External"/><Relationship Id="rId212" Type="http://schemas.openxmlformats.org/officeDocument/2006/relationships/hyperlink" Target="https://www.sec.gov/Archives/edgar/data/93410/000009341024000007/ex109sars.htm" TargetMode="External"/><Relationship Id="rId213" Type="http://schemas.openxmlformats.org/officeDocument/2006/relationships/hyperlink" Target="https://www.sec.gov/Archives/edgar/data/93410/000009341024000013/cvx12312023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2025-02-21T10:27:33Z</dcterms:created>
  <dcterms:modified xsi:type="dcterms:W3CDTF">2025-02-21T10:27:33Z</dcterms:modified>
</cp:coreProperties>
</file>