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 2024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Chevron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27940</wp:posOffset>
            </wp:positionV>
            <wp:extent cx="3600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001-00368</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94-0890210</w:t>
            </w:r>
          </w:p>
        </w:tc>
        <w:tc>
          <w:tcPr>
            <w:tcW w:w="20" w:type="dxa"/>
            <w:vAlign w:val="bottom"/>
          </w:tcPr>
          <w:p>
            <w:pPr>
              <w:spacing w:after="0"/>
              <w:rPr>
                <w:sz w:val="20"/>
                <w:szCs w:val="20"/>
                <w:color w:val="auto"/>
              </w:rPr>
            </w:pPr>
          </w:p>
        </w:tc>
      </w:tr>
      <w:tr>
        <w:trPr>
          <w:trHeight w:val="169"/>
        </w:trPr>
        <w:tc>
          <w:tcPr>
            <w:tcW w:w="3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660" w:type="dxa"/>
            <w:vAlign w:val="bottom"/>
          </w:tcPr>
          <w:p>
            <w:pPr>
              <w:spacing w:after="0"/>
              <w:rPr>
                <w:sz w:val="14"/>
                <w:szCs w:val="14"/>
                <w:color w:val="auto"/>
              </w:rPr>
            </w:pPr>
          </w:p>
        </w:tc>
        <w:tc>
          <w:tcPr>
            <w:tcW w:w="34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of incorporation )</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00"/>
        </w:trPr>
        <w:tc>
          <w:tcPr>
            <w:tcW w:w="44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6001 Bollinger Canyon Road, San Ramon,</w:t>
            </w:r>
          </w:p>
        </w:tc>
        <w:tc>
          <w:tcPr>
            <w:tcW w:w="33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CA</w:t>
            </w:r>
          </w:p>
        </w:tc>
        <w:tc>
          <w:tcPr>
            <w:tcW w:w="344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94583</w:t>
            </w:r>
          </w:p>
        </w:tc>
        <w:tc>
          <w:tcPr>
            <w:tcW w:w="20" w:type="dxa"/>
            <w:vAlign w:val="bottom"/>
          </w:tcPr>
          <w:p>
            <w:pPr>
              <w:spacing w:after="0"/>
              <w:rPr>
                <w:sz w:val="24"/>
                <w:szCs w:val="24"/>
                <w:color w:val="auto"/>
              </w:rPr>
            </w:pPr>
          </w:p>
        </w:tc>
      </w:tr>
      <w:tr>
        <w:trPr>
          <w:trHeight w:val="228"/>
        </w:trPr>
        <w:tc>
          <w:tcPr>
            <w:tcW w:w="4460" w:type="dxa"/>
            <w:vAlign w:val="bottom"/>
            <w:tcBorders>
              <w:top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jc w:val="center"/>
              <w:ind w:right="14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(925) 842-1000</w:t>
      </w:r>
    </w:p>
    <w:p>
      <w:pPr>
        <w:spacing w:after="0" w:line="3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19685</wp:posOffset>
            </wp:positionV>
            <wp:extent cx="3780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51"/>
        </w:trPr>
        <w:tc>
          <w:tcPr>
            <w:tcW w:w="46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$.75 per share</w:t>
            </w:r>
          </w:p>
        </w:tc>
        <w:tc>
          <w:tcPr>
            <w:tcW w:w="6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CVX</w:t>
            </w:r>
          </w:p>
        </w:tc>
        <w:tc>
          <w:tcPr>
            <w:tcW w:w="4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25" w:lineRule="exact"/>
        <w:rPr>
          <w:sz w:val="24"/>
          <w:szCs w:val="24"/>
          <w:color w:val="auto"/>
        </w:rPr>
      </w:pPr>
    </w:p>
    <w:p>
      <w:pPr>
        <w:ind w:left="20"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w:t>
      </w:r>
      <w:r>
        <w:rPr>
          <w:rFonts w:ascii="Times New Roman" w:cs="Times New Roman" w:eastAsia="Times New Roman" w:hAnsi="Times New Roman"/>
          <w:sz w:val="18"/>
          <w:szCs w:val="18"/>
          <w:color w:val="211D1E"/>
        </w:rPr>
        <w:t>§230.405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chapter) or Rule 12b-2 of the Securities Exchange Act of 1934 (§240.12b-2 of this chapter</w:t>
      </w:r>
      <w:r>
        <w:rPr>
          <w:rFonts w:ascii="Times New Roman" w:cs="Times New Roman" w:eastAsia="Times New Roman" w:hAnsi="Times New Roman"/>
          <w:sz w:val="18"/>
          <w:szCs w:val="18"/>
          <w:color w:val="000000"/>
        </w:rPr>
        <w:t>).</w:t>
      </w:r>
    </w:p>
    <w:p>
      <w:pPr>
        <w:ind w:left="8980"/>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70" w:lineRule="exact"/>
        <w:rPr>
          <w:sz w:val="24"/>
          <w:szCs w:val="24"/>
          <w:color w:val="auto"/>
        </w:rPr>
      </w:pPr>
    </w:p>
    <w:p>
      <w:pPr>
        <w:ind w:left="20" w:right="80"/>
        <w:spacing w:after="0" w:line="20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2024, Chevron Corporation announced that for fourth quarter 2023, the Company will be impairing a portion of its U.S. upstream assets, primarily in California, due to continuing regulatory challenges in the state that have resulted in lower anticipated future investment levels in its business plans. The Company expects to continue operating the impacted assets for many years to come. In addition, the Company will be recognizing a loss related to abandonment and decommissioning obligations from previously sold oil and gas production assets in the U.S. Gulf of Mexico, as companies that purchased these assets have filed for protection under Chapter 11 of the U.S. Bankruptcy Code, and we believe it is now probable and estimable that a portion of these obligations will revert to the Company. We expect to undertake the decommissioning activities on these assets over the next decade.</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is in the process of finalizing the financial impacts of these actions, which it expects to treat as special items and exclude from adjusted earnings. These actions in the aggregate are currently estimated to result in non-cash, after-tax charges of $3.5 billion to $4.0 billion in the Company’s fourth quarter 2023 results.</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As used in this communication, terms such as “the Company,” “we,” “its” and "our"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Financial Measures </w:t>
      </w:r>
      <w:r>
        <w:rPr>
          <w:rFonts w:ascii="Times New Roman" w:cs="Times New Roman" w:eastAsia="Times New Roman" w:hAnsi="Times New Roman"/>
          <w:sz w:val="17"/>
          <w:szCs w:val="17"/>
          <w:i w:val="1"/>
          <w:iCs w:val="1"/>
          <w:color w:val="auto"/>
        </w:rPr>
        <w:t>- This communication includes reference to adjusted earnings/(loss), which reflect earnings or losses excluding significant non-operational items including impairment charges, write-offs, severance costs, gains on asset sales, unusual tax items, effects of pension settlements and curtailments, foreign currency effects and other special items. We believe it is useful for investors to consider adjusted earnings in comparing the underlying performance of our business across periods. This additional information is not meant to be considered in isolation or as a substitute for net income (loss) as prepared in accordance with U.S. GAAP.</w:t>
      </w:r>
    </w:p>
    <w:p>
      <w:pPr>
        <w:spacing w:after="0" w:line="17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STATEMENTS RELEVANT TO FORWARD-LOOKING INFORMATION FOR THE PURPOSE OF “SAFE HARBOR” PROVISIONS OF THE PRIVATE SECURITIES LITIGATION REFORM ACT OF 1995</w:t>
      </w:r>
    </w:p>
    <w:p>
      <w:pPr>
        <w:spacing w:after="0" w:line="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communication of Chevron Corporation contains forward-looking statements relating to Chevron’s operations and energy transition plans that are based on management’s 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“may,” “can,” “could,” “should,” “will,” “budgets,” “outlook,” “trends,” “guidance,” “focus,” “on track,” “goals,” “objectives,” “strategies,” “opportunities,” “poised,” “potential,” “ambitions,” “aspires” and similar expressions are intended to identify such forward-looking statements. These statements are not guarantees of future performance and are subject to certain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communication. Unless legally required, Chevron undertakes no obligation to update publicly any forward-looking statements, whether as a result of new information, future events or otherwise.</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general domestic and international economic, market and political conditions, including the military conflict between Russia and Ukraine, the war between Israel and Hamas and the global response to these hostilities; changing refining, marketing and chemicals margins; actions of competitors or regulators; timing of exploration expenses; timing of crude oil liftings; the competitiveness of alternate-energy sources or product substitutes; development of large carbon capture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(including the war between Israel and Hamas and related military operations),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7"/>
          <w:szCs w:val="17"/>
          <w:color w:val="auto"/>
        </w:rPr>
        <w:t>to limit or reduce greenhouse gas emissions; the potential liability resulting from pending or future litigation; the ability to successfully integrate the operations of the company and PDC Energy, Inc. and achieve the anticipated benefits from the transaction, including the expected incremental annual free cash flow; the risk that Hess Corporation (Hess) stockholders do not approve the potential transaction, and the risk that regulatory approvals are not obtained or are obtained subject to conditions that are not anticipated by the company and Hess; potential delays in consummating the potential transaction, including as a result of regulatory proceedings; the company’s ability to integrate Hess’ operations in a successful manner and in the expected time period; the possibility that any of the anticipated benefits and projected synergies of the potential transaction will not be realized or will not be realized within the expected time period;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the receipt of required Board authorizations to implement capital allocation strategies, including future stock repurchase programs and dividend payments;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20 through 26 of the company's 2022 Annual Report on Form 10-K and in subsequent filings with the U.S. Securities and Exchange Commission. Other unpredictable or unknown factors not discussed in this communication could also have material adverse effects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CHEVRON CORPORATION</w:t>
      </w:r>
    </w:p>
    <w:p>
      <w:pPr>
        <w:spacing w:after="0" w:line="293"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Alana K. Knowles</w:t>
            </w:r>
          </w:p>
        </w:tc>
      </w:tr>
      <w:tr>
        <w:trPr>
          <w:trHeight w:val="218"/>
        </w:trPr>
        <w:tc>
          <w:tcPr>
            <w:tcW w:w="6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Alana K. Knowles</w:t>
            </w:r>
          </w:p>
        </w:tc>
      </w:tr>
      <w:tr>
        <w:trPr>
          <w:trHeight w:val="229"/>
        </w:trPr>
        <w:tc>
          <w:tcPr>
            <w:tcW w:w="6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30"/>
        </w:trPr>
        <w:tc>
          <w:tcPr>
            <w:tcW w:w="6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w:t>
            </w:r>
          </w:p>
        </w:tc>
      </w:tr>
      <w:tr>
        <w:trPr>
          <w:trHeight w:val="234"/>
        </w:trPr>
        <w:tc>
          <w:tcPr>
            <w:tcW w:w="6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1" w:lineRule="exact"/>
        <w:rPr>
          <w:sz w:val="20"/>
          <w:szCs w:val="20"/>
          <w:color w:val="auto"/>
        </w:rPr>
      </w:pP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2024-01-02T07:06:27Z</dcterms:created>
  <dcterms:modified xsi:type="dcterms:W3CDTF">2024-01-02T07:06:27Z</dcterms:modified>
</cp:coreProperties>
</file>