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HEWSON MARILLYN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SMITH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CHEVRON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213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201.86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of phantom stock issued under the Chevron Non-Employee Directors' Equity Compensation and Deferral Plan become payable in common stock upon the reporting person's termination of service.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1-for-1.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number includes dividend equivalent accruals (56) under the Chevron Non-Employee Directors' Equity Compensation and Deferral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Rose Z. Pierson, Attorney-in-Fact for Marillyn A. Hewson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7496" TargetMode="External"/><Relationship Id="rId5" Type="http://schemas.openxmlformats.org/officeDocument/2006/relationships/hyperlink" Target="http://www.sec.gov/cgi-bin/browse-edgar?action=getcompany&amp;CIK=0000093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3388</Characters>
  <CharactersWithSpaces>3933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